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Lettering color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Grey- nothing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Red- write/source/input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Blue- read/destination/output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Opcode format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Green- code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Red- source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Blue- destination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Notes-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Number + h means hex aka an address ie 00h is mem address 00h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Blank means remove color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Empty means remove contents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Speeds-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Conveyor is approx 125 in long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Conveyor speed 65 fpm or 13 in per sec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Gantry to conveyor or vice versa always takes 0.5 sec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