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  <w:jc w:val="right"/>
      </w:pPr>
      <w:r>
        <w:drawing>
          <wp:inline distT="0" distB="0" distL="0" distR="0">
            <wp:extent cx="1809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b/>
          <w:bCs/>
          <w:color w:val="0063A6"/>
          <w:spacing w:val="40"/>
          <w:sz w:val="18"/>
          <w:szCs w:val="18"/>
        </w:rPr>
        <w:t xml:space="preserve">SAP S/4HANA UND SAP ERP · ON-PREMISE · KLASSISCHES ABAP</w:t>
      </w:r>
    </w:p>
    <w:p>
      <w:pPr>
        <w:spacing w:after="120"/>
      </w:pPr>
      <w:r>
        <w:rPr>
          <w:b/>
          <w:bCs/>
          <w:color w:val="2B2B2B"/>
          <w:sz w:val="112"/>
          <w:szCs w:val="112"/>
        </w:rPr>
        <w:t xml:space="preserve">Documizer</w:t>
      </w:r>
    </w:p>
    <w:p>
      <w:pPr>
        <w:spacing w:after="40"/>
      </w:pPr>
      <w:r>
        <w:rPr>
          <w:color w:val="808285"/>
          <w:sz w:val="40"/>
          <w:szCs w:val="40"/>
        </w:rPr>
        <w:t xml:space="preserve">Dokumentation, Transfer und KI-Analyse</w:t>
      </w:r>
    </w:p>
    <w:p>
      <w:pPr>
        <w:pBdr>
          <w:bottom w:val="single" w:color="0063A6" w:sz="24" w:space="18"/>
        </w:pBdr>
        <w:spacing w:after="480"/>
      </w:pPr>
      <w:r>
        <w:rPr>
          <w:color w:val="808285"/>
          <w:sz w:val="40"/>
          <w:szCs w:val="40"/>
        </w:rPr>
        <w:t xml:space="preserve">für SAP-Entwicklungen und Customizing</w:t>
      </w:r>
    </w:p>
    <w:p>
      <w:pPr>
        <w:spacing w:after="2400" w:line="336"/>
      </w:pPr>
      <w:r>
        <w:rPr>
          <w:color w:val="2B2B2B"/>
          <w:sz w:val="26"/>
          <w:szCs w:val="26"/>
        </w:rPr>
        <w:t xml:space="preserve">Ein einziger ABAP-Report, in Sekunden installiert. Er dokumentiert, was Ihr System </w:t>
      </w:r>
      <w:r>
        <w:rPr>
          <w:b/>
          <w:bCs/>
          <w:color w:val="2B2B2B"/>
          <w:sz w:val="26"/>
          <w:szCs w:val="26"/>
        </w:rPr>
        <w:t xml:space="preserve">wirklich</w:t>
      </w:r>
      <w:r>
        <w:rPr>
          <w:color w:val="2B2B2B"/>
          <w:sz w:val="26"/>
          <w:szCs w:val="26"/>
        </w:rPr>
        <w:t xml:space="preserve"> enthält — und bringt es auf Wunsch in ein anderes System. Ohne Transport, ohne abapGit, ohne zusätzliche Repository-Objekte.</w:t>
      </w:r>
    </w:p>
    <w:tbl>
      <w:tblPr>
        <w:tblW w:type="dxa" w:w="9638"/>
        <w:tblBorders>
          <w:top w:val="single" w:color="0063A6" w:sz="18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Mar>
              <w:top w:type="dxa" w:w="160"/>
              <w:left w:type="dxa" w:w="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063A6"/>
                <w:sz w:val="44"/>
                <w:szCs w:val="44"/>
              </w:rPr>
              <w:t xml:space="preserve">3</w:t>
            </w:r>
          </w:p>
          <w:p>
            <w:pPr>
              <w:spacing w:after="0" w:line="252"/>
            </w:pPr>
            <w:r>
              <w:rPr>
                <w:color w:val="5F6062"/>
                <w:sz w:val="17"/>
                <w:szCs w:val="17"/>
              </w:rPr>
              <w:t xml:space="preserve">Reports: Customizing, Entwicklung, Prüfkonfiguration</w:t>
            </w:r>
          </w:p>
        </w:tc>
        <w:tc>
          <w:tcPr>
            <w:tcW w:type="dxa" w:w="2409"/>
            <w:tcMar>
              <w:top w:type="dxa" w:w="160"/>
              <w:left w:type="dxa" w:w="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063A6"/>
                <w:sz w:val="44"/>
                <w:szCs w:val="44"/>
              </w:rPr>
              <w:t xml:space="preserve">1</w:t>
            </w:r>
          </w:p>
          <w:p>
            <w:pPr>
              <w:spacing w:after="0" w:line="252"/>
            </w:pPr>
            <w:r>
              <w:rPr>
                <w:color w:val="5F6062"/>
                <w:sz w:val="17"/>
                <w:szCs w:val="17"/>
              </w:rPr>
              <w:t xml:space="preserve">Quelltext je Report — per Copy &amp; Paste in SE38</w:t>
            </w:r>
          </w:p>
        </w:tc>
        <w:tc>
          <w:tcPr>
            <w:tcW w:type="dxa" w:w="2409"/>
            <w:tcMar>
              <w:top w:type="dxa" w:w="160"/>
              <w:left w:type="dxa" w:w="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063A6"/>
                <w:sz w:val="44"/>
                <w:szCs w:val="44"/>
              </w:rPr>
              <w:t xml:space="preserve">20+</w:t>
            </w:r>
          </w:p>
          <w:p>
            <w:pPr>
              <w:spacing w:after="0" w:line="252"/>
            </w:pPr>
            <w:r>
              <w:rPr>
                <w:color w:val="5F6062"/>
                <w:sz w:val="17"/>
                <w:szCs w:val="17"/>
              </w:rPr>
              <w:t xml:space="preserve">Objektarten, die sich übertragen lassen</w:t>
            </w:r>
          </w:p>
        </w:tc>
        <w:tc>
          <w:tcPr>
            <w:tcW w:type="dxa" w:w="2411"/>
            <w:tcMar>
              <w:top w:type="dxa" w:w="160"/>
              <w:left w:type="dxa" w:w="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063A6"/>
                <w:sz w:val="44"/>
                <w:szCs w:val="44"/>
              </w:rPr>
              <w:t xml:space="preserve">0</w:t>
            </w:r>
          </w:p>
          <w:p>
            <w:pPr>
              <w:spacing w:after="0" w:line="252"/>
            </w:pPr>
            <w:r>
              <w:rPr>
                <w:color w:val="5F6062"/>
                <w:sz w:val="17"/>
                <w:szCs w:val="17"/>
              </w:rPr>
              <w:t xml:space="preserve">Transporte, Installationen oder Zusatzobjekte</w:t>
            </w:r>
          </w:p>
        </w:tc>
      </w:tr>
    </w:tbl>
    <w:p>
      <w:pPr>
        <w:spacing w:after="240"/>
      </w:pPr>
    </w:p>
    <w:p>
      <w:pPr>
        <w:spacing w:before="600" w:after="40"/>
      </w:pPr>
      <w:r>
        <w:rPr>
          <w:color w:val="5F6062"/>
          <w:sz w:val="18"/>
          <w:szCs w:val="18"/>
        </w:rPr>
        <w:t xml:space="preserve">Produktdokumentation · Stand Oktober 2026</w:t>
      </w:r>
    </w:p>
    <w:p>
      <w:pPr>
        <w:spacing w:after="40"/>
      </w:pPr>
      <w:r>
        <w:rPr>
          <w:color w:val="5F6062"/>
          <w:sz w:val="18"/>
          <w:szCs w:val="18"/>
        </w:rPr>
        <w:t xml:space="preserve">Christian Gathmann · gathmann@csbg.de</w:t>
      </w:r>
    </w:p>
    <w:p>
      <w:r>
        <w:rPr>
          <w:b/>
          <w:bCs/>
          <w:color w:val="2B2B2B"/>
          <w:sz w:val="18"/>
          <w:szCs w:val="18"/>
        </w:rPr>
        <w:t xml:space="preserve">C. Gathmann Computer-System-Beratung GmbH (CSBG), Bremen</w:t>
      </w:r>
    </w:p>
    <w:p>
      <w:pPr>
        <w:sectPr>
          <w:pgSz w:w="11906" w:h="16838" w:orient="portrait"/>
          <w:pgMar w:top="1418" w:right="1134" w:bottom="1300" w:left="1134" w:header="600" w:footer="560" w:gutter="0"/>
          <w:pgNumType/>
          <w:docGrid w:linePitch="360"/>
        </w:sectPr>
      </w:pPr>
    </w:p>
    <w:p>
      <w:pPr>
        <w:pStyle w:val="Heading1"/>
      </w:pPr>
      <w:r>
        <w:t xml:space="preserve">Auf einen Blick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Wer ein SAP-System verantwortet, kennt das Problem: Die Dokumentation beschreibt, was einmal geplant war. Was tatsächlich im System steht, weiß nur das System selbst. Der Documizer fragt es — und macht aus der Antwort ein Dokument, das Menschen lesen, Systeme wieder einlesen und KI-Assistenten auswerten können.</w:t>
      </w: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92"/>
        <w:gridCol w:w="180"/>
        <w:gridCol w:w="3092"/>
        <w:gridCol w:w="180"/>
        <w:gridCol w:w="3092"/>
      </w:tblGrid>
      <w:tr>
        <w:trPr>
          <w:cantSplit/>
        </w:trPr>
        <w:tc>
          <w:tcPr>
            <w:tcW w:type="dxa" w:w="3092"/>
            <w:tcBorders>
              <w:top w:val="single" w:color="0063A6" w:sz="18"/>
              <w:left w:val="none" w:color="FFFFFF" w:sz="0"/>
              <w:bottom w:val="none" w:color="FFFFFF" w:sz="0"/>
              <w:right w:val="none" w:color="FFFFFF" w:sz="0"/>
            </w:tcBorders>
            <w:shd w:fill="F4F4F5" w:color="auto" w:val="clear"/>
            <w:tcMar>
              <w:top w:type="dxa" w:w="180"/>
              <w:left w:type="dxa" w:w="180"/>
              <w:bottom w:type="dxa" w:w="160"/>
              <w:right w:type="dxa" w:w="18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0063A6"/>
                <w:sz w:val="16"/>
                <w:szCs w:val="16"/>
              </w:rPr>
              <w:t xml:space="preserve">ZDOCUMIZER_IMG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Customizing</w:t>
            </w:r>
          </w:p>
          <w:p>
            <w:pPr>
              <w:spacing w:after="0" w:line="264"/>
            </w:pPr>
            <w:r>
              <w:rPr>
                <w:color w:val="5F6062"/>
                <w:sz w:val="18"/>
                <w:szCs w:val="18"/>
              </w:rPr>
              <w:t xml:space="preserve">Liest einen Strukturbaum des Einführungsleitfadens, übernimmt SAPs Dokumentation je IMG-Aktivität und liest das Customizing dahinter bis in die Tabelleninhalte. Erzeugt auf Wunsch ein BC-Set.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092"/>
            <w:tcBorders>
              <w:top w:val="single" w:color="0063A6" w:sz="18"/>
              <w:left w:val="none" w:color="FFFFFF" w:sz="0"/>
              <w:bottom w:val="none" w:color="FFFFFF" w:sz="0"/>
              <w:right w:val="none" w:color="FFFFFF" w:sz="0"/>
            </w:tcBorders>
            <w:shd w:fill="F4F4F5" w:color="auto" w:val="clear"/>
            <w:tcMar>
              <w:top w:type="dxa" w:w="180"/>
              <w:left w:type="dxa" w:w="180"/>
              <w:bottom w:type="dxa" w:w="160"/>
              <w:right w:type="dxa" w:w="18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0063A6"/>
                <w:sz w:val="16"/>
                <w:szCs w:val="16"/>
              </w:rPr>
              <w:t xml:space="preserve">ZDOCUMIZER_DEV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Entwicklungen</w:t>
            </w:r>
          </w:p>
          <w:p>
            <w:pPr>
              <w:spacing w:after="0" w:line="264"/>
            </w:pPr>
            <w:r>
              <w:rPr>
                <w:color w:val="5F6062"/>
                <w:sz w:val="18"/>
                <w:szCs w:val="18"/>
              </w:rPr>
              <w:t xml:space="preserve">Startet an einem Paket, einem einzelnen Objekt oder einem Transportauftrag — Report, Klasse, Tabelle, CDS, RAP, IDoc, UI5-App, Formular. Liefert Felder, Methoden, Texte, Quelltext, Verwendungen. Und importiert.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092"/>
            <w:tcBorders>
              <w:top w:val="single" w:color="0063A6" w:sz="18"/>
              <w:left w:val="none" w:color="FFFFFF" w:sz="0"/>
              <w:bottom w:val="none" w:color="FFFFFF" w:sz="0"/>
              <w:right w:val="none" w:color="FFFFFF" w:sz="0"/>
            </w:tcBorders>
            <w:shd w:fill="F4F4F5" w:color="auto" w:val="clear"/>
            <w:tcMar>
              <w:top w:type="dxa" w:w="180"/>
              <w:left w:type="dxa" w:w="180"/>
              <w:bottom w:type="dxa" w:w="160"/>
              <w:right w:type="dxa" w:w="18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0063A6"/>
                <w:sz w:val="16"/>
                <w:szCs w:val="16"/>
              </w:rPr>
              <w:t xml:space="preserve">ZDOCUMIZER_ATC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Prüfkonfiguration</w:t>
            </w:r>
          </w:p>
          <w:p>
            <w:pPr>
              <w:spacing w:after="0" w:line="264"/>
            </w:pPr>
            <w:r>
              <w:rPr>
                <w:color w:val="5F6062"/>
                <w:sz w:val="18"/>
                <w:szCs w:val="18"/>
              </w:rPr>
              <w:t xml:space="preserve">Dokumentiert ATC- und Code-Inspector-Varianten: welche Checks laufen, mit welcher Priorität, Kundenpriorisierung, Pseudokommentar, Pragma und Ausnahmen.</w:t>
            </w:r>
          </w:p>
        </w:tc>
      </w:tr>
    </w:tbl>
    <w:p>
      <w:pPr>
        <w:spacing w:after="240"/>
      </w:pPr>
    </w:p>
    <w:p>
      <w:pPr>
        <w:pStyle w:val="Heading3"/>
      </w:pPr>
      <w:r>
        <w:t xml:space="preserve">Was den Documizer auszeichnet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Installiert in Sekunden.</w:t>
      </w:r>
      <w:r>
        <w:t xml:space="preserve"> Jeder Report ist eine einzige Quelle. Einfügen in SE38, aktivieren, fertig — auch dort, wo nichts installiert und kein Transport eingespielt werden darf.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Ein Format für alles.</w:t>
      </w:r>
      <w:r>
        <w:t xml:space="preserve"> Das XML ist vollständig, versioniert und lässt sich verlustfrei wieder einlesen. Das HTML ist in sich geschlossen und öffnet sich auch in Jahren noch ohne Nacharbeit.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Dokumentation, die zurück ins System kann.</w:t>
      </w:r>
      <w:r>
        <w:t xml:space="preserve"> Der Development-Report legt aus demselben Dokument Tabellen, Klassen, CDS-Views, RAP-Objekte, IDoc-Typen, UI5-Apps und Adobe-Formulare in einem anderen System an.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Auch ein Transport ist eine Quelle.</w:t>
      </w:r>
      <w:r>
        <w:t xml:space="preserve"> Auftragsnummer eintragen, und das Dokument beschreibt genau das, was dieser Transport enthält — mit Quelltext und Verwendungen.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Nicht nur S/4HANA.</w:t>
      </w:r>
      <w:r>
        <w:t xml:space="preserve"> Dieselbe Quelle läuft im alten ERP — geprüft bis hinunter zu SAP_BASIS 7.40. Was es dort nicht gibt, sucht der Report dynamisch und lässt es leer, statt abzubrechen.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Nie stillschweigend unvollständig.</w:t>
      </w:r>
      <w:r>
        <w:t xml:space="preserve"> Greift eine Mengengrenze, steht das im Dokument. Jeder Lauf kann sich selbst prüfen: serialisieren, einlesen, vergleichen.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Sicher im Kundensystem.</w:t>
      </w:r>
      <w:r>
        <w:t xml:space="preserve"> Die Berechtigungsprüfungen von SAP bleiben eingeschaltet. Customizing wird nie direkt geschrieben, sondern als BC-Set zur Prüfung angeboten.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Offen.</w:t>
      </w:r>
      <w:r>
        <w:t xml:space="preserve"> Apache-2.0-Lizenz, Quellen auf GitHub — siehe Kapitel 12.</w:t>
      </w:r>
    </w:p>
    <w:p>
      <w:r>
        <w:br w:type="page"/>
      </w:r>
    </w:p>
    <w:p>
      <w:pPr>
        <w:spacing w:after="240"/>
      </w:pPr>
      <w:r>
        <w:rPr>
          <w:b/>
          <w:bCs/>
          <w:color w:val="0063A6"/>
          <w:sz w:val="36"/>
          <w:szCs w:val="36"/>
        </w:rP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  Warum Documizer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SAP-Systeme wachsen über Jahre. Pakete, Klassen, CDS-Views, Customizing-Einträge — und mit jedem Release driftet die Dokumentation weiter von der Wirklichkeit weg.</w:t>
      </w:r>
    </w:p>
    <w:p>
      <w:pPr>
        <w:pStyle w:val="Heading2"/>
      </w:pPr>
      <w:r>
        <w:t xml:space="preserve">Vier Probleme aus dem Projektalltag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4600"/>
        <w:gridCol w:w="5038"/>
      </w:tblGrid>
      <w:tr>
        <w:trPr>
          <w:tblHeader/>
        </w:trPr>
        <w:tc>
          <w:tcPr>
            <w:tcW w:type="dxa" w:w="46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50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Was es kostet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Dokumentation veraltet.</w:t>
            </w:r>
            <w:r>
              <w:rPr>
                <w:sz w:val="18"/>
                <w:szCs w:val="18"/>
              </w:rPr>
              <w:t xml:space="preserve"> Sie beschreibt den Entwurf, nicht den Stand im System.</w:t>
            </w:r>
          </w:p>
        </w:tc>
        <w:tc>
          <w:tcPr>
            <w:tcW w:type="dxa" w:w="5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Einarbeitung dauert Wochen; Fehler werden an der falschen Stelle gesucht.</w:t>
            </w:r>
          </w:p>
        </w:tc>
      </w:tr>
      <w:tr>
        <w:trPr>
          <w:cantSplit/>
        </w:trPr>
        <w:tc>
          <w:tcPr>
            <w:tcW w:type="dxa" w:w="4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Kundensysteme sind abgeschottet.</w:t>
            </w:r>
            <w:r>
              <w:rPr>
                <w:sz w:val="18"/>
                <w:szCs w:val="18"/>
              </w:rPr>
              <w:t xml:space="preserve"> Keine Installation, keine Transporte, abapGit ist keine Option.</w:t>
            </w:r>
          </w:p>
        </w:tc>
        <w:tc>
          <w:tcPr>
            <w:tcW w:type="dxa" w:w="5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Werkzeuge, die im eigenen System selbstverständlich sind, stehen beim Kunden nicht zur Verfügung.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Wissen steckt im System.</w:t>
            </w:r>
            <w:r>
              <w:rPr>
                <w:sz w:val="18"/>
                <w:szCs w:val="18"/>
              </w:rPr>
              <w:t xml:space="preserve"> Wer was verwendet, welche Felder gelesen werden, welche Checks greifen — das steht in Tabellen, nicht in Dokumenten.</w:t>
            </w:r>
          </w:p>
        </w:tc>
        <w:tc>
          <w:tcPr>
            <w:tcW w:type="dxa" w:w="5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Auswirkungsanalysen werden geschätzt statt nachgelesen.</w:t>
            </w:r>
          </w:p>
        </w:tc>
      </w:tr>
      <w:tr>
        <w:trPr>
          <w:cantSplit/>
        </w:trPr>
        <w:tc>
          <w:tcPr>
            <w:tcW w:type="dxa" w:w="4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KI braucht Kontext.</w:t>
            </w:r>
            <w:r>
              <w:rPr>
                <w:sz w:val="18"/>
                <w:szCs w:val="18"/>
              </w:rPr>
              <w:t xml:space="preserve"> Ein Assistent hilft nur so gut, wie die Informationen, die er bekommt.</w:t>
            </w:r>
          </w:p>
        </w:tc>
        <w:tc>
          <w:tcPr>
            <w:tcW w:type="dxa" w:w="5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Einzelne Code-Schnipsel reichen für Recherche und Fehlersuche selten aus.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Die Antwort</w:t>
      </w:r>
    </w:p>
    <w:p>
      <w:pPr>
        <w:spacing w:after="140" w:line="288"/>
      </w:pPr>
      <w:r>
        <w:t xml:space="preserve">Der Documizer liest direkt aus dem laufenden System — über die Standard-APIs von SAP, wo es sie gibt. Er schreibt dabei nichts, außer wenn Sie ihn ausdrücklich zum Import auffordern. Das Ergebnis ist ein kapitelweise gegliedertes Dokument in zwei Formaten: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XML</w:t>
      </w:r>
      <w:r>
        <w:t xml:space="preserve"> — vollständig, versioniert, maschinenlesbar. Das Transportformat für den Import und die ideale Eingabe für KI-Assistenten.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HTML</w:t>
      </w:r>
      <w:r>
        <w:t xml:space="preserve"> — eine einzige Datei mit Inhaltsverzeichnis, eingebettetem Stil und ohne JavaScript. Zum Lesen, Weitergeben, Ablegen.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Das Prinzip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Eine Quelle je Report. Ein Format für Mensch, System und KI. Keine Installation im Zielsystem.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2  Sieben Einsatzszenarien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Derselbe Report, dieselbe Datei — sieben Aufgaben, für die sonst jeweils ein eigenes Werkzeug nötig wäre.</w:t>
      </w:r>
    </w:p>
    <w:p>
      <w:pPr>
        <w:pStyle w:val="Heading2"/>
      </w:pPr>
      <w:r>
        <w:t xml:space="preserve">Entwicklungen dokumentieren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Ein Paket, eine Anwendung oder ein einzelnes Objekt soll vollständig beschrieben werden — für Übergabe, Wartung, Audit oder Einarbeitung neuer Kollegen.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Kurztexte, Autor und Paket je Objekt, auf Wunsch die Objektdokumentation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Feldlisten von Tabellen, Strukturen, Views und CDS-Views mit Datenelementen und Schlüsseln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Klassen mit Oberklasse, Schnittstellen, Komponenten und lokalen Klassen — auch die Handler eines RAP-Behavior-Pools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Quelltext, Verwendungsnachweis mit Fundstellen und die Objekte, die verwendet werden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Eine Dokumentation, die dem System entspricht — auf Knopfdruck neu erzeugt, statt mühsam nachgepflegt.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Einen Transport dokumentieren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Was steckt in diesem Auftrag? Vor einer Abnahme, einem Review oder einem Import in die Produktion soll nachlesbar sein, was er tatsächlich verändert.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Auftragsnummer als Startpunkt — die Wertehilfe zeigt die eigenen Aufträge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Kopf mit Art, Status, Kurztext, Eigentümer, Datum, Zielsystem und den Aufgaben darunter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Jedes Objekt des Auftrags als Kapitel, mit Details, Quelltext und Verwendungen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Customizing-Einträge, Löschungen und fehlende Objekte werden vorweg benannt statt übergangen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Ein Transport wird lesbar, bevor er ankommt — und mit dem Testlauf des Imports sehen Sie sogar, was er im Zielsystem verändern würde.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IMG-Einstellungen dokumentieren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Das Customizing eines Bereichs oder Projekts soll nachvollziehbar festgehalten werden — mit Erklärung und tatsächlichen Werten.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Strukturbaum des Einführungsleitfadens mit allen IMG-Aktivitäten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SAPs Standarddokumentation je Aktivität, als lesbarer Text aufbereitet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Die Customizing-Tabellen dahinter mit Feldliste und Inhalt — auf Wunsch nur die kundeneigenen Einträge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Projektstatus und Memo aus einem IMG-Projekt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Die Customizing-Dokumentation entsteht aus dem System selbst. SAPs Erklärung steht direkt neben Ihren Werten.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Entwicklungen übertragen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Objekte sollen in ein anderes System — etwa aus der Sandbox ins Kundensystem —, wo weder Transporte eingespielt noch abapGit installiert werden können.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Definitionsdaten im XML: dieselben Strukturen, die SAP beim Lesen liefert und beim Anlegen erwartet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Import von über 20 Objektarten, von der Domäne bis zum Adobe-Formular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Testlauf als Vorbelegung, bestehende Objekte bleiben unangetastet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Objekte einzeln abwählbar oder umbenennbar, Paketregeln alt → neu, Auftrag und Aufgabe automatisch zugeordnet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Entwicklungen wandern als eine Datei. Das Zielsystem braucht nur den Documizer selbst.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Customizing übertragen per BC-Set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Customizing aus einem System soll in einem anderen nachgezogen werden — kontrolliert und nachvollziehbar.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Aus dem IMG-Dokument entsteht ein Business Configuration Set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Aktiviert wird in SCPR20: mit Protokoll, Transportauftrag, Vorschau und Weg zurück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Eine Fehlliste nennt die Tabellen, die im Zielsystem noch fehlen — der Development-Report exportiert genau diese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Kein Report schreibt in Ihre Customizing-Tabellen. Sie entscheiden, was aktiviert wird.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KI-gestützte Analyse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Ein KI-Assistent wie Claude soll bei Recherche, Fehlersuche oder Dokumentation helfen — und braucht dafür den vollständigen Zusammenhang.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Ein strukturiertes XML mit Quelltexten, Feldlisten, Verwendungen und Customizing in einem Stück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Eindeutige Kapitel und Objektreferenzen, auf die sich Fragen beziehen lassen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Vermerke, wo etwas gekürzt wurde — der Assistent weiß, was er nicht sieht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Statt einzelne Schnipsel zu kopieren, geben Sie dem Assistenten die ganze Anwendung — und bekommen fundierte Antworten.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Prüfstandards transparent machen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Welche ATC-Checks laufen, mit welcher Priorität, und wie lassen sich Meldungen unterdrücken? Die Antwort steht verteilt in Clustern und Klassen.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Prüfvarianten mit Kategorien, Checks und allen Meldungen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Priorität der Checkklasse neben der kundeneigenen Priorisierung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Pseudokommentar und Pragma je Meldung, erteilte Ausnahmen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Code-Standards werden nachlesbar und zwischen Systemen vergleichbar.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3  Installation in Sekunden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Jeder Report ist eine einzige Quelltextdatei. Es gibt nichts zu transportieren und nichts zu konfigurieren.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SE38 aufrufen, Programmnamen vergeben (etwa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ZDOCUMIZER_DEV</w:t>
      </w:r>
      <w:r>
        <w:t xml:space="preserve">), </w:t>
      </w:r>
      <w:r>
        <w:rPr>
          <w:b/>
          <w:bCs/>
        </w:rPr>
        <w:t xml:space="preserve">Anlegen</w:t>
      </w:r>
      <w:r>
        <w:t xml:space="preserve"> wählen, Typ </w:t>
      </w:r>
      <w:r>
        <w:rPr>
          <w:i/>
          <w:iCs/>
        </w:rPr>
        <w:t xml:space="preserve">Ausführbares Programm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Quelltext einfügen, sichern, aktivieren.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Programmtitel unter </w:t>
      </w:r>
      <w:r>
        <w:rPr>
          <w:i/>
          <w:iCs/>
        </w:rPr>
        <w:t xml:space="preserve">Springen → Attribute</w:t>
      </w:r>
      <w:r>
        <w:t xml:space="preserve"> eintragen — das einzige, was von Hand gesetzt wird.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Warum das funktioniert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Keine globalen Klassen, keine Textelemente, keine eigenen Tabellen, keine Simple Transformation, keine Nachrichtenklasse. Alle Bildschirmtexte stehen im Quelltext — auf Englisch, bei deutscher Anmeldung auf Deutsch.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XML wird über die Kernelklassen </w:t>
            </w:r>
            <w:r>
              <w:rPr>
                <w:rFonts w:ascii="Consolas" w:cs="Consolas" w:eastAsia="Consolas" w:hAnsi="Consolas"/>
                <w:color w:val="0A4D80"/>
                <w:sz w:val="18"/>
                <w:szCs w:val="18"/>
              </w:rPr>
              <w:t xml:space="preserve">cl_sxml_string_writer</w:t>
            </w:r>
            <w:r>
              <w:rPr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color w:val="0A4D80"/>
                <w:sz w:val="18"/>
                <w:szCs w:val="18"/>
              </w:rPr>
              <w:t xml:space="preserve">cl_sxml_string_reader</w:t>
            </w:r>
            <w:r>
              <w:rPr>
                <w:sz w:val="20"/>
                <w:szCs w:val="20"/>
              </w:rPr>
              <w:t xml:space="preserve"> geschrieben und gelesen. Sie sind in jedem System vorhanden.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Reportdokumentation im System (optional)</w:t>
      </w:r>
    </w:p>
    <w:p>
      <w:pPr>
        <w:spacing w:after="140" w:line="288"/>
      </w:pPr>
      <w:r>
        <w:t xml:space="preserve">Der Hilfsreport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ZDOCUMIZER_DOCU</w:t>
      </w:r>
      <w:r>
        <w:t xml:space="preserve"> schreibt die SAP-Reportdokumentation für die drei Reports — sichtbar in SE38 unter </w:t>
      </w:r>
      <w:r>
        <w:rPr>
          <w:i/>
          <w:iCs/>
        </w:rPr>
        <w:t xml:space="preserve">Dokumentation</w:t>
      </w:r>
      <w:r>
        <w:t xml:space="preserve"> und über das Info-Symbol des Selektionsbilds. Für die Funktion wird er nicht gebraucht; sinnvoll ist er, wenn im System weitere Kollegen mit dem Documizer arbeiten.</w:t>
      </w:r>
    </w:p>
    <w:p>
      <w:pPr>
        <w:pStyle w:val="Heading2"/>
      </w:pPr>
      <w:r>
        <w:t xml:space="preserve">Systemvoraussetzungen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  <w:tc>
          <w:tcPr>
            <w:tcW w:type="dxa" w:w="66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Anforderung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Plattform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SAP S/4HANA On-Premise </w:t>
            </w:r>
            <w:r>
              <w:rPr>
                <w:b/>
                <w:bCs/>
                <w:sz w:val="18"/>
                <w:szCs w:val="18"/>
              </w:rPr>
              <w:t xml:space="preserve">und</w:t>
            </w:r>
            <w:r>
              <w:rPr>
                <w:sz w:val="18"/>
                <w:szCs w:val="18"/>
              </w:rPr>
              <w:t xml:space="preserve"> SAP ERP (R/3), klassisches ABAP</w:t>
            </w:r>
          </w:p>
        </w:tc>
      </w:tr>
      <w:tr>
        <w:trPr>
          <w:cantSplit/>
        </w:trPr>
        <w:tc>
          <w:tcPr>
            <w:tcW w:type="dxa" w:w="30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Release</w:t>
            </w:r>
          </w:p>
        </w:tc>
        <w:tc>
          <w:tcPr>
            <w:tcW w:type="dxa" w:w="66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Verifiziert auf SAP_BASIS 758 (S/4HANA 2023). Für ältere Stände umgebaut: POSIX-</w:t>
            </w: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REGEX</w:t>
            </w:r>
            <w:r>
              <w:rPr>
                <w:sz w:val="18"/>
                <w:szCs w:val="18"/>
              </w:rPr>
              <w:t xml:space="preserve"> statt </w:t>
            </w: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PCRE</w:t>
            </w:r>
            <w:r>
              <w:rPr>
                <w:sz w:val="18"/>
                <w:szCs w:val="18"/>
              </w:rPr>
              <w:t xml:space="preserve">, keine Konstruktoren, die erst ab 7.55 gelten — der IMG-Report läuft nachweislich auf einem Kundensystem mit SAP_BASIS 7.40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Berechtigung Dokumentation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Lesender Zugriff auf das Repository; für Customizing-Inhalte </w:t>
            </w: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S_TABU_NAM</w:t>
            </w:r>
          </w:p>
        </w:tc>
      </w:tr>
      <w:tr>
        <w:trPr>
          <w:cantSplit/>
        </w:trPr>
        <w:tc>
          <w:tcPr>
            <w:tcW w:type="dxa" w:w="30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Berechtigung Import</w:t>
            </w:r>
          </w:p>
        </w:tc>
        <w:tc>
          <w:tcPr>
            <w:tcW w:type="dxa" w:w="66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S_DEVELOP</w:t>
            </w:r>
            <w:r>
              <w:rPr>
                <w:sz w:val="18"/>
                <w:szCs w:val="18"/>
              </w:rPr>
              <w:t xml:space="preserve"> für die anzulegenden Objekte und Pakete — die SAP-Prüfungen bleiben eingeschaltet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Betrieb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Dialog und Hintergrund; im Hintergrund Ablage auf dem Applikationsserver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Auch im alten ERP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Neuere Objektarten gibt es in einem älteren System nicht — RAP, CDS, UI5. Der Report sucht sie deshalb dynamisch und läuft auch dort, wo es sie nicht gibt: was fehlt, bleibt leer, statt den Lauf abzubrechen.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4  Customizing dokumentieren: ZDOCUMIZER_IMG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Der IMG-Report liest einen Strukturbaum des Einführungsleitfadens, ordnet jedem Knoten seine IMG-Aktivität zu und geht bis zu den Customizing-Einträgen hinunter.</w:t>
      </w:r>
    </w:p>
    <w:p>
      <w:pPr>
        <w:pStyle w:val="Heading2"/>
      </w:pPr>
      <w:r>
        <w:t xml:space="preserve">Was im Dokument steht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1  &lt;Wurzelknoten&gt;                          Gliederungskapitel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1.1 &lt;Unterknoten&gt;                       Gliederungskapitel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1.1.1 &lt;IMG-Aktivität&gt;               Aktivitätskapitel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Beschreibung               SAP-Dokumentation, lesbar aufbereitet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Technische Zuordnung       Aktivität, Transaktion, Dokuobjekt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Projektstatus / Memo       im Projektmodus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Objekt je Zuordnung        Feldliste, Auswahlverfahren, Zeilenzahl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Customizing-Inhalt         Daten gemäß Mengensteuerung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Transport-Historie         Aufträge zur Tabelle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└─ Verwendete Objekte         Programm hinter der Transaktion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Selektionsbild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500"/>
        <w:gridCol w:w="1300"/>
        <w:gridCol w:w="4838"/>
      </w:tblGrid>
      <w:tr>
        <w:trPr>
          <w:tblHeader/>
        </w:trPr>
        <w:tc>
          <w:tcPr>
            <w:tcW w:type="dxa" w:w="35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13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Vorbelegung</w:t>
            </w:r>
          </w:p>
        </w:tc>
        <w:tc>
          <w:tcPr>
            <w:tcW w:type="dxa" w:w="48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Wirkung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Struktur-ID (GUID) / oder Suchbegriff Wurzel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Einstieg. Die eigene Wertehilfe zeigt Wurzelknoten mit Text, Knotenzahl und Änderungsdatum — statt 500 nackter GUIDs</w:t>
            </w:r>
          </w:p>
        </w:tc>
      </w:tr>
      <w:tr>
        <w:trPr>
          <w:cantSplit/>
        </w:trPr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Projekt (Status/Memo) / nur Projektknoten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4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Überlagert den Baum mit einem IMG-Projekt, beschneidet auf dessen Knoten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Max. Tiefe / Max. Kapitel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 / 300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Umfang des Baums; 0 = alle</w:t>
            </w:r>
          </w:p>
        </w:tc>
      </w:tr>
      <w:tr>
        <w:trPr>
          <w:cantSplit/>
        </w:trPr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Unterstrukturen auflösen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</w:t>
            </w:r>
          </w:p>
        </w:tc>
        <w:tc>
          <w:tcPr>
            <w:tcW w:type="dxa" w:w="4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Entscheidend: ohne dies endet der Lauf nach der ersten Ebene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Standarddokumentation / Objektzuordnung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an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SAP-Doku je Aktivität, zugeordnete Customizing-Objekte</w:t>
            </w:r>
          </w:p>
        </w:tc>
      </w:tr>
      <w:tr>
        <w:trPr>
          <w:cantSplit/>
        </w:trPr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Customizing-Inhalte lesen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</w:t>
            </w:r>
          </w:p>
        </w:tc>
        <w:tc>
          <w:tcPr>
            <w:tcW w:type="dxa" w:w="4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Feldliste und Tabelleninhalte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nur kundeneigene Einträge / Max. Zeilen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500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Mengensteuerung, siehe unten</w:t>
            </w:r>
          </w:p>
        </w:tc>
      </w:tr>
      <w:tr>
        <w:trPr>
          <w:cantSplit/>
        </w:trPr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Transport-Historie / Ausgehende Aufrufe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 / aus</w:t>
            </w:r>
          </w:p>
        </w:tc>
        <w:tc>
          <w:tcPr>
            <w:tcW w:type="dxa" w:w="4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Aufträge je Tabelle; Programm hinter der Transaktion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Nur, was Ihnen gehört</w:t>
      </w:r>
    </w:p>
    <w:p>
      <w:pPr>
        <w:spacing w:after="140" w:line="288"/>
      </w:pPr>
      <w:r>
        <w:t xml:space="preserve">Customizing-Tabellen reichen von drei Zeilen bis zu Millionen. Mit </w:t>
      </w:r>
      <w:r>
        <w:rPr>
          <w:i/>
          <w:iCs/>
        </w:rPr>
        <w:t xml:space="preserve">nur kundeneigene Einträge</w:t>
      </w:r>
      <w:r>
        <w:t xml:space="preserve"> wirken zwei Verfahren zugleich: der </w:t>
      </w:r>
      <w:r>
        <w:rPr>
          <w:b/>
          <w:bCs/>
        </w:rPr>
        <w:t xml:space="preserve">Namensraum</w:t>
      </w:r>
      <w:r>
        <w:t xml:space="preserve"> des ersten Schlüsselfelds (Y, Z,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/</w:t>
      </w:r>
      <w:r>
        <w:t xml:space="preserve">) und das </w:t>
      </w:r>
      <w:r>
        <w:rPr>
          <w:b/>
          <w:bCs/>
        </w:rPr>
        <w:t xml:space="preserve">Vorkommen in Transportaufträgen</w:t>
      </w:r>
      <w:r>
        <w:t xml:space="preserve"> zu dieser Tabelle. So werden auch nie transportierte Einträge und Schlüssel außerhalb des Kundennamensraums gefunden.</w:t>
      </w:r>
    </w:p>
    <w:p>
      <w:pPr>
        <w:spacing w:after="140" w:line="288"/>
      </w:pPr>
      <w:r>
        <w:t xml:space="preserve">Welches Verfahren gegriffen hat, steht am Objekt — nicht nur im Protokoll. Fehlt die Leseberechtigung, erscheint das Objekt mit Vermerk statt stillschweigend leer.</w:t>
      </w:r>
    </w:p>
    <w:p>
      <w:pPr>
        <w:pStyle w:val="Heading2"/>
      </w:pPr>
      <w:r>
        <w:t xml:space="preserve">Projektmodus</w:t>
      </w:r>
    </w:p>
    <w:p>
      <w:pPr>
        <w:spacing w:after="140" w:line="288"/>
      </w:pPr>
      <w:r>
        <w:t xml:space="preserve">Ein IMG-Projekt trägt je Aktivität Status, Fortschritt und Memo. Der Report überlagert den Baum damit und kann auf die bearbeiteten Knoten beschneiden. Gliederungskapitel bleiben erhalten, solange darunter ein Projektknoten hängt; die Kapitelnummern behalten ihre Position, Lücken zeigen, was ausgelassen wurde.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Gemessen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Projektmodus mit 351 Kapiteln: </w:t>
            </w:r>
            <w:r>
              <w:rPr>
                <w:b/>
                <w:bCs/>
                <w:sz w:val="20"/>
                <w:szCs w:val="20"/>
              </w:rPr>
              <w:t xml:space="preserve">0,48 Sekunden</w:t>
            </w:r>
            <w:r>
              <w:rPr>
                <w:sz w:val="20"/>
                <w:szCs w:val="20"/>
              </w:rPr>
              <w:t xml:space="preserve">. Der Einstieg wird aus den Projektdaten abgeleitet — statt über den ganzen Leitfaden zu laufen.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5  Customizing übertragen: BC-Sets und Fehlliste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Die Gegenrichtung des IMG-Reports: aus einem Dokument entsteht im Zielsystem ein Business Configuration Set. Geschrieben wird damit noch nichts.</w:t>
      </w:r>
    </w:p>
    <w:p>
      <w:pPr>
        <w:pStyle w:val="Heading2"/>
      </w:pPr>
      <w:r>
        <w:t xml:space="preserve">Warum ein BC-Set und kein Direktzugriff</w:t>
      </w:r>
    </w:p>
    <w:p>
      <w:pPr>
        <w:spacing w:after="140" w:line="288"/>
      </w:pPr>
      <w:r>
        <w:t xml:space="preserve">Das Customizing entsteht erst, wenn jemand das Set in </w:t>
      </w:r>
      <w:r>
        <w:rPr>
          <w:b/>
          <w:bCs/>
        </w:rPr>
        <w:t xml:space="preserve">SCPR20</w:t>
      </w:r>
      <w:r>
        <w:t xml:space="preserve"> aktiviert. Aktivierung läuft mit Protokoll, mit Transportauftrag, mit Vorschau und mit einem Weg zurück. Ein Report, der direkt in Customizing-Tabellen schreibt, hätte davon nichts.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Sperre</w:t>
            </w:r>
          </w:p>
        </w:tc>
        <w:tc>
          <w:tcPr>
            <w:tcW w:type="dxa" w:w="58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Grund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Tabelle im Zielsystem unbekannt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 Set auf eine fehlende Tabelle lässt sich nicht aktivieren</w:t>
            </w:r>
          </w:p>
        </w:tc>
      </w:tr>
      <w:tr>
        <w:trPr>
          <w:cantSplit/>
        </w:trPr>
        <w:tc>
          <w:tcPr>
            <w:tcW w:type="dxa" w:w="38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Auslieferungsklasse nicht C, G oder E</w:t>
            </w:r>
          </w:p>
        </w:tc>
        <w:tc>
          <w:tcPr>
            <w:tcW w:type="dxa" w:w="5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Alles andere ist keine Customizing-Tabelle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Inhalt beim Export gekürzt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 gekürzter Inhalt sähe im Set vollständig aus — beim Aktivieren verschwände der Rest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Die Fehlliste schließt den Kreis</w:t>
      </w:r>
    </w:p>
    <w:p>
      <w:pPr>
        <w:spacing w:after="140" w:line="288"/>
      </w:pPr>
      <w:r>
        <w:t xml:space="preserve">Kundeneigene Customizing-Tabellen gibt es im Zielsystem oft noch nicht — sie sind Entwicklung. Der IMG-Report schreibt deshalb eine </w:t>
      </w:r>
      <w:r>
        <w:rPr>
          <w:b/>
          <w:bCs/>
        </w:rPr>
        <w:t xml:space="preserve">Fehlliste</w:t>
      </w:r>
      <w:r>
        <w:t xml:space="preserve"> der übergangenen Objekte. Im Quellsystem liest der Development-Report diese Liste als Startpunkt und exportiert genau diese Objekte. Nach deren Import läuft die BC-Set-Erzeugung auch für sie durch.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Zielsystem     IMG-Report       BC-Set erzeugen  →  Fehlliste: Z_SKIP_IND, ZV_SKIP_IND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Quellsystem    DEV-Report       Startpunkt AL    →  Export mit Definitionsdaten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Zielsystem     DEV-Report       Import           →  Tabelle und View angelegt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Zielsystem     IMG-Report       BC-Set erzeugen  →  vollständig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Das Zielsystem sagt selbst, was fehlt. Angefordert wird nur, was dort wirklich nicht vorhanden ist.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6  Entwicklungen dokumentieren: ZDOCUMIZER_DEV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Der Einstieg ist ein Paar aus Typ und Name, wie im Object Navigator. Ein Paket ergibt Paket → Objekttyp → Objekt; ein Einzelobjekt ergibt das Objekt, alles was es verwendet, und alle, die es verwenden.</w:t>
      </w:r>
    </w:p>
    <w:p>
      <w:pPr>
        <w:pStyle w:val="Heading2"/>
      </w:pPr>
      <w:r>
        <w:t xml:space="preserve">Startpunkte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900"/>
        <w:gridCol w:w="3919"/>
        <w:gridCol w:w="900"/>
        <w:gridCol w:w="3919"/>
      </w:tblGrid>
      <w:tr>
        <w:trPr>
          <w:tblHeader/>
        </w:trPr>
        <w:tc>
          <w:tcPr>
            <w:tcW w:type="dxa" w:w="9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3919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Startpunkt</w:t>
            </w:r>
          </w:p>
        </w:tc>
        <w:tc>
          <w:tcPr>
            <w:tcW w:type="dxa" w:w="9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3919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Startpunkt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K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Paket (Vorbelegung)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SB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Service-Binding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P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Programm / Report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IS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IDoc-Segmenttyp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C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Klasse oder Interface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IT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IDoc-Basistyp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FF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Funktionsbaustein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U5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UI5-Anwendung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F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Funktionsgruppe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SF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Smart Form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T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Tabelle / Struktur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AF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Adobe Form (Formular)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V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View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AI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Adobe Form (Schnittstelle)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D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Datenelement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TR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Transportauftrag / Aufgabe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DO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Domäne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AL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Arbeitsliste aus Fehlliste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W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CDS View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MX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Metadata Extension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BD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Verhaltensdefinition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SD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Service-Definition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Zwei Codes benennen kein Objekt, sondern eine Liste davon: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AL</w:t>
      </w:r>
      <w:r>
        <w:t xml:space="preserve"> die Fehlliste aus dem Zielsystem und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TR</w:t>
      </w:r>
      <w:r>
        <w:t xml:space="preserve"> einen Transportauftrag. Jedes Objekt der Liste wird ein eigenes Kapitel.</w:t>
      </w:r>
    </w:p>
    <w:p>
      <w:pPr>
        <w:pStyle w:val="Heading2"/>
      </w:pPr>
      <w:r>
        <w:t xml:space="preserve">Einen Transportauftrag dokumentieren</w:t>
      </w:r>
    </w:p>
    <w:p>
      <w:pPr>
        <w:spacing w:after="140" w:line="288"/>
      </w:pPr>
      <w:r>
        <w:t xml:space="preserve">Mit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TR</w:t>
      </w:r>
      <w:r>
        <w:t xml:space="preserve"> steht im Namensfeld eine Auftrags- oder Aufgabennummer; die Wertehilfe zeigt die eigenen Aufträge, die neuesten zuerst. </w:t>
      </w:r>
      <w:r>
        <w:rPr>
          <w:b/>
          <w:bCs/>
        </w:rPr>
        <w:t xml:space="preserve">Der Auftrag selbst steht in Kapitel 1</w:t>
      </w:r>
      <w:r>
        <w:t xml:space="preserve"> — mit Nummer, Art, Status, Kurztext, Eigentümer, Datum, Zielsystem und der Zahl der Aufgaben; die Objekte beginnen bei 2. Drei Eigenheiten des Korrektursystems nimmt der Report Ihnen ab: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Die Objekte hängen an den Aufgaben, nicht am Auftrag.</w:t>
      </w:r>
      <w:r>
        <w:t xml:space="preserve"> Die Objektliste eines Auftrags ist regelmäßig leer — transportiert wird, was in den Aufgaben darunter steht. Gelesen werden beide Ebenen.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Teile werden auf ihr Objekt zurückgeführt.</w:t>
      </w:r>
      <w:r>
        <w:t xml:space="preserve"> Ein Auftrag führt neben ganzen Objekten auch einzelne Methoden, Includes und Tabellendefinitionen auf. Dokumentiert wird das Objekt, zu dem der Teil gehört, und jedes nur einmal.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Was kein dokumentierbares Objekt ist, wird vorweg genannt:</w:t>
      </w:r>
      <w:r>
        <w:t xml:space="preserve"> Customizing-Einträge mit Tabelle und Zahl der Schlüssel samt Verweis auf den IMG-Report, Löschungen, Einträge ohne Katalogobjekt und Objekte, die es im System nicht mehr gibt.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Freigegeben oder änderbar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Ein freigegebener Auftrag dokumentiert, was drin </w:t>
            </w:r>
            <w:r>
              <w:rPr>
                <w:i/>
                <w:iCs/>
                <w:sz w:val="20"/>
                <w:szCs w:val="20"/>
              </w:rPr>
              <w:t xml:space="preserve">war</w:t>
            </w:r>
            <w:r>
              <w:rPr>
                <w:sz w:val="20"/>
                <w:szCs w:val="20"/>
              </w:rPr>
              <w:t xml:space="preserve">; ein änderbarer, was gerade drin </w:t>
            </w:r>
            <w:r>
              <w:rPr>
                <w:i/>
                <w:iCs/>
                <w:sz w:val="20"/>
                <w:szCs w:val="20"/>
              </w:rPr>
              <w:t xml:space="preserve">ist</w:t>
            </w:r>
            <w:r>
              <w:rPr>
                <w:sz w:val="20"/>
                <w:szCs w:val="20"/>
              </w:rPr>
              <w:t xml:space="preserve">. Im zweiten Fall steht das als Hinweis im Kopf — sonst liest sich beides gleich.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Was sich gegenüber dem vorigen Transport geändert hat</w:t>
      </w:r>
    </w:p>
    <w:p>
      <w:pPr>
        <w:spacing w:after="140" w:line="288"/>
      </w:pPr>
      <w:r>
        <w:t xml:space="preserve">Mit dem Kennzeichen </w:t>
      </w:r>
      <w:r>
        <w:rPr>
          <w:i/>
          <w:iCs/>
        </w:rPr>
        <w:t xml:space="preserve">Änderungen zur Vorversion</w:t>
      </w:r>
      <w:r>
        <w:t xml:space="preserve"> steht in jedem Objektkapitel, was dieser Transport gegenüber dem vorigen ändert — grün, rot und mit Umgebung, genau wie der Vergleich im Testlauf des Imports: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Aenderungen gegenueber EBSK900017 vom 2017-10-07: +4 / -1 Zeilen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8   PARAMETERS: p_vbeln TYPE vbak-vbeln 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9 - PARAMETERS : ordtype TYPE auart DEFAULT 'ZCM'.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9 + *{   REPLACE        S4HK901040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11 + PARAMETERS : ordtype TYPE auart DEFAULT 'OR'.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13   PARAMETERS : fromdate TYPE dats,</w:t>
            </w:r>
          </w:p>
        </w:tc>
      </w:tr>
    </w:tbl>
    <w:p>
      <w:pPr>
        <w:spacing w:after="180"/>
      </w:pPr>
    </w:p>
    <w:p>
      <w:pPr>
        <w:spacing w:after="140" w:line="288"/>
      </w:pPr>
      <w:r>
        <w:t xml:space="preserve">Beide Fassungen kommen aus der </w:t>
      </w:r>
      <w:r>
        <w:rPr>
          <w:b/>
          <w:bCs/>
        </w:rPr>
        <w:t xml:space="preserve">Versionsverwaltung</w:t>
      </w:r>
      <w:r>
        <w:t xml:space="preserve">: Beim Freigeben legt SAP je Objekt eine Version an und merkt sich die Auftragsnummer dazu. Die Version dieses Transports ist die mit seiner Nummer, der Vorgänger die nächstältere — gleich aus welchem Auftrag sie stammt, auch aus einem anderen System.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Verglichen wird Teil für Teil.</w:t>
      </w:r>
      <w:r>
        <w:t xml:space="preserve"> Eine Klasse besteht in der Versionsverwaltung aus Definition, den drei Abschnitten und je Methode einem Eintrag, eine Funktionsgruppe aus ihren Bausteinen. Jeder Teil bekommt seine eigene Überschrift.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Noch nicht freigegeben?</w:t>
      </w:r>
      <w:r>
        <w:t xml:space="preserve"> Dann gibt es für den Auftrag noch keine Version, und es steht der aktuelle Stand gegen die jüngste vorhandene — das, was dieser Transport bringen </w:t>
      </w:r>
      <w:r>
        <w:rPr>
          <w:i/>
          <w:iCs/>
        </w:rPr>
        <w:t xml:space="preserve">wird</w:t>
      </w:r>
      <w:r>
        <w:t xml:space="preserve">, gegen das, was zuletzt transportiert wurde. Vor einer Abnahme ist genau das die Frage.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Nicht jede Objektart hat Versionen</w:t>
      </w:r>
      <w:r>
        <w:t xml:space="preserve"> — UI5-Anwendungen und Formulare etwa nicht. Dort entfällt der Vergleich; wie viele Objekte verglichen wurden, steht am Ende des Laufs.</w:t>
      </w:r>
    </w:p>
    <w:p>
      <w:pPr>
        <w:pStyle w:val="Heading2"/>
      </w:pPr>
      <w:r>
        <w:t xml:space="preserve">Selektionsbild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900"/>
        <w:gridCol w:w="1300"/>
        <w:gridCol w:w="4438"/>
      </w:tblGrid>
      <w:tr>
        <w:trPr>
          <w:tblHeader/>
        </w:trPr>
        <w:tc>
          <w:tcPr>
            <w:tcW w:type="dxa" w:w="39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13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Vorbelegung</w:t>
            </w:r>
          </w:p>
        </w:tc>
        <w:tc>
          <w:tcPr>
            <w:tcW w:type="dxa" w:w="44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Wirkung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Unterpakete rekursiv / lokale Pakete einbeziehen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aus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Umfang im Paketmodus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Objekttyp / Objektname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Filter auf die Objektliste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Max. Objekte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2000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Die Gesamtzahl bleibt im Dokument vermerkt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Objektdokumentation / Details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an</w:t>
            </w: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Doku; Felder, Methoden, Textelemente, Festwerte …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Quelltext ausgeben / Max. Zeilen je Objekt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30000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Quelltext; eine Kürzung steht im Kopf des Dokuments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Verwendungsnachweis / auch für verwendete Objekte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an</w:t>
            </w: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 nutzt das Objekt — mit Fundstellen und Feldern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Ausgehende Aufrufe / Verweistiefe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3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Was das Objekt nutzt, und wie tief dem gefolgt wird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Verwendungstiefe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Gefundene Verwender selbst als Kapitel dokumentieren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SAP-Standard ausschließen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Nur Eigenentwicklung in den Verweislisten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Definitionsdaten für Reimport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</w:t>
            </w: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Technische Definition für den Import — zieht die XML-Ausgabe nach sich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Details je Objektart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Objektart</w:t>
            </w:r>
          </w:p>
        </w:tc>
        <w:tc>
          <w:tcPr>
            <w:tcW w:type="dxa" w:w="64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 Dokument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Programm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Titel, Selektionstexte, Textsymbole, Überschriften, Objektdokumentation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Klasse, Interface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Oberklasse, Schnittstellen, Komponenten, implementierte Schnittstellenmethoden, lokale Klassen mit Methoden; Quelltext als eine geschlossene Quelle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Funktionsbaustein, -gruppe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Schnittstelle mit allen Parametern; Bausteinliste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Tabelle, Struktur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Feldliste mit Datenelement oder eingebautem Typ und Schlüssel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View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Feldliste, Basistabellen mit Join-Bedingung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CDS View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Feldliste der Entität, verwendete Objekte, Quelltext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Verhaltensdefinition, Service-Definition, Metadata Extension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Beschreibung und Quelltext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Service-Binding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Bindungsart, verknüpfte Service-Definition, Publikationsstand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IDoc-Basistyp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Segmenthierarchie (WE60), Nachrichtentypen (WE82), verarbeitende Bausteine (WE57)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IDoc-Segment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Felder mit den Datenelementen, die WE31 zeigt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UI5-Anwendung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Beschreibung; mit Definitionsdaten alle Dateien samt Verzeichnisbaum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Smart Form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Knotenbaum, Schnittstelle, globale Definitionen und das Coding der Code-Knoten — gelesen aus dem Objektmodell des Form Builders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Adobe Form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Formular und seine Schnittstelle als Einheit: Kontext, Felder, Handler-Klasse; mit Definitionsdaten das Layout als Ganzes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Datenelement, Domäne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Feldbezeichner; Festwerte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Verweise in beide Richtungen</w:t>
      </w:r>
    </w:p>
    <w:p>
      <w:pPr>
        <w:spacing w:after="140" w:line="288"/>
      </w:pPr>
      <w:r>
        <w:rPr>
          <w:b/>
          <w:bCs/>
        </w:rPr>
        <w:t xml:space="preserve">Ausgehende Aufrufe</w:t>
      </w:r>
      <w:r>
        <w:t xml:space="preserve"> zeigen, was ein Objekt verwendet. Weil die Querverweisindizes von SAP jeweils nur einen Teil kennen, liest der Report zusätzlich den Quelltext: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CALL FUNCTION</w:t>
      </w:r>
      <w:r>
        <w:t xml:space="preserve">,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SUBMIT</w:t>
      </w:r>
      <w:r>
        <w:t xml:space="preserve">, Tabellenzugriffe, Includes, Nachrichtenklassen — und sogar Objektnamen in Zeichenliteralen, die zur Laufzeit gebraucht werden. Jeder Treffer wird gegen den Objektkatalog geprüft, bevor er ins Dokument kommt.</w:t>
      </w:r>
    </w:p>
    <w:p>
      <w:pPr>
        <w:spacing w:after="140" w:line="288"/>
      </w:pPr>
      <w:r>
        <w:t xml:space="preserve">Der </w:t>
      </w:r>
      <w:r>
        <w:rPr>
          <w:b/>
          <w:bCs/>
        </w:rPr>
        <w:t xml:space="preserve">Verwendungsnachweis</w:t>
      </w:r>
      <w:r>
        <w:t xml:space="preserve"> zeigt, wer ein Objekt nutzt: mit Programmart, bei Tabellen mit Zugriffsart lesend oder schreibend, mit Fundstellen samt Zeilennummer — und bei Strukturen mit den Feldern, die an der jeweiligen Stelle angefasst werden. Zu einer Tabelle erscheinen auch die Views und CDS Views, die auf ihr aufsetzen.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Aufbau ist nie begrenzt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Die Mengengrenzen gelten für Verwendungen — nie für das, woraus ein Objekt besteht. Die Datenelemente einer Tabelle werden immer vollständig gesammelt, sonst ließe sie sich im Zielsystem nicht aktivieren.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SAP-Standard ausschließen</w:t>
      </w:r>
    </w:p>
    <w:p>
      <w:pPr>
        <w:spacing w:after="140" w:line="288"/>
      </w:pPr>
      <w:r>
        <w:t xml:space="preserve">Maßstab ist die Auslieferungseinheit des Pakets — dieselbe Linie, die SAP selbst zieht. Sie trifft anders als eine Namensprüfung auf Z und Y auch Kundenobjekte in reservierten Namensräumen und SAP-Objekte, die mit Z beginnen.</w:t>
      </w:r>
    </w:p>
    <w:p>
      <w:pPr>
        <w:pStyle w:val="Heading1"/>
        <w:pageBreakBefore/>
      </w:pPr>
      <w:r>
        <w:t xml:space="preserve">7  Prüfstandards dokumentieren: ZDOCUMIZER_ATC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Die dritte Sicht: nicht was im System steht, sondern woran es gemessen wird.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Modus</w:t>
            </w:r>
          </w:p>
        </w:tc>
        <w:tc>
          <w:tcPr>
            <w:tcW w:type="dxa" w:w="68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Beantwortet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Prüfvariante (V)</w:t>
            </w:r>
          </w:p>
        </w:tc>
        <w:tc>
          <w:tcPr>
            <w:tcW w:type="dxa" w:w="6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Was </w:t>
            </w:r>
            <w:r>
              <w:rPr>
                <w:b/>
                <w:bCs/>
                <w:sz w:val="18"/>
                <w:szCs w:val="18"/>
              </w:rPr>
              <w:t xml:space="preserve">wird</w:t>
            </w:r>
            <w:r>
              <w:rPr>
                <w:sz w:val="18"/>
                <w:szCs w:val="18"/>
              </w:rPr>
              <w:t xml:space="preserve"> geprüft — eine Variante oder alle</w:t>
            </w:r>
          </w:p>
        </w:tc>
      </w:tr>
      <w:tr>
        <w:trPr>
          <w:cantSplit/>
        </w:trPr>
        <w:tc>
          <w:tcPr>
            <w:tcW w:type="dxa" w:w="28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Katalog (K)</w:t>
            </w:r>
          </w:p>
        </w:tc>
        <w:tc>
          <w:tcPr>
            <w:tcW w:type="dxa" w:w="6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Was </w:t>
            </w:r>
            <w:r>
              <w:rPr>
                <w:b/>
                <w:bCs/>
                <w:sz w:val="18"/>
                <w:szCs w:val="18"/>
              </w:rPr>
              <w:t xml:space="preserve">könnte</w:t>
            </w:r>
            <w:r>
              <w:rPr>
                <w:sz w:val="18"/>
                <w:szCs w:val="18"/>
              </w:rPr>
              <w:t xml:space="preserve"> geprüft werden — alle aktivierten Checks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1       Prüfvariante     Eigentümer, transportierbar, versteckt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1.1       Kategorie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1.1.1       Check        Meldungen mit Code, Priorität, Kundenpriorität,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            Pseudokommentar, Pragma, Ausnahmen, Text</w:t>
            </w:r>
          </w:p>
        </w:tc>
      </w:tr>
    </w:tbl>
    <w:p>
      <w:pPr>
        <w:spacing w:after="180"/>
      </w:pPr>
    </w:p>
    <w:p>
      <w:pPr>
        <w:spacing w:after="140" w:line="288"/>
      </w:pPr>
      <w:r>
        <w:t xml:space="preserve">Die Checkliste einer Variante steht nicht lesbar in der Datenbank; der Report liest sie über die Code-Inspector-API. Ein Check, den eine Variante nennt, den es aber nach einem Upgrade nicht mehr gibt, bekommt trotzdem ein Kapitel — mit dem Vermerk </w:t>
      </w:r>
      <w:r>
        <w:rPr>
          <w:i/>
          <w:iCs/>
        </w:rPr>
        <w:t xml:space="preserve">nicht ladbar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Gemessen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Standardvariante </w:t>
            </w:r>
            <w:r>
              <w:rPr>
                <w:rFonts w:ascii="Consolas" w:cs="Consolas" w:eastAsia="Consolas" w:hAnsi="Consolas"/>
                <w:color w:val="0A4D80"/>
                <w:sz w:val="18"/>
                <w:szCs w:val="18"/>
              </w:rPr>
              <w:t xml:space="preserve">DEFAULT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b/>
                <w:bCs/>
                <w:sz w:val="20"/>
                <w:szCs w:val="20"/>
              </w:rPr>
              <w:t xml:space="preserve">17 Checks, 1.198 Meldungen</w:t>
            </w:r>
            <w:r>
              <w:rPr>
                <w:sz w:val="20"/>
                <w:szCs w:val="20"/>
              </w:rPr>
              <w:t xml:space="preserve">, Roundtrip identisch.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8  Ausgabe: XML und HTML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Beide Formate entstehen aus demselben Kapitelmodell im selben Lauf.</w:t>
      </w:r>
    </w:p>
    <w:p>
      <w:pPr>
        <w:pStyle w:val="Heading2"/>
      </w:pPr>
      <w:r>
        <w:t xml:space="preserve">XML — vollständig, versioniert, wieder einlesbar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&lt;documizer version="1.1" type="DEV"&gt;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&lt;meta&gt;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&lt;system&gt;DV1&lt;/system&gt; &lt;client&gt;100&lt;/client&gt; &lt;language&gt;D&lt;/language&gt;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&lt;truncated&gt;false&lt;/truncated&gt; &lt;node_limit&gt;2000&lt;/node_limit&gt; &lt;node_total&gt;44&lt;/node_total&gt;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&lt;/meta&gt;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&lt;chapters&gt;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&lt;chapter id="1.1.1" level="3" type="OBJECT"&gt;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&lt;title&gt;Z_TABLE - Kopfdaten&lt;/title&gt;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&lt;object type="TABL" note="Feldliste"&gt; … &lt;/object&gt;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&lt;source&gt; … &lt;/source&gt;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&lt;definition kind="TABL"&gt; … &lt;/definition&gt;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&lt;/chapter&gt;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&lt;/chapters&gt;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&lt;/documizer&gt;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Nie unbemerkt unvollständig.</w:t>
      </w:r>
      <w:r>
        <w:t xml:space="preserve"> Jede Kürzung — Objektgrenze, Zeilengrenze, Quelltextgrenze — steht im Kopf und am Datenblock.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Vergleichbar zwischen Systemen.</w:t>
      </w:r>
      <w:r>
        <w:t xml:space="preserve"> Benutzer, Zeitstempel und Mandant stehen nur im Kopf, nie in den Kapiteln.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Roundtrip-geprüft.</w:t>
      </w:r>
      <w:r>
        <w:t xml:space="preserve"> Auf Wunsch serialisiert der Report, liest wieder ein, serialisiert erneut und vergleicht Zeichen für Zeichen.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Erweiterbar.</w:t>
      </w:r>
      <w:r>
        <w:t xml:space="preserve"> Neue Inhalte kommen in neue Elemente; ältere Dokumente bleiben lesbar.</w:t>
      </w:r>
    </w:p>
    <w:p>
      <w:pPr>
        <w:pStyle w:val="Heading2"/>
      </w:pPr>
      <w:r>
        <w:t xml:space="preserve">HTML — lesbar, heute und in Jahren</w:t>
      </w:r>
    </w:p>
    <w:p>
      <w:pPr>
        <w:spacing w:after="140" w:line="288"/>
      </w:pPr>
      <w:r>
        <w:t xml:space="preserve">Eine einzige Datei mit Inhaltsverzeichnis, nummerierten Kapiteln, Tabellen und Quelltextblöcken; CSS eingebettet, kein JavaScript. SAP-Dokumentation wird von ITF in lesbaren Text mit Zwischenüberschriften umgesetzt. Lange Blöcke stehen eingeklappt hinter einer Zeile mit Bezeichnung und Umfang.</w:t>
      </w:r>
    </w:p>
    <w:p>
      <w:pPr>
        <w:pStyle w:val="Heading2"/>
      </w:pPr>
      <w:r>
        <w:t xml:space="preserve">Ablage und Dateiname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200"/>
        <w:gridCol w:w="2400"/>
        <w:gridCol w:w="4038"/>
      </w:tblGrid>
      <w:tr>
        <w:trPr>
          <w:tblHeader/>
        </w:trPr>
        <w:tc>
          <w:tcPr>
            <w:tcW w:type="dxa" w:w="32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Ziel</w:t>
            </w:r>
          </w:p>
        </w:tc>
        <w:tc>
          <w:tcPr>
            <w:tcW w:type="dxa" w:w="24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Verfügbar</w:t>
            </w:r>
          </w:p>
        </w:tc>
        <w:tc>
          <w:tcPr>
            <w:tcW w:type="dxa" w:w="40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Download auf PC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Dialog</w:t>
            </w:r>
          </w:p>
        </w:tc>
        <w:tc>
          <w:tcPr>
            <w:tcW w:type="dxa" w:w="4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Binär in UTF-8 — Umlaute bleiben erhalten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Ablage auf dem Applikationsserver</w:t>
            </w:r>
          </w:p>
        </w:tc>
        <w:tc>
          <w:tcPr>
            <w:tcW w:type="dxa" w:w="24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Dialog und Hintergrund</w:t>
            </w:r>
          </w:p>
        </w:tc>
        <w:tc>
          <w:tcPr>
            <w:tcW w:type="dxa" w:w="4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Für große Läufe im Hintergrund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Der Dateiname wird aus System, Startobjekt, Datum und Uhrzeit vorgeschlagen — etwa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documizer_dev_DV1_z_package1_20260922_101500</w:t>
      </w:r>
      <w:r>
        <w:t xml:space="preserve"> — und lässt sich frei überschreiben.</w:t>
      </w:r>
    </w:p>
    <w:p>
      <w:pPr>
        <w:pStyle w:val="Heading1"/>
        <w:pageBreakBefore/>
      </w:pPr>
      <w:r>
        <w:t xml:space="preserve">9  Import: Entwicklungen in ein anderes System bringen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Ein in System A erzeugtes XML einlesen und die darin definierten Objekte in System B anlegen — mit demselben Report, ohne Transport und ohne abapGit.</w:t>
      </w:r>
    </w:p>
    <w:p>
      <w:pPr>
        <w:pStyle w:val="Heading2"/>
      </w:pPr>
      <w:r>
        <w:t xml:space="preserve">Was angelegt wird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Objektart</w:t>
            </w:r>
          </w:p>
        </w:tc>
        <w:tc>
          <w:tcPr>
            <w:tcW w:type="dxa" w:w="54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Angelegt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Domäne, Datenelement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Festwerten und Texten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Tabelle, Struktur, Sekundärindex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technischen Einstellungen und Fremdschlüsseln; Indizes nach der Tabelle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View, CDS-Quelle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Basistabellen und Join-Bedingungen; SQL-View entsteht beim Aktivieren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Report, Include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Textelementen und Dokumentation </w:t>
            </w:r>
            <w:r>
              <w:rPr>
                <w:b/>
                <w:bCs/>
                <w:sz w:val="18"/>
                <w:szCs w:val="18"/>
              </w:rPr>
              <w:t xml:space="preserve">in allen Sprachen</w:t>
            </w:r>
            <w:r>
              <w:rPr>
                <w:sz w:val="18"/>
                <w:szCs w:val="18"/>
              </w:rPr>
              <w:t xml:space="preserve">, GUI-Status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Klasse, Interface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als quelltextbasierte Fassung, wie SE24 und ADT sie zeigen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Funktionsgruppe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Includes, Bausteinen und deren Schnittstelle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Nachrichtenklasse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alle Nachrichten in allen gepflegten Sprachen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Verhaltensdefinition, Service-Definition, Metadata Extension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als Quelltext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Service-Binding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Bindungsart und Services — bewusst unveröffentlicht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IDoc-Segmenttyp, IDoc-Basistyp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als echtes Segment, mit der ganzen Hierarchie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UI5-Anwendung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allen Dateien und Verzeichnisbaum über die UI5-Repository-API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Adobe Form und Schnittstelle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 SAPs eigener Serialisierung wiederhergestellt — derselbe Weg, den das Kopieren im Form Builder nimmt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Dynpro, Pflegedialog, Transaktion, View-Cluster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der komplette SM30-Apparat, auch Parametertransaktionen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Sicher von Anfang an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Testlauf ist vorbelegt.</w:t>
      </w:r>
      <w:r>
        <w:t xml:space="preserve"> Jeder Schritt meldet, was er täte — geschrieben wird erst, wenn Sie den Haken bewusst herausnehmen.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Bestehendes bleibt.</w:t>
      </w:r>
      <w:r>
        <w:t xml:space="preserve"> Ein Objekt, das es schon gibt, wird nur mit </w:t>
      </w:r>
      <w:r>
        <w:rPr>
          <w:i/>
          <w:iCs/>
        </w:rPr>
        <w:t xml:space="preserve">Bestehende Objekte überschreiben</w:t>
      </w:r>
      <w:r>
        <w:t xml:space="preserve"> angefasst.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Die richtige Reihenfolge.</w:t>
      </w:r>
      <w:r>
        <w:t xml:space="preserve"> Domänen vor Datenelementen vor Tabellen vor Views vor Programmen — der Report sortiert selbst.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Gezielt aktiviert.</w:t>
      </w:r>
      <w:r>
        <w:t xml:space="preserve"> Aus den inaktiven Objekten des Benutzers nimmt der Import nur die eigenen; angefangene Arbeit anderer bleibt unberührt.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Geprüft nach dem Lauf.</w:t>
      </w:r>
      <w:r>
        <w:t xml:space="preserve"> Aktive Fassung, Syntax-Check für Programme — gemeldet wird, was auffällt.</w:t>
      </w:r>
    </w:p>
    <w:p>
      <w:pPr>
        <w:pStyle w:val="Heading2"/>
      </w:pPr>
      <w:r>
        <w:t xml:space="preserve">Sie wählen aus, was kommt</w:t>
      </w:r>
    </w:p>
    <w:p>
      <w:pPr>
        <w:spacing w:after="140" w:line="288"/>
      </w:pPr>
      <w:r>
        <w:t xml:space="preserve">Vor dem Import lässt sich eine Liste dazwischenschalten: eine Zeile je Objekt des Dokuments, mit </w:t>
      </w:r>
      <w:r>
        <w:rPr>
          <w:b/>
          <w:bCs/>
        </w:rPr>
        <w:t xml:space="preserve">Zielname</w:t>
      </w:r>
      <w:r>
        <w:t xml:space="preserve">, </w:t>
      </w:r>
      <w:r>
        <w:rPr>
          <w:b/>
          <w:bCs/>
        </w:rPr>
        <w:t xml:space="preserve">Zielpaket</w:t>
      </w:r>
      <w:r>
        <w:t xml:space="preserve"> und einer Ankreuzspalte </w:t>
      </w:r>
      <w:r>
        <w:rPr>
          <w:b/>
          <w:bCs/>
        </w:rPr>
        <w:t xml:space="preserve">Übergehen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Umbenennen</w:t>
      </w:r>
      <w:r>
        <w:t xml:space="preserve"> wirkt auf das ganze Dokument, nicht nur auf den Objektnamen: der neue Name wird wortgenau und unabhängig von Groß- und Kleinschreibung auch im Quelltext ersetzt. Die Wortgrenze verhindert Teiltreffer —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ZKUNDE</w:t>
      </w:r>
      <w:r>
        <w:t xml:space="preserve"> lässt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ZKUNDE2</w:t>
      </w:r>
      <w:r>
        <w:t xml:space="preserve"> in Ruhe. So lässt sich auch ein SAP-Objekt unter einem Z-Namen hereinholen, ohne das Original zu überschreiben.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Übergehen</w:t>
      </w:r>
      <w:r>
        <w:t xml:space="preserve"> nimmt die Zeile ganz aus dem Lauf: weder angelegt noch geändert, auch nicht nachgeprüft. Jede Abwahl steht vorweg im Kopf und noch einmal im Protokoll — ein Weglassen ohne Vermerk wäre eine stillschweigende Lücke.</w:t>
      </w:r>
    </w:p>
    <w:p>
      <w:pPr>
        <w:spacing w:after="140" w:line="288"/>
      </w:pPr>
      <w:r>
        <w:t xml:space="preserve">Abhängigkeiten werden dabei nicht erzwungen: wer eine Domäne abwählt, deren Datenelement importiert wird, bekommt den bekannten Aktivierungsfehler. Der Report warnt davor, verbietet es aber nicht — oft ist das abgewählte Objekt im Zielsystem längst vorhanden und soll gerade nicht angefasst werden.</w:t>
      </w:r>
    </w:p>
    <w:p>
      <w:pPr>
        <w:pStyle w:val="Heading2"/>
      </w:pPr>
      <w:r>
        <w:t xml:space="preserve">Der Testlauf zeigt, was sich ändern würde</w:t>
      </w:r>
    </w:p>
    <w:p>
      <w:pPr>
        <w:spacing w:after="140" w:line="288"/>
      </w:pPr>
      <w:r>
        <w:t xml:space="preserve">Ein Testlauf, der nur </w:t>
      </w:r>
      <w:r>
        <w:rPr>
          <w:i/>
          <w:iCs/>
        </w:rPr>
        <w:t xml:space="preserve">würde geändert</w:t>
      </w:r>
      <w:r>
        <w:t xml:space="preserve"> sagt, verschweigt das Wesentliche. Zu jedem Objekt, das es im Zielsystem schon gibt, stellt er deshalb den Quelltext gegenüber: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CLAS  ZCL_MAILER   Quelltext anders   +12 / -3 Zeilen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12   DATA lv_a TYPE i.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13 - lv_a = 1.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13 + DATA lv_b TYPE i.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14 + lv_a = 2.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15   WRITE lv_a.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... 240 Zeilen unveraendert</w:t>
            </w:r>
          </w:p>
        </w:tc>
      </w:tr>
    </w:tbl>
    <w:p>
      <w:pPr>
        <w:spacing w:after="180"/>
      </w:pPr>
    </w:p>
    <w:p>
      <w:pPr>
        <w:spacing w:after="140" w:line="288"/>
      </w:pPr>
      <w:r>
        <w:t xml:space="preserve">Neue Zeilen grün, entfallende rot, zwei Zeilen Umgebung, unveränderte Strecken zusammengefasst. Den alten Stand liest der Report aus dem Zielsystem in derselben Zusammenstellung, die der Export erzeugt — sonst wären Unterschiede zu sehen, die keine sind. Ist nichts anders, steht </w:t>
      </w:r>
      <w:r>
        <w:rPr>
          <w:i/>
          <w:iCs/>
        </w:rPr>
        <w:t xml:space="preserve">Quelltext gleich</w:t>
      </w:r>
      <w:r>
        <w:t xml:space="preserve"> mit der Zeilenzahl.</w:t>
      </w:r>
    </w:p>
    <w:p>
      <w:pPr>
        <w:pStyle w:val="Heading2"/>
      </w:pPr>
      <w:r>
        <w:t xml:space="preserve">Pakete, Auftrag und Aufgabe</w:t>
      </w:r>
    </w:p>
    <w:p>
      <w:pPr>
        <w:spacing w:after="140" w:line="288"/>
      </w:pPr>
      <w:r>
        <w:t xml:space="preserve">Vier Regelzeilen </w:t>
      </w:r>
      <w:r>
        <w:rPr>
          <w:b/>
          <w:bCs/>
        </w:rPr>
        <w:t xml:space="preserve">alt → neu</w:t>
      </w:r>
      <w:r>
        <w:t xml:space="preserve"> lenken Objekte aus dem Quellpaket in ein Zielpaket — etwa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$TMP</w:t>
      </w:r>
      <w:r>
        <w:t xml:space="preserve"> →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Z_PACKAGE1</w:t>
      </w:r>
      <w:r>
        <w:t xml:space="preserve">. Der Auftrag hängt am Paket jedes einzelnen Objekts. Fehlt unter dem Auftrag eine offene Aufgabe für Sie, legt der Report sie dialogfrei an; ohne diese Aufgabe würde das Korrektursystem den Import mit einer irreführenden Meldung ablehnen.</w:t>
      </w:r>
    </w:p>
    <w:p>
      <w:pPr>
        <w:pStyle w:val="Heading2"/>
      </w:pPr>
      <w:r>
        <w:t xml:space="preserve">Ein Protokoll, das Ursachen nennt</w:t>
      </w:r>
    </w:p>
    <w:p>
      <w:pPr>
        <w:spacing w:after="140" w:line="288"/>
      </w:pPr>
      <w:r>
        <w:t xml:space="preserve">Je Objekt steht, was geschehen ist und warum — mit dem echten Rückgabecode und der Meldung des SAP-Bausteins. Scheitert eine Aktivierung, nennt das Protokoll das fehlende Objekt dahinter: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PROG Z_REPORT_COPY   angelegt                560 Zeilen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TEXT Z_REPORT_COPY   Textelemente gesetzt    D:5 E:8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DOKU Z_REPORT_COPY   Dokumentation gesetzt   Sprachen 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DTEL Z_ACTION        DDIF_DTEL_ACTIVATE rc 8 fehlt oder inaktiv: Domäne Z_ACTION_D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Gemessen: eine RAP-Anwendung als eine Datei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Paketlauf mit Quelltext und Definitionsdaten: </w:t>
            </w:r>
            <w:r>
              <w:rPr>
                <w:b/>
                <w:bCs/>
                <w:sz w:val="20"/>
                <w:szCs w:val="20"/>
              </w:rPr>
              <w:t xml:space="preserve">34 Definitionen</w:t>
            </w:r>
            <w:r>
              <w:rPr>
                <w:sz w:val="20"/>
                <w:szCs w:val="20"/>
              </w:rPr>
              <w:t xml:space="preserve"> — 16 CDS-Views, 8 Klassen, 2 Verhaltensdefinitionen, Service-Definition und -Binding, Tabellen, Domäne, Datenelement und 2 UI5-Anwendungen mit </w:t>
            </w:r>
            <w:r>
              <w:rPr>
                <w:b/>
                <w:bCs/>
                <w:sz w:val="20"/>
                <w:szCs w:val="20"/>
              </w:rPr>
              <w:t xml:space="preserve">76 Dateien in 12 Ordnern</w:t>
            </w:r>
            <w:r>
              <w:rPr>
                <w:sz w:val="20"/>
                <w:szCs w:val="20"/>
              </w:rPr>
              <w:t xml:space="preserve">. Roundtrip identisch.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10  Sicherheit und Betrieb</w:t>
      </w:r>
    </w:p>
    <w:p>
      <w:pPr>
        <w:pStyle w:val="Heading2"/>
      </w:pPr>
      <w:r>
        <w:t xml:space="preserve">Berechtigungen bleiben SAPs Sache</w:t>
      </w:r>
    </w:p>
    <w:p>
      <w:pPr>
        <w:spacing w:after="140" w:line="288"/>
      </w:pPr>
      <w:r>
        <w:t xml:space="preserve">Der IMG-Report prüft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S_TABU_NAM</w:t>
      </w:r>
      <w:r>
        <w:t xml:space="preserve"> vor jedem Tabellenzugriff; fehlt die Berechtigung, steht das im Dokument. Beim Import prüfen die gerufenen SAP-Bausteine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S_DEVELOP</w:t>
      </w:r>
      <w:r>
        <w:t xml:space="preserve"> gegen Objekt und Paket — und diese Prüfung bleibt eingeschaltet. Der Documizer ist damit kein Werkzeug, mit dem jemand Objekte anlegt, die er von Hand nicht anlegen dürfte.</w:t>
      </w:r>
    </w:p>
    <w:p>
      <w:pPr>
        <w:pStyle w:val="Heading2"/>
      </w:pPr>
      <w:r>
        <w:t xml:space="preserve">Laufzeiten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800"/>
        <w:gridCol w:w="3500"/>
        <w:gridCol w:w="2338"/>
      </w:tblGrid>
      <w:tr>
        <w:trPr>
          <w:tblHeader/>
        </w:trPr>
        <w:tc>
          <w:tcPr>
            <w:tcW w:type="dxa" w:w="38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Lauf</w:t>
            </w:r>
          </w:p>
        </w:tc>
        <w:tc>
          <w:tcPr>
            <w:tcW w:type="dxa" w:w="35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Umfang</w:t>
            </w:r>
          </w:p>
        </w:tc>
        <w:tc>
          <w:tcPr>
            <w:tcW w:type="dxa" w:w="23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Dauer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IMG, Projektmodus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351 Kapitel</w:t>
            </w:r>
          </w:p>
        </w:tc>
        <w:tc>
          <w:tcPr>
            <w:tcW w:type="dxa" w:w="23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0,48 s</w:t>
            </w:r>
          </w:p>
        </w:tc>
      </w:tr>
      <w:tr>
        <w:trPr>
          <w:cantSplit/>
        </w:trPr>
        <w:tc>
          <w:tcPr>
            <w:tcW w:type="dxa" w:w="38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DEV, Pakethierarchie</w:t>
            </w:r>
          </w:p>
        </w:tc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10 Pakete / 352 Objekte</w:t>
            </w:r>
          </w:p>
        </w:tc>
        <w:tc>
          <w:tcPr>
            <w:tcW w:type="dxa" w:w="23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0,23 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DEV, CDS mit Quelltext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4 Objekte</w:t>
            </w:r>
          </w:p>
        </w:tc>
        <w:tc>
          <w:tcPr>
            <w:tcW w:type="dxa" w:w="23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0,08 s</w:t>
            </w:r>
          </w:p>
        </w:tc>
      </w:tr>
      <w:tr>
        <w:trPr>
          <w:cantSplit/>
        </w:trPr>
        <w:tc>
          <w:tcPr>
            <w:tcW w:type="dxa" w:w="38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DEV, Transportauftrag</w:t>
            </w:r>
          </w:p>
        </w:tc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75 Objekte aus 2 Aufgaben</w:t>
            </w:r>
          </w:p>
        </w:tc>
        <w:tc>
          <w:tcPr>
            <w:tcW w:type="dxa" w:w="23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wenige Sekunden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Die teuersten Anteile sind die Dokumentationstexte je Objekt und die Suche nach Verwendungen; beides ist per Kennzeichen steuerbar. Verweistiefe und Verwendungstiefe sind die wirksamsten Stellschrauben — bei einem großen Paket lohnt es, sie zurückzunehmen. Für Vollläufe: Mengengrenzen auf 0, Hintergrundjob, Ablage auf dem Applikationsserver.</w:t>
      </w:r>
    </w:p>
    <w:p>
      <w:pPr>
        <w:pStyle w:val="Heading1"/>
        <w:pageBreakBefore/>
      </w:pPr>
      <w:r>
        <w:t xml:space="preserve">11  Grenzen und Ausblick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Was der Documizer nicht originalgetreu anlegen kann, sagt er — statt es halb zu tun.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60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Customizing-Inhalte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bewusst nicht direkt geschrieben — dafür BC-Sets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Smart Forms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werden dokumentiert, nicht angelegt; Adobe Forms dagegen beides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Umgebung einer Fiori-App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ICF-Knoten, MIME-Objekte und Gateway-Registrierung werden dokumentiert, nicht angelegt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Berechtigungsvorschlagswerte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dokumentiert, nicht übertragen (SU22/SU24)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IDoc-Erweiterungstypen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noch nicht unterstützt; Basistypen und Segmente vollständig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Bestehende Dynpros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werden nicht überschrieben — SAP bietet dafür keinen dialogfreien Weg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Fehlende Pakete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werden nicht automatisch angelegt; das bleibt eine Entscheidung des Entwicklers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Vergleich im Testlauf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vergleicht Quelltext; für DDIC-Objekte ist ein Feldvergleich vorgesehen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Gelöschte Objekte beim Sender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erkennbar, sobald der Startpunkt im Dokumentkopf steht — vorbereitet, nicht umgesetzt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Weitere Formate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Markdown und Anzeige einer XML-Datei ohne Systemzugriff sind vorbereitet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12  Bezug, Lizenz und Mitwirkung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Der Documizer ist quelloffen. Die aktuelle Fassung der drei Reports und der vollständigen technischen Spezifikation liegt öffentlich auf GitHub.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Quelle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github.com/csbg-de/documizer</w:t>
            </w:r>
          </w:p>
        </w:tc>
      </w:tr>
    </w:tbl>
    <w:p>
      <w:pPr>
        <w:spacing w:after="180"/>
      </w:pPr>
    </w:p>
    <w:p>
      <w:pPr>
        <w:spacing w:after="140" w:line="288"/>
      </w:pPr>
      <w:r>
        <w:t xml:space="preserve">Dort finden Sie die Quelltexte der Reports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ZDOCUMIZER_IMG</w:t>
      </w:r>
      <w:r>
        <w:t xml:space="preserve">,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ZDOCUMIZER_DEV</w:t>
      </w:r>
      <w:r>
        <w:t xml:space="preserve"> und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ZDOCUMIZER_ATC</w:t>
      </w:r>
      <w:r>
        <w:t xml:space="preserve">, den Hilfsreport für die Reportdokumentation, die Spezifikation mit allen Entwurfsentscheidungen und diese Produktdokumentation. Beiträge, Fehlermeldungen und Erfahrungsberichte aus anderen Systemständen sind willkommen.</w:t>
      </w:r>
    </w:p>
    <w:p>
      <w:pPr>
        <w:pStyle w:val="Heading2"/>
      </w:pPr>
      <w:r>
        <w:t xml:space="preserve">Lizenz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  <w:tc>
          <w:tcPr>
            <w:tcW w:type="dxa" w:w="70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Regelung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Lizenz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Apache License 2.0</w:t>
            </w:r>
          </w:p>
        </w:tc>
      </w:tr>
      <w:tr>
        <w:trPr>
          <w:cantSplit/>
        </w:trPr>
        <w:tc>
          <w:tcPr>
            <w:tcW w:type="dxa" w:w="2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Copyright</w:t>
            </w:r>
          </w:p>
        </w:tc>
        <w:tc>
          <w:tcPr>
            <w:tcW w:type="dxa" w:w="7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2026 C. Gathmann Computer-System-Beratung GmbH (CSBG), Bremen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Nutzung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Weitergabe und Änderung erlaubt, auch kommerziell</w:t>
            </w:r>
          </w:p>
        </w:tc>
      </w:tr>
      <w:tr>
        <w:trPr>
          <w:cantSplit/>
        </w:trPr>
        <w:tc>
          <w:tcPr>
            <w:tcW w:type="dxa" w:w="2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Bedingung</w:t>
            </w:r>
          </w:p>
        </w:tc>
        <w:tc>
          <w:tcPr>
            <w:tcW w:type="dxa" w:w="7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Der Copyright- und Lizenzvermerk bleibt erhalten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i/>
                <w:iCs/>
                <w:sz w:val="18"/>
                <w:szCs w:val="18"/>
              </w:rPr>
              <w:t xml:space="preserve">consiness</w:t>
            </w:r>
            <w:r>
              <w:rPr>
                <w:sz w:val="18"/>
                <w:szCs w:val="18"/>
              </w:rPr>
              <w:t xml:space="preserve"> und </w:t>
            </w:r>
            <w:r>
              <w:rPr>
                <w:i/>
                <w:iCs/>
                <w:sz w:val="18"/>
                <w:szCs w:val="18"/>
              </w:rPr>
              <w:t xml:space="preserve">consiness Documizer</w:t>
            </w:r>
            <w:r>
              <w:rPr>
                <w:sz w:val="18"/>
                <w:szCs w:val="18"/>
              </w:rPr>
              <w:t xml:space="preserve"> sind keine lizenzierten Bestandteile — der Code darf übernommen werden, der Name nicht weitergeführt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Weil die Reports per Copy &amp; Paste in ein fremdes System wandern und die Datei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LICENSE</w:t>
      </w:r>
      <w:r>
        <w:t xml:space="preserve"> dabei nicht mitkommt, steht der Vermerk im Kopfkommentar </w:t>
      </w:r>
      <w:r>
        <w:rPr>
          <w:b/>
          <w:bCs/>
        </w:rPr>
        <w:t xml:space="preserve">jeder</w:t>
      </w:r>
      <w:r>
        <w:t xml:space="preserve"> Quelle. Beim Kopieren darf er nicht entfernt werden — er ist die einzige Stelle, an der die Herkunft im Zielsystem noch erkennbar ist.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Entstehung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Entworfen, spezifiziert und am laufenden System verifiziert von Christian Gathmann; der Code ist mit KI-Unterstützung entstanden. Jede Funktion dieses Handbuchs ist in einem echten SAP-System gelaufen, bevor sie hier beschrieben wurde.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13  Kontakt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Sie möchten den Documizer in Ihrem System einsetzen, eine Anwendung dokumentieren oder Entwicklungen übertragen?</w:t>
      </w:r>
    </w:p>
    <w:p>
      <w:pPr>
        <w:spacing w:before="240" w:after="60"/>
      </w:pPr>
      <w:r>
        <w:rPr>
          <w:b/>
          <w:bCs/>
          <w:sz w:val="28"/>
          <w:szCs w:val="28"/>
        </w:rPr>
        <w:t xml:space="preserve">Christian Gathmann</w:t>
      </w:r>
    </w:p>
    <w:p>
      <w:pPr>
        <w:spacing w:after="60"/>
      </w:pPr>
      <w:r>
        <w:rPr>
          <w:color w:val="0063A6"/>
          <w:sz w:val="24"/>
          <w:szCs w:val="24"/>
        </w:rPr>
        <w:t xml:space="preserve">gathmann@csbg.de</w:t>
      </w:r>
    </w:p>
    <w:p>
      <w:pPr>
        <w:spacing w:after="240"/>
      </w:pPr>
      <w:r>
        <w:rPr>
          <w:color w:val="5F6062"/>
          <w:sz w:val="22"/>
          <w:szCs w:val="22"/>
        </w:rPr>
        <w:t xml:space="preserve">C. Gathmann Computer-System-Beratung GmbH (CSBG), Bremen</w:t>
      </w:r>
    </w:p>
    <w:p>
      <w:pPr>
        <w:spacing w:after="600"/>
      </w:pPr>
      <w:r>
        <w:rPr>
          <w:color w:val="5F6062"/>
          <w:sz w:val="20"/>
          <w:szCs w:val="20"/>
        </w:rPr>
        <w:t xml:space="preserve">github.com/csbg-de/documizer</w:t>
      </w:r>
    </w:p>
    <w:p>
      <w:r>
        <w:drawing>
          <wp:inline distT="0" distB="0" distL="0" distR="0">
            <wp:extent cx="142875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418" w:right="1134" w:bottom="1300" w:left="1134" w:header="6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B" w:sz="4" w:space="6"/>
      </w:pBdr>
    </w:pPr>
    <w:r>
      <w:rPr>
        <w:color w:val="808285"/>
        <w:sz w:val="15"/>
        <w:szCs w:val="15"/>
      </w:rPr>
      <w:t xml:space="preserve">Documizer · Christian Gathmann · gathmann@csbg.de</w:t>
    </w:r>
    <w:r>
      <w:ptab w:alignment="right" w:relativeTo="margin" w:leader="none"/>
    </w:r>
    <w:r>
      <w:rPr>
        <w:color w:val="808285"/>
        <w:sz w:val="15"/>
        <w:szCs w:val="15"/>
      </w:rPr>
      <w:t xml:space="preserve">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B" w:sz="4" w:space="6"/>
      </w:pBdr>
    </w:pPr>
    <w:r>
      <w:rPr>
        <w:b/>
        <w:bCs/>
        <w:color w:val="0063A6"/>
        <w:sz w:val="16"/>
        <w:szCs w:val="16"/>
      </w:rPr>
      <w:t xml:space="preserve">Documizer</w:t>
    </w:r>
    <w:r>
      <w:rPr>
        <w:color w:val="808285"/>
        <w:sz w:val="16"/>
        <w:szCs w:val="16"/>
      </w:rPr>
      <w:t xml:space="preserve">  ·  Produktdokumentation</w:t>
    </w:r>
    <w:r>
      <w:ptab w:alignment="right" w:relativeTo="margin" w:leader="none"/>
    </w:r>
    <w:r>
      <w:drawing>
        <wp:inline distT="0" distB="0" distL="0" distR="0">
          <wp:extent cx="64770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77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80"/>
      </w:pPr>
      <w:rPr>
        <w:color w:val="0063A6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40"/>
      </w:pPr>
      <w:rPr>
        <w:b/>
        <w:bCs/>
        <w:color w:val="0063A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Arial" w:cs="Arial" w:eastAsia="Arial" w:hAnsi="Arial"/>
      <w:b/>
      <w:bCs/>
      <w:color w:val="0063A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20" w:after="120"/>
      <w:outlineLvl w:val="1"/>
    </w:pPr>
    <w:rPr>
      <w:rFonts w:ascii="Arial" w:cs="Arial" w:eastAsia="Arial" w:hAnsi="Arial"/>
      <w:b/>
      <w:bCs/>
      <w:color w:val="2B2B2B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before="240" w:after="100"/>
      <w:outlineLvl w:val="2"/>
    </w:pPr>
    <w:rPr>
      <w:rFonts w:ascii="Arial" w:cs="Arial" w:eastAsia="Arial" w:hAnsi="Arial"/>
      <w:b/>
      <w:bCs/>
      <w:color w:val="80828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c741a54fca1b99e1150011d47f81232b019229f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c741a54fca1b99e1150011d47f81232b019229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Documizer – Produktdokumentation</dc:title>
  <dc:creator>Christian Gathmann</dc:creator>
  <dc:description>Dokumentation, Transfer und KI-Analyse für SAP S/4HANA und SAP ERP</dc:description>
  <cp:lastModifiedBy>Un-named</cp:lastModifiedBy>
  <cp:revision>1</cp:revision>
  <dcterms:created xsi:type="dcterms:W3CDTF">2026-10-29T12:06:54.481Z</dcterms:created>
  <dcterms:modified xsi:type="dcterms:W3CDTF">2026-10-29T12:06:54.482Z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