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6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Examiners</w:t>
      </w:r>
      <w:r>
        <w:t xml:space="preserve"> </w:t>
      </w:r>
      <w:r>
        <w:t xml:space="preserve">Benchmarking</w:t>
      </w:r>
      <w:r>
        <w:t xml:space="preserve"> </w:t>
      </w:r>
      <w:r>
        <w:t xml:space="preserve">Research</w:t>
      </w:r>
      <w:r>
        <w:t xml:space="preserve"> </w:t>
      </w:r>
      <w:r>
        <w:t xml:space="preserve">for</w:t>
      </w:r>
      <w:r>
        <w:t xml:space="preserve"> </w:t>
      </w:r>
      <w:r>
        <w:t xml:space="preserve">Minnesota</w:t>
      </w:r>
      <w:r>
        <w:t xml:space="preserve"> </w:t>
      </w:r>
      <w:r>
        <w:t xml:space="preserve">Banking</w:t>
      </w:r>
      <w:r>
        <w:t xml:space="preserve"> </w:t>
      </w:r>
      <w:r>
        <w:t xml:space="preserve">Department</w:t>
      </w:r>
    </w:p>
    <w:p>
      <w:pPr>
        <w:pStyle w:val="Author"/>
      </w:pPr>
      <w:r>
        <w:t xml:space="preserve">CSBS</w:t>
      </w:r>
      <w:r>
        <w:t xml:space="preserve"> </w:t>
      </w:r>
      <w:r>
        <w:t xml:space="preserve">Analytics</w:t>
      </w:r>
      <w:r>
        <w:t xml:space="preserve"> </w:t>
      </w:r>
      <w:r>
        <w:t xml:space="preserve">and</w:t>
      </w:r>
      <w:r>
        <w:t xml:space="preserve"> </w:t>
      </w:r>
      <w:r>
        <w:t xml:space="preserve">Research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February,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executive-summary"/>
      <w:bookmarkEnd w:id="21"/>
      <w:r>
        <w:t xml:space="preserve">Executive Summary</w:t>
      </w:r>
    </w:p>
    <w:p>
      <w:pPr>
        <w:pStyle w:val="FirstParagraph"/>
      </w:pPr>
      <w:r>
        <w:t xml:space="preserve">This study applies statistical models to benchmark the number of bank examiners employed by each state banking department vs.</w:t>
      </w:r>
      <w:r>
        <w:t xml:space="preserve"> </w:t>
      </w:r>
      <w:r>
        <w:t xml:space="preserve">the number of banks and the total assets under supervision in each state. Benchmarking in this way provides a guideline as to</w:t>
      </w:r>
      <w:r>
        <w:t xml:space="preserve"> </w:t>
      </w:r>
      <w:r>
        <w:t xml:space="preserve">where a particular state stands in terms of examiner resource when compared with other states. There is a statistically significant</w:t>
      </w:r>
      <w:r>
        <w:t xml:space="preserve"> </w:t>
      </w:r>
      <w:r>
        <w:t xml:space="preserve">correlation between the number of examiners and both the total amount of assets under supervision as well as the number of</w:t>
      </w:r>
      <w:r>
        <w:t xml:space="preserve"> </w:t>
      </w:r>
      <w:r>
        <w:t xml:space="preserve">state banks. The models uses 2015 data. The preliminary results show that the subject agency, the Minnesota Department of</w:t>
      </w:r>
      <w:r>
        <w:t xml:space="preserve"> </w:t>
      </w:r>
      <w:r>
        <w:t xml:space="preserve">Commerce, is understaffed by 29 examiners when compared to other states across the US. These findings are in alignment with those</w:t>
      </w:r>
      <w:r>
        <w:t xml:space="preserve"> </w:t>
      </w:r>
      <w:r>
        <w:t xml:space="preserve">of the Examiner Resource Model -- a simple comparison tool developed by CSBS.</w:t>
      </w:r>
      <w:r>
        <w:t xml:space="preserve"> </w:t>
      </w:r>
      <w:r>
        <w:drawing>
          <wp:inline>
            <wp:extent cx="5334000" cy="3530348"/>
            <wp:effectExtent b="0" l="0" r="0" t="0"/>
            <wp:docPr descr="overview" id="1" name="Picture"/>
            <a:graphic>
              <a:graphicData uri="http://schemas.openxmlformats.org/drawingml/2006/picture">
                <pic:pic>
                  <pic:nvPicPr>
                    <pic:cNvPr descr="m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0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purpose"/>
      <w:bookmarkEnd w:id="23"/>
      <w:r>
        <w:t xml:space="preserve">Purpose</w:t>
      </w:r>
    </w:p>
    <w:p>
      <w:pPr>
        <w:pStyle w:val="FirstParagraph"/>
      </w:pPr>
      <w:r>
        <w:t xml:space="preserve">The purpose of this study is to determine whether there is a correlation between the number of examiners, number of bank</w:t>
      </w:r>
      <w:r>
        <w:t xml:space="preserve"> </w:t>
      </w:r>
      <w:r>
        <w:t xml:space="preserve">charters, and total assets under supervision for a given state banking department. This will allow for a state by state</w:t>
      </w:r>
      <w:r>
        <w:t xml:space="preserve"> </w:t>
      </w:r>
      <w:r>
        <w:t xml:space="preserve">comparison, allowing one to determine the staffing needs of the Minnesota Department of Commerce.</w:t>
      </w:r>
    </w:p>
    <w:p>
      <w:pPr>
        <w:pStyle w:val="Heading1"/>
      </w:pPr>
      <w:bookmarkStart w:id="24" w:name="data-description"/>
      <w:bookmarkEnd w:id="24"/>
      <w:r>
        <w:t xml:space="preserve">Data Description</w:t>
      </w:r>
    </w:p>
    <w:p>
      <w:pPr>
        <w:pStyle w:val="Heading2"/>
      </w:pPr>
      <w:bookmarkStart w:id="25" w:name="data-overview"/>
      <w:bookmarkEnd w:id="25"/>
      <w:r>
        <w:t xml:space="preserve">Data Overview</w:t>
      </w:r>
    </w:p>
    <w:p>
      <w:pPr>
        <w:pStyle w:val="FirstParagraph"/>
      </w:pPr>
      <w:r>
        <w:t xml:space="preserve">The study uses consolidated 2015 Profile of State Chartered Banking data and Statistics on Depository Institutions (SDI),</w:t>
      </w:r>
      <w:r>
        <w:t xml:space="preserve"> </w:t>
      </w:r>
      <w:r>
        <w:t xml:space="preserve">a publicly available bank data source, as of Q4 2015.</w:t>
      </w:r>
    </w:p>
    <w:p>
      <w:pPr>
        <w:pStyle w:val="BodyText"/>
      </w:pPr>
      <w:r>
        <w:rPr>
          <w:i/>
        </w:rPr>
        <w:t xml:space="preserve">Source:</w:t>
      </w:r>
    </w:p>
    <w:p>
      <w:pPr>
        <w:numPr>
          <w:numId w:val="1001"/>
          <w:ilvl w:val="0"/>
        </w:numPr>
      </w:pPr>
      <w:r>
        <w:t xml:space="preserve">FDIC website.</w:t>
      </w:r>
      <w:r>
        <w:t xml:space="preserve"> </w:t>
      </w:r>
      <w:hyperlink r:id="rId26">
        <w:r>
          <w:rPr>
            <w:rStyle w:val="Hyperlink"/>
          </w:rPr>
          <w:t xml:space="preserve">https://www5.fdic.gov/sdi/main.asp?formname=customddownload</w:t>
        </w:r>
      </w:hyperlink>
    </w:p>
    <w:p>
      <w:pPr>
        <w:numPr>
          <w:numId w:val="1001"/>
          <w:ilvl w:val="0"/>
        </w:numPr>
      </w:pPr>
      <w:r>
        <w:t xml:space="preserve">Profile of State Chartered Banking Data.</w:t>
      </w:r>
    </w:p>
    <w:p>
      <w:pPr>
        <w:pStyle w:val="Heading2"/>
      </w:pPr>
      <w:bookmarkStart w:id="27" w:name="relevant-variables"/>
      <w:bookmarkEnd w:id="27"/>
      <w:r>
        <w:t xml:space="preserve">Relevant variables:</w:t>
      </w:r>
    </w:p>
    <w:p>
      <w:pPr>
        <w:pStyle w:val="FirstParagraph"/>
      </w:pPr>
      <w:r>
        <w:rPr>
          <w:i/>
        </w:rPr>
        <w:t xml:space="preserve">Explanatory variable</w:t>
      </w:r>
      <w:r>
        <w:t xml:space="preserve">:</w:t>
      </w:r>
    </w:p>
    <w:p>
      <w:pPr>
        <w:pStyle w:val="Compact"/>
        <w:numPr>
          <w:numId w:val="1002"/>
          <w:ilvl w:val="0"/>
        </w:numPr>
      </w:pPr>
      <w:r>
        <w:t xml:space="preserve">Number of Examiners by State (N_PF_EXAMINER)</w:t>
      </w:r>
    </w:p>
    <w:p>
      <w:pPr>
        <w:pStyle w:val="FirstParagraph"/>
      </w:pPr>
      <w:r>
        <w:rPr>
          <w:i/>
        </w:rPr>
        <w:t xml:space="preserve">Independent variable</w:t>
      </w:r>
      <w:r>
        <w:t xml:space="preserve">:</w:t>
      </w:r>
    </w:p>
    <w:p>
      <w:pPr>
        <w:numPr>
          <w:numId w:val="1003"/>
          <w:ilvl w:val="0"/>
        </w:numPr>
      </w:pPr>
      <w:r>
        <w:t xml:space="preserve">Aggregate assets under supervision by the department (SDI_TOTAL_ASSET)</w:t>
      </w:r>
    </w:p>
    <w:p>
      <w:pPr>
        <w:numPr>
          <w:numId w:val="1003"/>
          <w:ilvl w:val="0"/>
        </w:numPr>
      </w:pPr>
      <w:r>
        <w:t xml:space="preserve">Number of state chartered banks by state (N_SDI_BANK)</w:t>
      </w:r>
    </w:p>
    <w:p>
      <w:pPr>
        <w:pStyle w:val="Heading1"/>
      </w:pPr>
      <w:bookmarkStart w:id="28" w:name="methodology"/>
      <w:bookmarkEnd w:id="28"/>
      <w:r>
        <w:t xml:space="preserve">Methodology</w:t>
      </w:r>
    </w:p>
    <w:p>
      <w:pPr>
        <w:pStyle w:val="Heading2"/>
      </w:pPr>
      <w:bookmarkStart w:id="29" w:name="assumptions"/>
      <w:bookmarkEnd w:id="29"/>
      <w:r>
        <w:t xml:space="preserve">Assumptions:</w:t>
      </w:r>
    </w:p>
    <w:p>
      <w:pPr>
        <w:pStyle w:val="FirstParagraph"/>
      </w:pPr>
      <w:r>
        <w:t xml:space="preserve">The following assumptions were made when constructing this model. Individual circumstances may vary from these assumptions</w:t>
      </w:r>
      <w:r>
        <w:t xml:space="preserve"> </w:t>
      </w:r>
      <w:r>
        <w:t xml:space="preserve">and so should be kept in mind when interpreting the results.</w:t>
      </w:r>
    </w:p>
    <w:p>
      <w:pPr>
        <w:numPr>
          <w:numId w:val="1004"/>
          <w:ilvl w:val="0"/>
        </w:numPr>
      </w:pPr>
      <w:r>
        <w:t xml:space="preserve">There is a linear relationship between the independent variables and dependent variables.</w:t>
      </w:r>
    </w:p>
    <w:p>
      <w:pPr>
        <w:numPr>
          <w:numId w:val="1004"/>
          <w:ilvl w:val="0"/>
        </w:numPr>
      </w:pPr>
      <w:r>
        <w:t xml:space="preserve">The independent variables are not random. There is no exact linear relationship between any independent variables.</w:t>
      </w:r>
    </w:p>
    <w:p>
      <w:pPr>
        <w:numPr>
          <w:numId w:val="1004"/>
          <w:ilvl w:val="0"/>
        </w:numPr>
      </w:pPr>
      <w:r>
        <w:t xml:space="preserve">The locations of the banks will not have a significant impact on the time of examining work.</w:t>
      </w:r>
    </w:p>
    <w:p>
      <w:pPr>
        <w:numPr>
          <w:numId w:val="1004"/>
          <w:ilvl w:val="0"/>
        </w:numPr>
      </w:pPr>
      <w:r>
        <w:t xml:space="preserve">All the states follow similar examining process.</w:t>
      </w:r>
    </w:p>
    <w:p>
      <w:pPr>
        <w:numPr>
          <w:numId w:val="1004"/>
          <w:ilvl w:val="0"/>
        </w:numPr>
      </w:pPr>
      <w:r>
        <w:t xml:space="preserve">The CAMELS rating of previous year doesn't have a significant impact on the time of examination for the current year</w:t>
      </w:r>
      <w:r>
        <w:rPr>
          <w:rStyle w:val="FootnoteReference"/>
        </w:rPr>
        <w:footnoteReference w:id="30"/>
      </w:r>
      <w:r>
        <w:t xml:space="preserve">.</w:t>
      </w:r>
    </w:p>
    <w:p>
      <w:pPr>
        <w:numPr>
          <w:numId w:val="1005"/>
          <w:ilvl w:val="0"/>
        </w:numPr>
      </w:pPr>
      <w:r>
        <w:t xml:space="preserve">Bank examiners of all the states meet the similar productivity standards.</w:t>
      </w:r>
    </w:p>
    <w:p>
      <w:pPr>
        <w:numPr>
          <w:numId w:val="1005"/>
          <w:ilvl w:val="0"/>
        </w:numPr>
      </w:pPr>
      <w:r>
        <w:t xml:space="preserve">The diversity of the bank assets is already considered in bank size, thus will not have a significant impact on the time</w:t>
      </w:r>
      <w:r>
        <w:t xml:space="preserve"> </w:t>
      </w:r>
      <w:r>
        <w:t xml:space="preserve">of examining work.</w:t>
      </w:r>
    </w:p>
    <w:p>
      <w:pPr>
        <w:pStyle w:val="Heading2"/>
      </w:pPr>
      <w:bookmarkStart w:id="31" w:name="model-multiple-linear-regression-model"/>
      <w:bookmarkEnd w:id="31"/>
      <w:r>
        <w:t xml:space="preserve">Model: Multiple Linear Regression Model</w:t>
      </w:r>
    </w:p>
    <w:p>
      <w:pPr>
        <w:pStyle w:val="FirstParagraph"/>
      </w:pPr>
      <w:r>
        <w:t xml:space="preserve">A multiple linear regression model is defined as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r>
            <m:t>α</m:t>
          </m:r>
          <m:r>
            <m:t>+</m:t>
          </m:r>
          <m:sSub>
            <m:e>
              <m:r>
                <m:t>β</m:t>
              </m:r>
            </m:e>
            <m:sub>
              <m:r>
                <m:t>i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in which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error or residual associated with observation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BodyText"/>
      </w:pPr>
      <w:r>
        <w:t xml:space="preserve">Profile of State Chartered Banking Data for District of Columbia and Iowa were not available for 2015. Data from 2014 were used</w:t>
      </w:r>
      <w:r>
        <w:t xml:space="preserve"> </w:t>
      </w:r>
      <w:r>
        <w:t xml:space="preserve">for these two states.</w:t>
      </w:r>
    </w:p>
    <w:p>
      <w:pPr>
        <w:pStyle w:val="BodyText"/>
      </w:pPr>
      <w:r>
        <w:t xml:space="preserve">The data distribution was drawn in R. After removing New York as the outlier, we observed a linear relationship between aggregated</w:t>
      </w:r>
      <w:r>
        <w:t xml:space="preserve"> </w:t>
      </w:r>
      <w:r>
        <w:t xml:space="preserve">total asset chartered by state and number of state examiner.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aminer_Benchmarking_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1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aminer_Benchmarking_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2</w:t>
      </w:r>
    </w:p>
    <w:p>
      <w:pPr>
        <w:pStyle w:val="BodyText"/>
      </w:pPr>
      <w:r>
        <w:rPr>
          <w:b/>
        </w:rPr>
        <w:t xml:space="preserve">Model Output from R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N_INT2_EXAMINER ~ SDI_TOTAL_ASSET + N_SDI_BANK, </w:t>
      </w:r>
      <w:r>
        <w:br w:type="textWrapping"/>
      </w:r>
      <w:r>
        <w:rPr>
          <w:rStyle w:val="VerbatimChar"/>
        </w:rPr>
        <w:t xml:space="preserve">    data = rdb)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Min     1Q Median     3Q    Max </w:t>
      </w:r>
      <w:r>
        <w:br w:type="textWrapping"/>
      </w:r>
      <w:r>
        <w:rPr>
          <w:rStyle w:val="VerbatimChar"/>
        </w:rPr>
        <w:t xml:space="preserve">-28.63  -6.62  -0.44   4.49  35.44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Pr(&gt;|t|)    </w:t>
      </w:r>
      <w:r>
        <w:br w:type="textWrapping"/>
      </w:r>
      <w:r>
        <w:rPr>
          <w:rStyle w:val="VerbatimChar"/>
        </w:rPr>
        <w:t xml:space="preserve">(Intercept)     6.52e+00   2.79e+00    2.34    0.024 *  </w:t>
      </w:r>
      <w:r>
        <w:br w:type="textWrapping"/>
      </w:r>
      <w:r>
        <w:rPr>
          <w:rStyle w:val="VerbatimChar"/>
        </w:rPr>
        <w:t xml:space="preserve">SDI_TOTAL_ASSET 1.68e-07   2.01e-08    8.33  8.3e-11 ***</w:t>
      </w:r>
      <w:r>
        <w:br w:type="textWrapping"/>
      </w:r>
      <w:r>
        <w:rPr>
          <w:rStyle w:val="VerbatimChar"/>
        </w:rPr>
        <w:t xml:space="preserve">N_SDI_BANK      1.41e-01   2.35e-02    6.01  2.6e-07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12.9 on 47 degrees of freedom</w:t>
      </w:r>
      <w:r>
        <w:br w:type="textWrapping"/>
      </w:r>
      <w:r>
        <w:rPr>
          <w:rStyle w:val="VerbatimChar"/>
        </w:rPr>
        <w:t xml:space="preserve">Multiple R-squared:  0.793, Adjusted R-squared:  0.785 </w:t>
      </w:r>
      <w:r>
        <w:br w:type="textWrapping"/>
      </w:r>
      <w:r>
        <w:rPr>
          <w:rStyle w:val="VerbatimChar"/>
        </w:rPr>
        <w:t xml:space="preserve">F-statistic: 90.2 on 2 and 47 DF,  p-value: &lt;2e-16</w:t>
      </w:r>
    </w:p>
    <w:p>
      <w:pPr>
        <w:pStyle w:val="FirstParagraph"/>
      </w:pPr>
      <w:r>
        <w:t xml:space="preserve">The number of asterisks represents the degree of significance where *** indicates strong correlation and * indicates</w:t>
      </w:r>
      <w:r>
        <w:t xml:space="preserve"> </w:t>
      </w:r>
      <w:r>
        <w:t xml:space="preserve">weak correlation. Both variables are significant in our model.</w:t>
      </w:r>
      <w:r>
        <w:t xml:space="preserve"> </w:t>
      </w:r>
      <w:r>
        <w:rPr>
          <w:i/>
        </w:rPr>
        <w:t xml:space="preserve">Aggregate assets under supervision by the department</w:t>
      </w:r>
      <w:r>
        <w:t xml:space="preserve"> </w:t>
      </w:r>
      <w:r>
        <w:t xml:space="preserve">(</w:t>
      </w:r>
      <w:r>
        <w:rPr>
          <w:i/>
        </w:rPr>
        <w:t xml:space="preserve">SDI_TOTAL_ASSET</w:t>
      </w:r>
      <w:r>
        <w:t xml:space="preserve">) is the most significant variable. The R-square indicates the percentage of data captured in the trend.</w:t>
      </w:r>
      <w:r>
        <w:t xml:space="preserve"> </w:t>
      </w:r>
      <w:r>
        <w:t xml:space="preserve">According to the output shown above, 79% of the data are explained in this model. In other words,</w:t>
      </w:r>
      <w:r>
        <w:t xml:space="preserve"> </w:t>
      </w:r>
      <w:r>
        <w:t xml:space="preserve">the dominant variable in determining the staffing size of a state banking agency is the total bank assets chartered by that agency.</w:t>
      </w:r>
      <w:r>
        <w:t xml:space="preserve"> </w:t>
      </w:r>
      <w:r>
        <w:t xml:space="preserve">The number of banks chartered by a state banking agency is a secondary, but important, factor.</w:t>
      </w:r>
    </w:p>
    <w:p>
      <w:pPr>
        <w:pStyle w:val="BodyText"/>
      </w:pPr>
      <w:r>
        <w:t xml:space="preserve">In consequence, the Number of Examiner for a State Department can be approximated with the following linear equation: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u</m:t>
          </m:r>
          <m:r>
            <m:t>m</m:t>
          </m:r>
          <m:r>
            <m:t>b</m:t>
          </m:r>
          <m:r>
            <m:t>e</m:t>
          </m:r>
          <m:r>
            <m:t>r</m:t>
          </m:r>
          <m:r>
            <m:t> </m:t>
          </m:r>
          <m:r>
            <m:t>o</m:t>
          </m:r>
          <m:r>
            <m:t>f</m:t>
          </m:r>
          <m:r>
            <m:t> </m:t>
          </m:r>
          <m:r>
            <m:t>E</m:t>
          </m:r>
          <m:r>
            <m:t>x</m:t>
          </m:r>
          <m:r>
            <m:t>a</m:t>
          </m:r>
          <m:r>
            <m:t>m</m:t>
          </m:r>
          <m:r>
            <m:t>i</m:t>
          </m:r>
          <m:r>
            <m:t>n</m:t>
          </m:r>
          <m:r>
            <m:t>e</m:t>
          </m:r>
          <m:r>
            <m:t>r</m:t>
          </m:r>
          <m:r>
            <m:t>=</m:t>
          </m:r>
          <m:r>
            <m:t>1.677</m:t>
          </m:r>
          <m:r>
            <m:t>×</m:t>
          </m:r>
          <m:sSup>
            <m:e>
              <m:r>
                <m:t>10</m:t>
              </m:r>
            </m:e>
            <m:sup>
              <m:r>
                <m:t>−</m:t>
              </m:r>
              <m:r>
                <m:t>7</m:t>
              </m:r>
            </m:sup>
          </m:sSup>
          <m:r>
            <m:t>*</m:t>
          </m:r>
          <m:r>
            <m:t>T</m:t>
          </m:r>
          <m:r>
            <m:t>o</m:t>
          </m:r>
          <m:r>
            <m:t>t</m:t>
          </m:r>
          <m:r>
            <m:t>a</m:t>
          </m:r>
          <m:r>
            <m:t>l</m:t>
          </m:r>
          <m:r>
            <m:t> </m:t>
          </m:r>
          <m:r>
            <m:t>A</m:t>
          </m:r>
          <m:r>
            <m:t>s</m:t>
          </m:r>
          <m:r>
            <m:t>s</m:t>
          </m:r>
          <m:r>
            <m:t>e</m:t>
          </m:r>
          <m:r>
            <m:t>t</m:t>
          </m:r>
          <m:r>
            <m:t>+</m:t>
          </m:r>
          <m:r>
            <m:t>0.141</m:t>
          </m:r>
          <m:r>
            <m:t>*</m:t>
          </m:r>
          <m:r>
            <m:t>N</m:t>
          </m:r>
          <m:r>
            <m:t>u</m:t>
          </m:r>
          <m:r>
            <m:t>m</m:t>
          </m:r>
          <m:r>
            <m:t>b</m:t>
          </m:r>
          <m:r>
            <m:t>e</m:t>
          </m:r>
          <m:r>
            <m:t>r</m:t>
          </m:r>
          <m:r>
            <m:t> </m:t>
          </m:r>
          <m:r>
            <m:t>o</m:t>
          </m:r>
          <m:r>
            <m:t>f</m:t>
          </m:r>
          <m:r>
            <m:t> </m:t>
          </m:r>
          <m:r>
            <m:t>B</m:t>
          </m:r>
          <m:r>
            <m:t>a</m:t>
          </m:r>
          <m:r>
            <m:t>n</m:t>
          </m:r>
          <m:r>
            <m:t>k</m:t>
          </m:r>
          <m:r>
            <m:t>+</m:t>
          </m:r>
          <m:r>
            <m:t>6.524</m:t>
          </m:r>
        </m:oMath>
      </m:oMathPara>
    </w:p>
    <w:p>
      <w:pPr>
        <w:pStyle w:val="FirstParagraph"/>
      </w:pPr>
      <w:r>
        <w:t xml:space="preserve">The equation shows that the coefficient for total assets is</w:t>
      </w:r>
      <w:r>
        <w:t xml:space="preserve"> </w:t>
      </w:r>
      <m:oMath>
        <m:r>
          <m:t>1.677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7</m:t>
            </m:r>
          </m:sup>
        </m:sSup>
      </m:oMath>
      <w:r>
        <w:t xml:space="preserve">. It indicates that, other variables</w:t>
      </w:r>
      <w:r>
        <w:t xml:space="preserve"> </w:t>
      </w:r>
      <w:r>
        <w:t xml:space="preserve">remaining the same, for each $10 billion assets increase, there should be</w:t>
      </w:r>
      <w:r>
        <w:t xml:space="preserve"> </w:t>
      </w:r>
      <w:r>
        <w:t xml:space="preserve">about 1.7 more examiners. The coefficient for number of banks is 0.141. It</w:t>
      </w:r>
      <w:r>
        <w:t xml:space="preserve"> </w:t>
      </w:r>
      <w:r>
        <w:t xml:space="preserve">indicates that, other variables remaining the same, for each increase of</w:t>
      </w:r>
      <w:r>
        <w:t xml:space="preserve"> </w:t>
      </w:r>
      <w:r>
        <w:t xml:space="preserve">10 banks, there should be 1.4 more examiners.</w:t>
      </w:r>
    </w:p>
    <w:p>
      <w:pPr>
        <w:pStyle w:val="BodyText"/>
      </w:pPr>
      <w:r>
        <w:t xml:space="preserve">Minnesota chartered 254 banks, $</w:t>
      </w:r>
      <m:oMath>
        <m:r>
          <m:t>4.341</m:t>
        </m:r>
        <m:r>
          <m:t>×</m:t>
        </m:r>
        <m:sSup>
          <m:e>
            <m:r>
              <m:t>10</m:t>
            </m:r>
          </m:e>
          <m:sup>
            <m:r>
              <m:t>10</m:t>
            </m:r>
          </m:sup>
        </m:sSup>
      </m:oMath>
      <w:r>
        <w:t xml:space="preserve"> </w:t>
      </w:r>
      <w:r>
        <w:t xml:space="preserve">holding over $4 billion in total bank assets and employed</w:t>
      </w:r>
      <w:r>
        <w:t xml:space="preserve"> </w:t>
      </w:r>
      <w:r>
        <w:t xml:space="preserve">21 examiners as of Dec 31</w:t>
      </w:r>
      <w:r>
        <w:rPr>
          <w:vertAlign w:val="superscript"/>
        </w:rPr>
        <w:t xml:space="preserve">st</w:t>
      </w:r>
      <w:r>
        <w:t xml:space="preserve">, 2015.</w:t>
      </w:r>
    </w:p>
    <w:p>
      <w:pPr>
        <w:pStyle w:val="Heading1"/>
      </w:pPr>
      <w:bookmarkStart w:id="34" w:name="conclusion"/>
      <w:bookmarkEnd w:id="34"/>
      <w:r>
        <w:t xml:space="preserve">Conclusion</w:t>
      </w:r>
    </w:p>
    <w:p>
      <w:pPr>
        <w:pStyle w:val="FirstParagraph"/>
      </w:pPr>
      <w:r>
        <w:t xml:space="preserve">The model finds that in 2015, the estimated number of examiners needed in Minnesota, given its relatively high number of</w:t>
      </w:r>
      <w:r>
        <w:t xml:space="preserve"> </w:t>
      </w:r>
      <w:r>
        <w:t xml:space="preserve">charters and its sizeable assert base, was approximately 50. Accordingly, Minnesota appeared to be understaffed by</w:t>
      </w:r>
      <w:r>
        <w:t xml:space="preserve"> </w:t>
      </w:r>
      <w:r>
        <w:t xml:space="preserve">29 examiners in 2015.</w:t>
      </w:r>
    </w:p>
    <w:p>
      <w:pPr>
        <w:pStyle w:val="Heading1"/>
      </w:pPr>
      <w:bookmarkStart w:id="35" w:name="appendix"/>
      <w:bookmarkEnd w:id="35"/>
      <w:r>
        <w:t xml:space="preserve">Appendix</w:t>
      </w:r>
    </w:p>
    <w:p>
      <w:pPr>
        <w:pStyle w:val="FirstParagraph"/>
      </w:pPr>
      <w:r>
        <w:t xml:space="preserve">Figure 3 displays the number of examiners gap and the percentage of examiners gap for each reporting state banking department.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img" id="1" name="Picture"/>
            <a:graphic>
              <a:graphicData uri="http://schemas.openxmlformats.org/drawingml/2006/picture">
                <pic:pic>
                  <pic:nvPicPr>
                    <pic:cNvPr descr="MSTR_b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Figure 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is widely understood among bank regulators that the financial condition of the institution is a driving factor of</w:t>
      </w:r>
      <w:r>
        <w:t xml:space="preserve"> </w:t>
      </w:r>
      <w:r>
        <w:t xml:space="preserve">examination resources. In times of economic stress, the demands on an agency's bank examination staff increase.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3085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d39744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31210b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827af337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hyperlink" Id="rId26" Target="https://www5.fdic.gov/sdi/main.asp?formname=customddownloa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www5.fdic.gov/sdi/main.asp?formname=customd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Examiners Benchmarking Research for Minnesota Banking Department</dc:title>
  <dc:creator>CSBS Analytics and Research</dc:creator>
  <dcterms:created xsi:type="dcterms:W3CDTF">2017-02-03T21:30:56Z</dcterms:created>
  <dcterms:modified xsi:type="dcterms:W3CDTF">2017-02-03T21:30:56Z</dcterms:modified>
</cp:coreProperties>
</file>