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9.857819905213"/>
        <w:gridCol w:w="8310.142180094786"/>
        <w:tblGridChange w:id="0">
          <w:tblGrid>
            <w:gridCol w:w="1049.857819905213"/>
            <w:gridCol w:w="8310.14218009478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get highest game session score of a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an integer indicating the cumulative score of specified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