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Checks if new score is better than old score Updates as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