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1924B" w14:textId="77777777" w:rsidR="00812B23" w:rsidRPr="00812B23" w:rsidRDefault="00B4210B" w:rsidP="006A0D8E">
      <w:pPr>
        <w:pStyle w:val="Title"/>
      </w:pPr>
      <w:r>
        <w:t xml:space="preserve">Water quality section of </w:t>
      </w:r>
      <w:r w:rsidR="00812B23" w:rsidRPr="00812B23">
        <w:t>sustainability paper</w:t>
      </w:r>
    </w:p>
    <w:p w14:paraId="53561219" w14:textId="77777777" w:rsidR="00812B23" w:rsidRPr="006A0D8E" w:rsidRDefault="00812B23" w:rsidP="006A0D8E">
      <w:pPr>
        <w:pStyle w:val="Heading1"/>
        <w:numPr>
          <w:ilvl w:val="0"/>
          <w:numId w:val="5"/>
        </w:numPr>
      </w:pPr>
      <w:r w:rsidRPr="006A0D8E">
        <w:t>Methods:</w:t>
      </w:r>
      <w:r w:rsidR="00833A40" w:rsidRPr="006A0D8E">
        <w:t xml:space="preserve"> </w:t>
      </w:r>
      <w:r w:rsidR="00833A40" w:rsidRPr="006A0D8E">
        <w:rPr>
          <w:highlight w:val="yellow"/>
        </w:rPr>
        <w:t>Jeff</w:t>
      </w:r>
      <w:r w:rsidR="002A0266">
        <w:t xml:space="preserve"> </w:t>
      </w:r>
      <w:r w:rsidR="002A0266" w:rsidRPr="002A0266">
        <w:rPr>
          <w:b w:val="0"/>
          <w:color w:val="C00000"/>
          <w:sz w:val="22"/>
        </w:rPr>
        <w:t>(Note: Jeff drafted some text but not included here.)</w:t>
      </w:r>
    </w:p>
    <w:p w14:paraId="28013488" w14:textId="77777777" w:rsidR="006A0D8E" w:rsidRPr="00812B23" w:rsidRDefault="006A0D8E" w:rsidP="006A0D8E">
      <w:pPr>
        <w:pStyle w:val="Heading2"/>
        <w:rPr>
          <w:rFonts w:eastAsia="Times New Roman"/>
        </w:rPr>
      </w:pPr>
      <w:r>
        <w:rPr>
          <w:rFonts w:eastAsia="Times New Roman"/>
        </w:rPr>
        <w:t xml:space="preserve">Water quality </w:t>
      </w:r>
      <w:r w:rsidR="00E240B8">
        <w:rPr>
          <w:rFonts w:eastAsia="Times New Roman"/>
        </w:rPr>
        <w:t xml:space="preserve">sustainability </w:t>
      </w:r>
      <w:r>
        <w:rPr>
          <w:rFonts w:eastAsia="Times New Roman"/>
        </w:rPr>
        <w:t>metric</w:t>
      </w:r>
    </w:p>
    <w:p w14:paraId="51490B04" w14:textId="77777777" w:rsidR="00812B23" w:rsidRDefault="00B4210B" w:rsidP="000315C7">
      <w:r>
        <w:t>The water</w:t>
      </w:r>
      <w:r w:rsidR="00812B23" w:rsidRPr="00812B23">
        <w:t xml:space="preserve"> quality sustainability metric </w:t>
      </w:r>
      <w:r>
        <w:t xml:space="preserve">that was selected is based on nutrient losses, because of the importance of nutrients in nitrate-N and total phosphorus loads </w:t>
      </w:r>
      <w:r w:rsidR="0073091D">
        <w:t xml:space="preserve">in national water quality issues. </w:t>
      </w:r>
      <w:r w:rsidR="006A0D8E">
        <w:t xml:space="preserve">There have been a large number of people who have been debating reductions for at least a decade and a consensus has formed on what the goals should be. So rather than coming up with new values, we will adopt what the group has already done. A large body of work exists that forms a good basis. </w:t>
      </w:r>
    </w:p>
    <w:p w14:paraId="7A386879" w14:textId="77777777" w:rsidR="0073091D" w:rsidRDefault="0073091D" w:rsidP="000315C7">
      <w:r>
        <w:t xml:space="preserve">Loads on a per area basis </w:t>
      </w:r>
      <w:r w:rsidR="006A0D8E">
        <w:t>are the only metric that makes sense for individual fields in corn-based systems</w:t>
      </w:r>
      <w:r>
        <w:t xml:space="preserve">. </w:t>
      </w:r>
      <w:r w:rsidR="006A0D8E">
        <w:t>Proposed</w:t>
      </w:r>
      <w:r>
        <w:t xml:space="preserve"> numeric water quality criteria are based on concentration, but concentration standards would not allow the sustainability assessment of fields. </w:t>
      </w:r>
    </w:p>
    <w:p w14:paraId="610CE9DC" w14:textId="77777777" w:rsidR="00833A40" w:rsidRPr="00812B23" w:rsidRDefault="00833A40" w:rsidP="000315C7">
      <w:r>
        <w:t>Why 3 states? Of the Midwest, they are the ones that have plans in place. Using what is available. They provide the full range; would likely fall in between. (For discussion: Could say that these are really far apart so other states likely in between)  (</w:t>
      </w:r>
      <w:r w:rsidRPr="006A0D8E">
        <w:rPr>
          <w:highlight w:val="yellow"/>
        </w:rPr>
        <w:t>Could look at other hypoxia work (SPARROW) and see where they fall -</w:t>
      </w:r>
      <w:r>
        <w:t xml:space="preserve"> </w:t>
      </w:r>
      <w:r w:rsidRPr="00833A40">
        <w:rPr>
          <w:highlight w:val="yellow"/>
        </w:rPr>
        <w:t>Laura.)</w:t>
      </w:r>
    </w:p>
    <w:p w14:paraId="47747929" w14:textId="77777777" w:rsidR="00812B23" w:rsidRPr="00930F8E" w:rsidRDefault="006A0D8E" w:rsidP="000315C7">
      <w:r w:rsidRPr="00930F8E">
        <w:rPr>
          <w:rFonts w:eastAsia="Symbol"/>
        </w:rPr>
        <w:t>F</w:t>
      </w:r>
      <w:r w:rsidR="00812B23" w:rsidRPr="00930F8E">
        <w:t xml:space="preserve">ocus of this paper is Corn Belt states that drain to the Gulf of Mexico. They have the 45% reduction goal </w:t>
      </w:r>
    </w:p>
    <w:p w14:paraId="5A58E45F" w14:textId="77777777" w:rsidR="00930F8E" w:rsidRPr="006A0D8E" w:rsidRDefault="00930F8E" w:rsidP="00930F8E">
      <w:pPr>
        <w:pStyle w:val="Heading2"/>
        <w:rPr>
          <w:rFonts w:eastAsia="Times New Roman"/>
        </w:rPr>
      </w:pPr>
      <w:r>
        <w:t>Determining the numeric goal</w:t>
      </w:r>
    </w:p>
    <w:p w14:paraId="1F3DFF7C" w14:textId="77777777" w:rsidR="00812B23" w:rsidRPr="00812B23" w:rsidRDefault="00812B23" w:rsidP="000315C7">
      <w:r w:rsidRPr="00812B23">
        <w:t>Subtract point sources; Denominators (as previous</w:t>
      </w:r>
      <w:r w:rsidR="00930F8E">
        <w:t xml:space="preserve">ly </w:t>
      </w:r>
      <w:r w:rsidRPr="00812B23">
        <w:t xml:space="preserve"> written.)</w:t>
      </w:r>
      <w:r w:rsidR="0019533F">
        <w:t xml:space="preserve"> </w:t>
      </w:r>
      <w:r w:rsidR="0019533F" w:rsidRPr="0019533F">
        <w:rPr>
          <w:highlight w:val="yellow"/>
        </w:rPr>
        <w:t>(I realize that Matt and I may need to write this up.)</w:t>
      </w:r>
    </w:p>
    <w:p w14:paraId="287EEBE6" w14:textId="77777777" w:rsidR="00812B23" w:rsidRPr="00812B23" w:rsidRDefault="00812B23" w:rsidP="00930F8E">
      <w:pPr>
        <w:pStyle w:val="Heading2"/>
        <w:rPr>
          <w:rFonts w:eastAsia="Times New Roman"/>
        </w:rPr>
      </w:pPr>
      <w:r w:rsidRPr="00812B23">
        <w:rPr>
          <w:rFonts w:eastAsia="Times New Roman"/>
        </w:rPr>
        <w:t>Data from drained corn-based cropping systems</w:t>
      </w:r>
    </w:p>
    <w:p w14:paraId="282CA4B5" w14:textId="77777777" w:rsidR="00812B23" w:rsidRPr="00812B23" w:rsidRDefault="00812B23" w:rsidP="000315C7">
      <w:pPr>
        <w:rPr>
          <w:rFonts w:eastAsia="Times New Roman"/>
        </w:rPr>
      </w:pPr>
      <w:r w:rsidRPr="00812B23">
        <w:rPr>
          <w:rFonts w:ascii="Symbol" w:hAnsi="Symbol" w:cs="Symbol"/>
        </w:rPr>
        <w:t></w:t>
      </w:r>
      <w:r w:rsidRPr="00812B23">
        <w:t xml:space="preserve">         </w:t>
      </w:r>
      <w:r w:rsidRPr="00812B23">
        <w:rPr>
          <w:rFonts w:eastAsia="Times New Roman"/>
        </w:rPr>
        <w:t>CSCAP</w:t>
      </w:r>
    </w:p>
    <w:p w14:paraId="53B7788A" w14:textId="77777777" w:rsidR="00812B23" w:rsidRPr="00812B23" w:rsidRDefault="00812B23" w:rsidP="000315C7">
      <w:pPr>
        <w:ind w:left="720"/>
        <w:rPr>
          <w:rFonts w:eastAsia="Times New Roman"/>
        </w:rPr>
      </w:pPr>
      <w:r w:rsidRPr="00812B23">
        <w:rPr>
          <w:rFonts w:eastAsia="Times New Roman"/>
        </w:rPr>
        <w:t>o   Explain database (done in other sections of this paper)</w:t>
      </w:r>
    </w:p>
    <w:p w14:paraId="4098163B" w14:textId="77777777" w:rsidR="00812B23" w:rsidRPr="00812B23" w:rsidRDefault="00812B23" w:rsidP="000315C7">
      <w:pPr>
        <w:ind w:left="720"/>
        <w:rPr>
          <w:rFonts w:eastAsia="Times New Roman"/>
        </w:rPr>
      </w:pPr>
      <w:r w:rsidRPr="00812B23">
        <w:rPr>
          <w:rFonts w:eastAsia="Times New Roman"/>
        </w:rPr>
        <w:t>o   We are including free drainage and controlled drainage sites</w:t>
      </w:r>
    </w:p>
    <w:p w14:paraId="2599B5F1" w14:textId="77777777" w:rsidR="00812B23" w:rsidRPr="00812B23" w:rsidRDefault="00812B23" w:rsidP="000315C7">
      <w:pPr>
        <w:ind w:left="720"/>
        <w:rPr>
          <w:rFonts w:eastAsia="Times New Roman"/>
        </w:rPr>
      </w:pPr>
      <w:r w:rsidRPr="00812B23">
        <w:rPr>
          <w:rFonts w:eastAsia="Times New Roman"/>
        </w:rPr>
        <w:t>o   Explain sites, fact that we combine all plots with one treatment into one “site” for this.</w:t>
      </w:r>
    </w:p>
    <w:p w14:paraId="14E5B698" w14:textId="77777777" w:rsidR="00812B23" w:rsidRPr="00812B23" w:rsidRDefault="00812B23" w:rsidP="000315C7">
      <w:pPr>
        <w:rPr>
          <w:rFonts w:eastAsia="Times New Roman"/>
        </w:rPr>
      </w:pPr>
      <w:r w:rsidRPr="00812B23">
        <w:rPr>
          <w:rFonts w:ascii="Symbol" w:hAnsi="Symbol" w:cs="Symbol"/>
        </w:rPr>
        <w:t></w:t>
      </w:r>
      <w:r w:rsidRPr="00812B23">
        <w:t xml:space="preserve">         </w:t>
      </w:r>
      <w:r w:rsidRPr="00812B23">
        <w:rPr>
          <w:rFonts w:eastAsia="Times New Roman"/>
        </w:rPr>
        <w:t>MANAGE</w:t>
      </w:r>
    </w:p>
    <w:p w14:paraId="4B9AA91A" w14:textId="77777777" w:rsidR="00812B23" w:rsidRPr="00812B23" w:rsidRDefault="00812B23" w:rsidP="000315C7">
      <w:pPr>
        <w:ind w:left="720"/>
        <w:rPr>
          <w:rFonts w:eastAsia="Times New Roman"/>
        </w:rPr>
      </w:pPr>
      <w:r w:rsidRPr="00812B23">
        <w:rPr>
          <w:rFonts w:eastAsia="Times New Roman"/>
        </w:rPr>
        <w:t>o   Explain database (citations)</w:t>
      </w:r>
    </w:p>
    <w:p w14:paraId="07563A04" w14:textId="77777777" w:rsidR="000315C7" w:rsidRPr="000315C7" w:rsidRDefault="00812B23" w:rsidP="000315C7">
      <w:pPr>
        <w:pStyle w:val="ListParagraph"/>
        <w:numPr>
          <w:ilvl w:val="0"/>
          <w:numId w:val="7"/>
        </w:numPr>
      </w:pPr>
      <w:r w:rsidRPr="000315C7">
        <w:t>Only included “Corn Belt” states that have parts draining to Gulf because of our definition of sustainability (45% reduction)</w:t>
      </w:r>
    </w:p>
    <w:p w14:paraId="11FC70B1" w14:textId="77777777" w:rsidR="00812B23" w:rsidRPr="000315C7" w:rsidRDefault="00812B23" w:rsidP="000315C7">
      <w:pPr>
        <w:pStyle w:val="ListParagraph"/>
        <w:numPr>
          <w:ilvl w:val="0"/>
          <w:numId w:val="7"/>
        </w:numPr>
      </w:pPr>
      <w:r w:rsidRPr="000315C7">
        <w:t>Used free drainage with no inlets to look at conventional systems</w:t>
      </w:r>
    </w:p>
    <w:p w14:paraId="1C7BE37C" w14:textId="77777777" w:rsidR="006A0D8E" w:rsidRPr="00E240B8" w:rsidRDefault="006A0D8E" w:rsidP="00E240B8">
      <w:pPr>
        <w:rPr>
          <w:color w:val="C00000"/>
        </w:rPr>
      </w:pPr>
      <w:r w:rsidRPr="00E240B8">
        <w:rPr>
          <w:color w:val="C00000"/>
        </w:rPr>
        <w:lastRenderedPageBreak/>
        <w:t xml:space="preserve">Do we want to use </w:t>
      </w:r>
      <w:r w:rsidR="00930F8E" w:rsidRPr="00E240B8">
        <w:rPr>
          <w:color w:val="C00000"/>
        </w:rPr>
        <w:t xml:space="preserve">something like </w:t>
      </w:r>
      <w:r w:rsidRPr="00E240B8">
        <w:rPr>
          <w:color w:val="C00000"/>
        </w:rPr>
        <w:t>this that Gio provided</w:t>
      </w:r>
      <w:r w:rsidR="00930F8E" w:rsidRPr="00E240B8">
        <w:rPr>
          <w:color w:val="C00000"/>
        </w:rPr>
        <w:t xml:space="preserve"> to show amount of data</w:t>
      </w:r>
      <w:r w:rsidR="000315C7" w:rsidRPr="00E240B8">
        <w:rPr>
          <w:color w:val="C00000"/>
        </w:rPr>
        <w:t xml:space="preserve"> in the two databases</w:t>
      </w:r>
      <w:r w:rsidR="00930F8E" w:rsidRPr="00E240B8">
        <w:rPr>
          <w:color w:val="C00000"/>
        </w:rPr>
        <w:t>?</w:t>
      </w:r>
      <w:r w:rsidR="00E240B8" w:rsidRPr="00E240B8">
        <w:rPr>
          <w:color w:val="C00000"/>
        </w:rPr>
        <w:t xml:space="preserve"> </w:t>
      </w:r>
      <w:r w:rsidR="00301E2C">
        <w:rPr>
          <w:color w:val="C00000"/>
        </w:rPr>
        <w:t>I’m not sure it is needed (just shows how many plots per site) but may add weight to the results. But I would suggest just giving numbers</w:t>
      </w:r>
    </w:p>
    <w:p w14:paraId="57D2D3D4" w14:textId="77777777" w:rsidR="006A0D8E" w:rsidRPr="006A0D8E" w:rsidRDefault="006A0D8E" w:rsidP="006A0D8E">
      <w:pPr>
        <w:ind w:left="720"/>
        <w:contextualSpacing/>
        <w:rPr>
          <w:color w:val="FF0000"/>
          <w:sz w:val="28"/>
          <w:szCs w:val="28"/>
        </w:rPr>
      </w:pPr>
      <w:r>
        <w:rPr>
          <w:noProof/>
          <w:color w:val="FF0000"/>
          <w:sz w:val="28"/>
          <w:szCs w:val="28"/>
        </w:rPr>
        <w:drawing>
          <wp:inline distT="0" distB="0" distL="0" distR="0" wp14:anchorId="12C46DFC" wp14:editId="14BC0696">
            <wp:extent cx="4754880" cy="3328417"/>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3n_manacap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65004" cy="3335504"/>
                    </a:xfrm>
                    <a:prstGeom prst="rect">
                      <a:avLst/>
                    </a:prstGeom>
                  </pic:spPr>
                </pic:pic>
              </a:graphicData>
            </a:graphic>
          </wp:inline>
        </w:drawing>
      </w:r>
    </w:p>
    <w:p w14:paraId="4E15464E" w14:textId="77777777" w:rsidR="00812B23" w:rsidRPr="00812B23" w:rsidRDefault="00812B23" w:rsidP="00930F8E">
      <w:pPr>
        <w:pStyle w:val="Heading2"/>
        <w:rPr>
          <w:rFonts w:eastAsia="Times New Roman"/>
        </w:rPr>
      </w:pPr>
      <w:r w:rsidRPr="00812B23">
        <w:rPr>
          <w:rFonts w:eastAsia="Times New Roman"/>
        </w:rPr>
        <w:t>Comparison to sustainable systems</w:t>
      </w:r>
    </w:p>
    <w:p w14:paraId="2136F375" w14:textId="77777777" w:rsidR="00812B23" w:rsidRPr="00812B23" w:rsidRDefault="00812B23" w:rsidP="000315C7">
      <w:r w:rsidRPr="00812B23">
        <w:rPr>
          <w:rFonts w:ascii="Symbol" w:eastAsia="Symbol" w:hAnsi="Symbol" w:cs="Symbol"/>
        </w:rPr>
        <w:t></w:t>
      </w:r>
      <w:r w:rsidRPr="00812B23">
        <w:rPr>
          <w:rFonts w:eastAsia="Symbol"/>
        </w:rPr>
        <w:t>    </w:t>
      </w:r>
      <w:r w:rsidRPr="00812B23">
        <w:t>Explain the cumulative probability method or any other way we make the comparison (this section may not be needed</w:t>
      </w:r>
      <w:r w:rsidR="0019533F">
        <w:t>; maybe just in Results</w:t>
      </w:r>
      <w:r w:rsidRPr="00812B23">
        <w:t xml:space="preserve">). </w:t>
      </w:r>
    </w:p>
    <w:p w14:paraId="5426902B" w14:textId="77777777" w:rsidR="00812B23" w:rsidRPr="00812B23" w:rsidRDefault="00812B23" w:rsidP="0019533F">
      <w:pPr>
        <w:rPr>
          <w:color w:val="FF0000"/>
        </w:rPr>
      </w:pPr>
      <w:r w:rsidRPr="00812B23">
        <w:rPr>
          <w:rFonts w:ascii="Symbol" w:eastAsia="Symbol" w:hAnsi="Symbol" w:cs="Symbol"/>
        </w:rPr>
        <w:t></w:t>
      </w:r>
      <w:r w:rsidRPr="00812B23">
        <w:rPr>
          <w:rFonts w:eastAsia="Symbol"/>
        </w:rPr>
        <w:t>   </w:t>
      </w:r>
      <w:r w:rsidR="0019533F">
        <w:rPr>
          <w:rFonts w:eastAsia="Symbol"/>
        </w:rPr>
        <w:t>Second question was, i</w:t>
      </w:r>
      <w:r w:rsidRPr="00812B23">
        <w:t>f existing system will not meet the goal (is not sustainable), what if we implemented various practices? Cover crops, controlled drainage.  Our questions is “Can water quality loads be made sustainable within the cropped field?” so we will focus on in-field practices. If goal cannot be met with these, then need to look at edge-of-field practices, but they are not reviewed here</w:t>
      </w:r>
      <w:r w:rsidRPr="00812B23">
        <w:rPr>
          <w:color w:val="FF0000"/>
        </w:rPr>
        <w:t>.</w:t>
      </w:r>
    </w:p>
    <w:p w14:paraId="66759218" w14:textId="77777777" w:rsidR="00DE7F51" w:rsidRDefault="00DE7F51">
      <w:pPr>
        <w:rPr>
          <w:rFonts w:ascii="Times New Roman" w:eastAsia="Times New Roman" w:hAnsi="Times New Roman" w:cs="Times New Roman"/>
          <w:b/>
          <w:bCs/>
          <w:kern w:val="36"/>
          <w:sz w:val="28"/>
          <w:szCs w:val="48"/>
        </w:rPr>
      </w:pPr>
      <w:r>
        <w:br w:type="page"/>
      </w:r>
    </w:p>
    <w:p w14:paraId="47727FB4" w14:textId="77777777" w:rsidR="00812B23" w:rsidRPr="00812B23" w:rsidRDefault="00812B23" w:rsidP="00930F8E">
      <w:pPr>
        <w:pStyle w:val="Heading1"/>
      </w:pPr>
      <w:r w:rsidRPr="00812B23">
        <w:lastRenderedPageBreak/>
        <w:t>Results</w:t>
      </w:r>
      <w:r w:rsidR="00A66DAE">
        <w:t xml:space="preserve"> </w:t>
      </w:r>
      <w:r w:rsidR="00A66DAE" w:rsidRPr="00DA3639">
        <w:rPr>
          <w:highlight w:val="yellow"/>
        </w:rPr>
        <w:t>(Jane and Laura)</w:t>
      </w:r>
    </w:p>
    <w:p w14:paraId="0E9A0631" w14:textId="77777777" w:rsidR="00502B8E" w:rsidRDefault="00502B8E" w:rsidP="00833A40">
      <w:pPr>
        <w:pStyle w:val="Heading2"/>
        <w:rPr>
          <w:rFonts w:eastAsia="Times New Roman"/>
        </w:rPr>
      </w:pPr>
      <w:r>
        <w:rPr>
          <w:rFonts w:eastAsia="Times New Roman"/>
        </w:rPr>
        <w:t>Water quality sustainability metrics</w:t>
      </w:r>
    </w:p>
    <w:p w14:paraId="45EC4B8F" w14:textId="77777777" w:rsidR="00502B8E" w:rsidRDefault="00502B8E" w:rsidP="00502B8E">
      <w:pPr>
        <w:rPr>
          <w:color w:val="C45911" w:themeColor="accent2" w:themeShade="BF"/>
        </w:rPr>
      </w:pPr>
      <w:r w:rsidRPr="00502B8E">
        <w:t>The water quality sustainability metrics</w:t>
      </w:r>
      <w:r w:rsidR="00DB5184">
        <w:t>, in the form of nitrate-N and phosphorus loads</w:t>
      </w:r>
      <w:r w:rsidRPr="00502B8E">
        <w:t xml:space="preserve"> for corn-based cropping systems</w:t>
      </w:r>
      <w:r w:rsidR="00DB5184">
        <w:t xml:space="preserve">, differ among the three states (Table 1). </w:t>
      </w:r>
      <w:r w:rsidR="006C64FB">
        <w:t>This might be due to …</w:t>
      </w:r>
      <w:r w:rsidRPr="00502B8E">
        <w:t xml:space="preserve"> </w:t>
      </w:r>
      <w:r w:rsidRPr="00502B8E">
        <w:rPr>
          <w:color w:val="C45911" w:themeColor="accent2" w:themeShade="BF"/>
        </w:rPr>
        <w:t>(</w:t>
      </w:r>
      <w:r w:rsidR="00DB5184">
        <w:rPr>
          <w:color w:val="C45911" w:themeColor="accent2" w:themeShade="BF"/>
        </w:rPr>
        <w:t xml:space="preserve">I still haven’t checked with people who calculated in Minnesota and Illinois whether they agree with the way I calculated, so these are not too certain. </w:t>
      </w:r>
      <w:r w:rsidRPr="00502B8E">
        <w:rPr>
          <w:color w:val="C45911" w:themeColor="accent2" w:themeShade="BF"/>
        </w:rPr>
        <w:t>)</w:t>
      </w:r>
      <w:r w:rsidR="00E240B8">
        <w:rPr>
          <w:color w:val="C45911" w:themeColor="accent2" w:themeShade="BF"/>
        </w:rPr>
        <w:t>(</w:t>
      </w:r>
      <w:r w:rsidR="002A0266">
        <w:rPr>
          <w:color w:val="C45911" w:themeColor="accent2" w:themeShade="BF"/>
        </w:rPr>
        <w:t>But once results are finalized, what else can we say about these values</w:t>
      </w:r>
      <w:r w:rsidR="00E240B8">
        <w:rPr>
          <w:color w:val="C45911" w:themeColor="accent2" w:themeShade="BF"/>
        </w:rPr>
        <w:t>?</w:t>
      </w:r>
      <w:r w:rsidR="002A0266">
        <w:rPr>
          <w:color w:val="C45911" w:themeColor="accent2" w:themeShade="BF"/>
        </w:rPr>
        <w:t xml:space="preserve"> Laura, is this where we would include USGS load estimates?</w:t>
      </w:r>
    </w:p>
    <w:tbl>
      <w:tblPr>
        <w:tblStyle w:val="TableGrid"/>
        <w:tblW w:w="0" w:type="auto"/>
        <w:tblLook w:val="04A0" w:firstRow="1" w:lastRow="0" w:firstColumn="1" w:lastColumn="0" w:noHBand="0" w:noVBand="1"/>
      </w:tblPr>
      <w:tblGrid>
        <w:gridCol w:w="1548"/>
        <w:gridCol w:w="1800"/>
        <w:gridCol w:w="1908"/>
      </w:tblGrid>
      <w:tr w:rsidR="00DB5184" w14:paraId="06E7E8B4" w14:textId="77777777" w:rsidTr="00502B8E">
        <w:tc>
          <w:tcPr>
            <w:tcW w:w="1548" w:type="dxa"/>
          </w:tcPr>
          <w:p w14:paraId="151B8AEA" w14:textId="77777777" w:rsidR="00DB5184" w:rsidRPr="00502B8E" w:rsidRDefault="00DB5184" w:rsidP="00502B8E">
            <w:r w:rsidRPr="00502B8E">
              <w:t>State</w:t>
            </w:r>
          </w:p>
        </w:tc>
        <w:tc>
          <w:tcPr>
            <w:tcW w:w="1800" w:type="dxa"/>
          </w:tcPr>
          <w:p w14:paraId="5CACDDF1" w14:textId="77777777" w:rsidR="00DB5184" w:rsidRPr="00502B8E" w:rsidRDefault="00DB5184" w:rsidP="00DB5184">
            <w:pPr>
              <w:jc w:val="center"/>
            </w:pPr>
            <w:r w:rsidRPr="00502B8E">
              <w:t>Sustainable Nitrate-N Load (kg/ha)</w:t>
            </w:r>
          </w:p>
        </w:tc>
        <w:tc>
          <w:tcPr>
            <w:tcW w:w="1908" w:type="dxa"/>
          </w:tcPr>
          <w:p w14:paraId="6ECB4376" w14:textId="77777777" w:rsidR="00DB5184" w:rsidRPr="00502B8E" w:rsidRDefault="00DB5184" w:rsidP="00DB5184">
            <w:pPr>
              <w:jc w:val="center"/>
            </w:pPr>
            <w:r w:rsidRPr="00502B8E">
              <w:t>Sustainable Phosphorus Load (kg/ha)</w:t>
            </w:r>
          </w:p>
        </w:tc>
      </w:tr>
      <w:tr w:rsidR="00DB5184" w14:paraId="767508F2" w14:textId="77777777" w:rsidTr="00502B8E">
        <w:tc>
          <w:tcPr>
            <w:tcW w:w="1548" w:type="dxa"/>
          </w:tcPr>
          <w:p w14:paraId="09D6E4FC" w14:textId="77777777" w:rsidR="00DB5184" w:rsidRPr="00502B8E" w:rsidRDefault="00DB5184" w:rsidP="00502B8E">
            <w:r w:rsidRPr="00502B8E">
              <w:t>Illinois</w:t>
            </w:r>
          </w:p>
        </w:tc>
        <w:tc>
          <w:tcPr>
            <w:tcW w:w="1800" w:type="dxa"/>
          </w:tcPr>
          <w:p w14:paraId="141B55BE" w14:textId="77777777" w:rsidR="00DB5184" w:rsidRPr="00502B8E" w:rsidRDefault="00DB5184" w:rsidP="00DB5184">
            <w:pPr>
              <w:jc w:val="center"/>
            </w:pPr>
            <w:r>
              <w:t>8.0</w:t>
            </w:r>
          </w:p>
        </w:tc>
        <w:tc>
          <w:tcPr>
            <w:tcW w:w="1908" w:type="dxa"/>
          </w:tcPr>
          <w:p w14:paraId="77B5045B" w14:textId="77777777" w:rsidR="00DB5184" w:rsidRPr="00502B8E" w:rsidRDefault="00DB5184" w:rsidP="00DB5184">
            <w:pPr>
              <w:jc w:val="center"/>
            </w:pPr>
            <w:r>
              <w:t>0.48</w:t>
            </w:r>
          </w:p>
        </w:tc>
      </w:tr>
      <w:tr w:rsidR="00DB5184" w14:paraId="406E12D0" w14:textId="77777777" w:rsidTr="00502B8E">
        <w:tc>
          <w:tcPr>
            <w:tcW w:w="1548" w:type="dxa"/>
          </w:tcPr>
          <w:p w14:paraId="02E52FB8" w14:textId="77777777" w:rsidR="00DB5184" w:rsidRPr="00502B8E" w:rsidRDefault="00DB5184" w:rsidP="00502B8E">
            <w:r w:rsidRPr="00502B8E">
              <w:t>Iowa</w:t>
            </w:r>
          </w:p>
        </w:tc>
        <w:tc>
          <w:tcPr>
            <w:tcW w:w="1800" w:type="dxa"/>
          </w:tcPr>
          <w:p w14:paraId="2D644670" w14:textId="77777777" w:rsidR="00DB5184" w:rsidRPr="00502B8E" w:rsidRDefault="00DB5184" w:rsidP="00DB5184">
            <w:pPr>
              <w:jc w:val="center"/>
            </w:pPr>
            <w:r>
              <w:t>17.1</w:t>
            </w:r>
          </w:p>
        </w:tc>
        <w:tc>
          <w:tcPr>
            <w:tcW w:w="1908" w:type="dxa"/>
          </w:tcPr>
          <w:p w14:paraId="7AEF110D" w14:textId="77777777" w:rsidR="00DB5184" w:rsidRPr="00502B8E" w:rsidRDefault="00DB5184" w:rsidP="00DB5184">
            <w:pPr>
              <w:jc w:val="center"/>
            </w:pPr>
            <w:r>
              <w:t>0.69</w:t>
            </w:r>
          </w:p>
        </w:tc>
      </w:tr>
      <w:tr w:rsidR="00DB5184" w14:paraId="2D41809D" w14:textId="77777777" w:rsidTr="00502B8E">
        <w:tc>
          <w:tcPr>
            <w:tcW w:w="1548" w:type="dxa"/>
          </w:tcPr>
          <w:p w14:paraId="59D48F66" w14:textId="77777777" w:rsidR="00DB5184" w:rsidRPr="00502B8E" w:rsidRDefault="00DB5184" w:rsidP="00502B8E">
            <w:r w:rsidRPr="00502B8E">
              <w:t>Minnesota</w:t>
            </w:r>
          </w:p>
        </w:tc>
        <w:tc>
          <w:tcPr>
            <w:tcW w:w="1800" w:type="dxa"/>
          </w:tcPr>
          <w:p w14:paraId="4A8E3417" w14:textId="77777777" w:rsidR="00DB5184" w:rsidRPr="00502B8E" w:rsidRDefault="00DB5184" w:rsidP="00DB5184">
            <w:pPr>
              <w:jc w:val="center"/>
            </w:pPr>
            <w:r>
              <w:t>6.6</w:t>
            </w:r>
          </w:p>
        </w:tc>
        <w:tc>
          <w:tcPr>
            <w:tcW w:w="1908" w:type="dxa"/>
          </w:tcPr>
          <w:p w14:paraId="4C712FBF" w14:textId="77777777" w:rsidR="00DB5184" w:rsidRPr="00502B8E" w:rsidRDefault="00DB5184" w:rsidP="00DB5184">
            <w:pPr>
              <w:jc w:val="center"/>
            </w:pPr>
            <w:r>
              <w:t>0.32</w:t>
            </w:r>
          </w:p>
        </w:tc>
      </w:tr>
    </w:tbl>
    <w:p w14:paraId="44EFD2CA" w14:textId="77777777" w:rsidR="00502B8E" w:rsidRPr="00502B8E" w:rsidRDefault="00502B8E" w:rsidP="00502B8E">
      <w:pPr>
        <w:rPr>
          <w:color w:val="C45911" w:themeColor="accent2" w:themeShade="BF"/>
        </w:rPr>
      </w:pPr>
    </w:p>
    <w:p w14:paraId="3F765B5C" w14:textId="77777777" w:rsidR="00812B23" w:rsidRDefault="0056444B" w:rsidP="00833A40">
      <w:pPr>
        <w:pStyle w:val="Heading2"/>
        <w:rPr>
          <w:rFonts w:eastAsia="Times New Roman"/>
        </w:rPr>
      </w:pPr>
      <w:r>
        <w:rPr>
          <w:rFonts w:eastAsia="Times New Roman"/>
        </w:rPr>
        <w:t>Comparison of drained fields to water quality sustainability metrics</w:t>
      </w:r>
    </w:p>
    <w:p w14:paraId="3A9BB94E" w14:textId="77777777" w:rsidR="00AE2FB2" w:rsidRDefault="0056444B" w:rsidP="0056444B">
      <w:r>
        <w:t xml:space="preserve">The nitrate-N load </w:t>
      </w:r>
      <w:r w:rsidR="004462BD">
        <w:t>cumulative frequency curves</w:t>
      </w:r>
      <w:r>
        <w:t xml:space="preserve"> for the CSCAP and MANAGE databases </w:t>
      </w:r>
      <w:r w:rsidR="00DB5184">
        <w:t xml:space="preserve">both show that </w:t>
      </w:r>
      <w:r w:rsidR="006C64FB">
        <w:t>nitrate-N and phosphorus loads from drained corn-based cropping systems usually exceeds these sustainability metrics</w:t>
      </w:r>
      <w:r>
        <w:t xml:space="preserve"> (Figure 1). The smoother curve for the MANAGE database is due to the larger number of site years</w:t>
      </w:r>
      <w:r w:rsidR="006C64FB">
        <w:t xml:space="preserve">. There are </w:t>
      </w:r>
      <w:r w:rsidR="003405AE" w:rsidRPr="003405AE">
        <w:rPr>
          <w:highlight w:val="yellow"/>
        </w:rPr>
        <w:t>180</w:t>
      </w:r>
      <w:r w:rsidR="006C64FB">
        <w:t xml:space="preserve"> in the MANAGE database from </w:t>
      </w:r>
      <w:r w:rsidR="003405AE" w:rsidRPr="003405AE">
        <w:rPr>
          <w:highlight w:val="yellow"/>
        </w:rPr>
        <w:t>39</w:t>
      </w:r>
      <w:r w:rsidR="003405AE">
        <w:t xml:space="preserve"> </w:t>
      </w:r>
      <w:r w:rsidR="006C64FB">
        <w:t xml:space="preserve">sites, while there are </w:t>
      </w:r>
      <w:r w:rsidR="003405AE" w:rsidRPr="003405AE">
        <w:rPr>
          <w:highlight w:val="yellow"/>
        </w:rPr>
        <w:t>23</w:t>
      </w:r>
      <w:r>
        <w:t xml:space="preserve"> </w:t>
      </w:r>
      <w:r w:rsidR="006C64FB">
        <w:t>in</w:t>
      </w:r>
      <w:r>
        <w:t xml:space="preserve"> the CSCAP database</w:t>
      </w:r>
      <w:r w:rsidR="006C64FB">
        <w:t xml:space="preserve"> from </w:t>
      </w:r>
      <w:r w:rsidR="003405AE" w:rsidRPr="003405AE">
        <w:rPr>
          <w:highlight w:val="yellow"/>
        </w:rPr>
        <w:t>5</w:t>
      </w:r>
      <w:r w:rsidR="006C64FB">
        <w:t xml:space="preserve"> sites</w:t>
      </w:r>
      <w:r>
        <w:t xml:space="preserve">. The </w:t>
      </w:r>
      <w:r w:rsidR="00AE2FB2">
        <w:t>median</w:t>
      </w:r>
      <w:r>
        <w:t xml:space="preserve"> load </w:t>
      </w:r>
      <w:r w:rsidR="00AE2FB2">
        <w:t xml:space="preserve">(50% probability) </w:t>
      </w:r>
      <w:r>
        <w:t xml:space="preserve">for the CSCAP database is </w:t>
      </w:r>
      <w:r w:rsidR="002B6C5F" w:rsidRPr="002B6C5F">
        <w:rPr>
          <w:highlight w:val="yellow"/>
        </w:rPr>
        <w:t>32</w:t>
      </w:r>
      <w:r w:rsidR="00AE2FB2">
        <w:t xml:space="preserve"> kg/ha which is higher than the median of </w:t>
      </w:r>
      <w:r w:rsidR="002B6C5F" w:rsidRPr="002B6C5F">
        <w:rPr>
          <w:highlight w:val="yellow"/>
        </w:rPr>
        <w:t>26</w:t>
      </w:r>
      <w:r w:rsidR="00AE2FB2">
        <w:t xml:space="preserve"> kg/ha in the</w:t>
      </w:r>
      <w:r>
        <w:t xml:space="preserve"> MANAGE database</w:t>
      </w:r>
      <w:r w:rsidR="00AE2FB2">
        <w:t>, although at higher loads the position of the two curves is reversed</w:t>
      </w:r>
      <w:r>
        <w:t xml:space="preserve">. </w:t>
      </w:r>
      <w:r w:rsidR="00C463E1">
        <w:t xml:space="preserve">There are </w:t>
      </w:r>
      <w:r w:rsidR="006503AD" w:rsidRPr="006503AD">
        <w:rPr>
          <w:highlight w:val="yellow"/>
        </w:rPr>
        <w:t>11</w:t>
      </w:r>
      <w:r w:rsidR="00C463E1">
        <w:t xml:space="preserve"> site years greater than 60 kg/ha in the MANAGE database [</w:t>
      </w:r>
      <w:r w:rsidR="00C463E1" w:rsidRPr="006C64FB">
        <w:rPr>
          <w:color w:val="C00000"/>
        </w:rPr>
        <w:t>which were due to some unusual circumstance?</w:t>
      </w:r>
      <w:r w:rsidR="00C463E1">
        <w:t>]</w:t>
      </w:r>
    </w:p>
    <w:p w14:paraId="0320B9DC" w14:textId="65FEF083" w:rsidR="003C4DA1" w:rsidRDefault="009B7DAF" w:rsidP="003C4DA1">
      <w:r>
        <w:rPr>
          <w:noProof/>
        </w:rPr>
        <mc:AlternateContent>
          <mc:Choice Requires="wps">
            <w:drawing>
              <wp:anchor distT="0" distB="0" distL="114300" distR="114300" simplePos="0" relativeHeight="251660288" behindDoc="0" locked="0" layoutInCell="1" allowOverlap="1" wp14:anchorId="0C555826" wp14:editId="6810C268">
                <wp:simplePos x="0" y="0"/>
                <wp:positionH relativeFrom="column">
                  <wp:posOffset>4559935</wp:posOffset>
                </wp:positionH>
                <wp:positionV relativeFrom="paragraph">
                  <wp:posOffset>6350</wp:posOffset>
                </wp:positionV>
                <wp:extent cx="2143760" cy="3040380"/>
                <wp:effectExtent l="6985" t="13335" r="11430" b="133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3040380"/>
                        </a:xfrm>
                        <a:prstGeom prst="rect">
                          <a:avLst/>
                        </a:prstGeom>
                        <a:solidFill>
                          <a:srgbClr val="FFFFFF"/>
                        </a:solidFill>
                        <a:ln w="9525">
                          <a:solidFill>
                            <a:srgbClr val="000000"/>
                          </a:solidFill>
                          <a:miter lim="800000"/>
                          <a:headEnd/>
                          <a:tailEnd/>
                        </a:ln>
                      </wps:spPr>
                      <wps:txbx>
                        <w:txbxContent>
                          <w:p w14:paraId="48857795" w14:textId="77777777" w:rsidR="005D01E3" w:rsidRPr="009B7DAF" w:rsidRDefault="005D01E3" w:rsidP="005D01E3">
                            <w:pPr>
                              <w:spacing w:after="0" w:line="240" w:lineRule="auto"/>
                              <w:rPr>
                                <w:color w:val="C00000"/>
                                <w:sz w:val="22"/>
                              </w:rPr>
                            </w:pPr>
                            <w:r w:rsidRPr="009B7DAF">
                              <w:rPr>
                                <w:color w:val="C00000"/>
                                <w:sz w:val="22"/>
                              </w:rPr>
                              <w:t>For discussion – does this have the right elements? Need a similar one for phosphorus. For discussion:</w:t>
                            </w:r>
                          </w:p>
                          <w:p w14:paraId="43496BAA"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Y Axis label: Cumulative frequency?  Percent less than?  </w:t>
                            </w:r>
                          </w:p>
                          <w:p w14:paraId="72B43F1B"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Do we need to plot all the way to the highest load value (~120)? (If we do we might discuss it, as I propose above.)</w:t>
                            </w:r>
                          </w:p>
                          <w:p w14:paraId="07E5F3A9"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I suggest adding markers, in part to give an idea of number of site years in each database; also that would distinguish from Figure 3 in the next section. </w:t>
                            </w:r>
                          </w:p>
                          <w:p w14:paraId="1BC14FD2" w14:textId="77777777" w:rsidR="005D01E3" w:rsidRPr="009B7DAF" w:rsidRDefault="005D01E3" w:rsidP="005D01E3">
                            <w:pPr>
                              <w:rPr>
                                <w:color w:val="C00000"/>
                                <w:sz w:val="22"/>
                              </w:rPr>
                            </w:pPr>
                          </w:p>
                          <w:p w14:paraId="621FF252" w14:textId="77777777" w:rsidR="005D01E3" w:rsidRPr="009B7DAF" w:rsidRDefault="005D01E3">
                            <w:pPr>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555826" id="_x0000_t202" coordsize="21600,21600" o:spt="202" path="m,l,21600r21600,l21600,xe">
                <v:stroke joinstyle="miter"/>
                <v:path gradientshapeok="t" o:connecttype="rect"/>
              </v:shapetype>
              <v:shape id="Text Box 6" o:spid="_x0000_s1026" type="#_x0000_t202" style="position:absolute;margin-left:359.05pt;margin-top:.5pt;width:168.8pt;height:23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">
                <v:textbox>
                  <w:txbxContent>
                    <w:p w14:paraId="48857795" w14:textId="77777777" w:rsidR="005D01E3" w:rsidRPr="009B7DAF" w:rsidRDefault="005D01E3" w:rsidP="005D01E3">
                      <w:pPr>
                        <w:spacing w:after="0" w:line="240" w:lineRule="auto"/>
                        <w:rPr>
                          <w:color w:val="C00000"/>
                          <w:sz w:val="22"/>
                        </w:rPr>
                      </w:pPr>
                      <w:r w:rsidRPr="009B7DAF">
                        <w:rPr>
                          <w:color w:val="C00000"/>
                          <w:sz w:val="22"/>
                        </w:rPr>
                        <w:t>For discussion – does this have the right elements? Need a similar one for phosphorus. For discussion:</w:t>
                      </w:r>
                    </w:p>
                    <w:p w14:paraId="43496BAA"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Y Axis label: Cumulative frequency?  Percent less than?  </w:t>
                      </w:r>
                    </w:p>
                    <w:p w14:paraId="72B43F1B"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Do we need to plot all the way to the highest load value (~120)? (If we do we might discuss it, as I propose above.)</w:t>
                      </w:r>
                    </w:p>
                    <w:p w14:paraId="07E5F3A9"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I suggest adding markers, in part to give an idea of number of site years in each database; also that would distinguish from Figure 3 in the next section. </w:t>
                      </w:r>
                    </w:p>
                    <w:p w14:paraId="1BC14FD2" w14:textId="77777777" w:rsidR="005D01E3" w:rsidRPr="009B7DAF" w:rsidRDefault="005D01E3" w:rsidP="005D01E3">
                      <w:pPr>
                        <w:rPr>
                          <w:color w:val="C00000"/>
                          <w:sz w:val="22"/>
                        </w:rPr>
                      </w:pPr>
                    </w:p>
                    <w:p w14:paraId="621FF252" w14:textId="77777777" w:rsidR="005D01E3" w:rsidRPr="009B7DAF" w:rsidRDefault="005D01E3">
                      <w:pPr>
                        <w:rPr>
                          <w:sz w:val="22"/>
                        </w:rPr>
                      </w:pPr>
                    </w:p>
                  </w:txbxContent>
                </v:textbox>
              </v:shape>
            </w:pict>
          </mc:Fallback>
        </mc:AlternateContent>
      </w:r>
      <w:r w:rsidR="003C4DA1">
        <w:rPr>
          <w:noProof/>
        </w:rPr>
        <w:drawing>
          <wp:inline distT="0" distB="0" distL="0" distR="0" wp14:anchorId="5BAA59F4" wp14:editId="3149C28E">
            <wp:extent cx="4480560" cy="2987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80560" cy="2987041"/>
                    </a:xfrm>
                    <a:prstGeom prst="rect">
                      <a:avLst/>
                    </a:prstGeom>
                  </pic:spPr>
                </pic:pic>
              </a:graphicData>
            </a:graphic>
          </wp:inline>
        </w:drawing>
      </w:r>
    </w:p>
    <w:p w14:paraId="1986DC34" w14:textId="77777777" w:rsidR="00E240B8" w:rsidRDefault="00E240B8" w:rsidP="003C4DA1">
      <w:pPr>
        <w:pStyle w:val="Caption"/>
      </w:pPr>
      <w:r>
        <w:lastRenderedPageBreak/>
        <w:t xml:space="preserve">Figure 1: Cumulative frequency of nitrate-N loads </w:t>
      </w:r>
      <w:r w:rsidR="003B6B99">
        <w:t>for all</w:t>
      </w:r>
      <w:r>
        <w:t xml:space="preserve"> site years, with </w:t>
      </w:r>
      <w:r w:rsidR="003B6B99">
        <w:t xml:space="preserve">three </w:t>
      </w:r>
      <w:r>
        <w:t>sustainability metrics</w:t>
      </w:r>
      <w:r w:rsidR="003B6B99">
        <w:t xml:space="preserve"> </w:t>
      </w:r>
    </w:p>
    <w:p w14:paraId="65BA81F8" w14:textId="77777777" w:rsidR="009B7DAF" w:rsidRPr="009B7DAF" w:rsidRDefault="009B7DAF" w:rsidP="009B7DAF"/>
    <w:p w14:paraId="3F18F816" w14:textId="77777777" w:rsidR="00C463E1" w:rsidRDefault="0056444B" w:rsidP="0056444B">
      <w:r>
        <w:t xml:space="preserve">Just </w:t>
      </w:r>
      <w:r w:rsidR="002B6C5F" w:rsidRPr="002B6C5F">
        <w:rPr>
          <w:highlight w:val="yellow"/>
        </w:rPr>
        <w:t>15</w:t>
      </w:r>
      <w:r>
        <w:t xml:space="preserve">% of site-years in both the CSCAP and MANAGE databases had nitrate-N losses less than the Minnesota </w:t>
      </w:r>
      <w:r w:rsidR="00AE2FB2">
        <w:t xml:space="preserve">sustainability </w:t>
      </w:r>
      <w:r>
        <w:t xml:space="preserve">metric, while </w:t>
      </w:r>
      <w:r w:rsidR="002B6C5F" w:rsidRPr="002B6C5F">
        <w:rPr>
          <w:highlight w:val="yellow"/>
        </w:rPr>
        <w:t>30</w:t>
      </w:r>
      <w:r>
        <w:t xml:space="preserve">% of site-years </w:t>
      </w:r>
      <w:r w:rsidR="00AE2FB2">
        <w:t>we</w:t>
      </w:r>
      <w:r>
        <w:t xml:space="preserve">re </w:t>
      </w:r>
      <w:r w:rsidR="00AE2FB2">
        <w:t xml:space="preserve">less than the Iowa metric. </w:t>
      </w:r>
    </w:p>
    <w:p w14:paraId="3BF23A89" w14:textId="77777777" w:rsidR="00D90E5E" w:rsidRDefault="00D17FA9" w:rsidP="0056444B">
      <w:r>
        <w:t xml:space="preserve">The fact that only </w:t>
      </w:r>
      <w:r w:rsidR="002B6C5F" w:rsidRPr="002B6C5F">
        <w:rPr>
          <w:highlight w:val="yellow"/>
        </w:rPr>
        <w:t>15</w:t>
      </w:r>
      <w:r>
        <w:t xml:space="preserve">% of site years in these two databases did </w:t>
      </w:r>
      <w:r w:rsidRPr="009B7DAF">
        <w:rPr>
          <w:strike/>
          <w:highlight w:val="yellow"/>
        </w:rPr>
        <w:t>not</w:t>
      </w:r>
      <w:r>
        <w:t xml:space="preserve"> meet the sustainability targets does not necessarily </w:t>
      </w:r>
      <w:r w:rsidR="00D90E5E">
        <w:t xml:space="preserve">represent </w:t>
      </w:r>
      <w:r>
        <w:t xml:space="preserve">the percentage of all fields in the region that meet </w:t>
      </w:r>
      <w:r w:rsidR="00D90E5E">
        <w:t>those targets. However the measured sites used normal agricultural practices (</w:t>
      </w:r>
      <w:r w:rsidR="00D90E5E" w:rsidRPr="00D90E5E">
        <w:rPr>
          <w:color w:val="C00000"/>
        </w:rPr>
        <w:t>reference(s) for this?).</w:t>
      </w:r>
      <w:r w:rsidR="00D90E5E">
        <w:t xml:space="preserve"> </w:t>
      </w:r>
      <w:r>
        <w:t xml:space="preserve"> </w:t>
      </w:r>
      <w:r w:rsidR="00D90E5E">
        <w:t xml:space="preserve">There is no reason to assume that this sample is biased high </w:t>
      </w:r>
      <w:bookmarkStart w:id="0" w:name="_GoBack"/>
      <w:bookmarkEnd w:id="0"/>
      <w:r w:rsidR="00D90E5E">
        <w:t xml:space="preserve">or low. </w:t>
      </w:r>
    </w:p>
    <w:p w14:paraId="56BC6BBD" w14:textId="77777777" w:rsidR="00E240B8" w:rsidRDefault="00AE2FB2" w:rsidP="00E240B8">
      <w:r>
        <w:t xml:space="preserve">Weather plays an important role in determining nitrate-N losses in any single year (Figure 2). </w:t>
      </w:r>
      <w:commentRangeStart w:id="1"/>
      <w:r w:rsidR="00D17FA9" w:rsidRPr="003C4DA1">
        <w:rPr>
          <w:highlight w:val="yellow"/>
        </w:rPr>
        <w:t xml:space="preserve">Almost all sites (xx%) would have met the sustainability targets in 2012, when precipitation was low across the entire Corn Belt. However, in 2015, a moderately wet year, only __% would have met the Iowa target and __% would have met the Minnesota target. </w:t>
      </w:r>
      <w:commentRangeEnd w:id="1"/>
      <w:r w:rsidR="00322C1F" w:rsidRPr="003C4DA1">
        <w:rPr>
          <w:rStyle w:val="CommentReference"/>
          <w:highlight w:val="yellow"/>
        </w:rPr>
        <w:commentReference w:id="1"/>
      </w:r>
    </w:p>
    <w:p w14:paraId="157E26ED" w14:textId="77777777" w:rsidR="006A0D8E" w:rsidRDefault="003C4DA1" w:rsidP="003C4DA1">
      <w:r>
        <w:rPr>
          <w:noProof/>
        </w:rPr>
        <w:drawing>
          <wp:inline distT="0" distB="0" distL="0" distR="0" wp14:anchorId="08E5CD1B" wp14:editId="72FA4458">
            <wp:extent cx="4480560" cy="29870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0560" cy="2987041"/>
                    </a:xfrm>
                    <a:prstGeom prst="rect">
                      <a:avLst/>
                    </a:prstGeom>
                  </pic:spPr>
                </pic:pic>
              </a:graphicData>
            </a:graphic>
          </wp:inline>
        </w:drawing>
      </w:r>
    </w:p>
    <w:p w14:paraId="23A80FD7" w14:textId="77777777" w:rsidR="00930F8E" w:rsidRDefault="00D17FA9" w:rsidP="003C4DA1">
      <w:pPr>
        <w:pStyle w:val="Caption"/>
      </w:pPr>
      <w:r>
        <w:t>Figure 2: Distribution of nitrate-N loads in the CSCAP and MANAGE databases by year</w:t>
      </w:r>
      <w:r w:rsidR="003B6B99">
        <w:t xml:space="preserve"> </w:t>
      </w:r>
    </w:p>
    <w:p w14:paraId="0174785C" w14:textId="77777777" w:rsidR="003C4DA1" w:rsidRPr="003C4DA1" w:rsidRDefault="003C4DA1" w:rsidP="003C4DA1"/>
    <w:p w14:paraId="6C3A1F4F" w14:textId="77777777" w:rsidR="00E240B8" w:rsidRDefault="00E240B8" w:rsidP="003B6B99">
      <w:pPr>
        <w:pStyle w:val="Heading2"/>
        <w:rPr>
          <w:rFonts w:eastAsia="Times New Roman"/>
        </w:rPr>
      </w:pPr>
      <w:r>
        <w:rPr>
          <w:rFonts w:eastAsia="Times New Roman"/>
        </w:rPr>
        <w:t xml:space="preserve">Potential for meeting sustainability targets with </w:t>
      </w:r>
      <w:r w:rsidRPr="003B6B99">
        <w:t>changes</w:t>
      </w:r>
      <w:r>
        <w:rPr>
          <w:rFonts w:eastAsia="Times New Roman"/>
        </w:rPr>
        <w:t xml:space="preserve"> in </w:t>
      </w:r>
      <w:r w:rsidR="005D01E3">
        <w:rPr>
          <w:rFonts w:eastAsia="Times New Roman"/>
        </w:rPr>
        <w:t xml:space="preserve">agricultural </w:t>
      </w:r>
      <w:r>
        <w:rPr>
          <w:rFonts w:eastAsia="Times New Roman"/>
        </w:rPr>
        <w:t xml:space="preserve">practices </w:t>
      </w:r>
    </w:p>
    <w:p w14:paraId="0CD01B41" w14:textId="77777777" w:rsidR="00812B23" w:rsidRDefault="003B6B99" w:rsidP="005D01E3">
      <w:r>
        <w:t>A</w:t>
      </w:r>
      <w:r w:rsidR="005D01E3">
        <w:t xml:space="preserve">dequate data </w:t>
      </w:r>
      <w:r>
        <w:t xml:space="preserve">for comparing the distribution were available for only one practice: </w:t>
      </w:r>
      <w:r w:rsidR="005D01E3">
        <w:t xml:space="preserve"> controlled drainage. The cumulative frequency of monitored site years for controlled drainage is to the left of those for free drainage (Figure 3), meaning that loads are lower at all points in the distribution. </w:t>
      </w:r>
    </w:p>
    <w:p w14:paraId="26B24DE1" w14:textId="77777777" w:rsidR="003C4DA1" w:rsidRDefault="003C4DA1" w:rsidP="005D01E3">
      <w:r>
        <w:rPr>
          <w:noProof/>
        </w:rPr>
        <w:lastRenderedPageBreak/>
        <w:drawing>
          <wp:inline distT="0" distB="0" distL="0" distR="0" wp14:anchorId="061CE560" wp14:editId="1D983BAA">
            <wp:extent cx="4480560" cy="28003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80560" cy="2800351"/>
                    </a:xfrm>
                    <a:prstGeom prst="rect">
                      <a:avLst/>
                    </a:prstGeom>
                  </pic:spPr>
                </pic:pic>
              </a:graphicData>
            </a:graphic>
          </wp:inline>
        </w:drawing>
      </w:r>
    </w:p>
    <w:p w14:paraId="21626C3C" w14:textId="77777777" w:rsidR="003B6B99" w:rsidRDefault="003B6B99" w:rsidP="000315C7">
      <w:pPr>
        <w:rPr>
          <w:color w:val="C00000"/>
          <w:sz w:val="20"/>
        </w:rPr>
      </w:pPr>
      <w:r>
        <w:t>Figure 3: Potential reduction</w:t>
      </w:r>
      <w:r w:rsidR="00064042">
        <w:t xml:space="preserve"> in nitrate-N losses with controlled drainage</w:t>
      </w:r>
    </w:p>
    <w:p w14:paraId="57DEF5D0" w14:textId="77777777" w:rsidR="005517BC" w:rsidRPr="006D2BB3" w:rsidRDefault="005517BC" w:rsidP="000315C7">
      <w:pPr>
        <w:rPr>
          <w:color w:val="C00000"/>
          <w:sz w:val="20"/>
        </w:rPr>
      </w:pPr>
      <w:r w:rsidRPr="006D2BB3">
        <w:rPr>
          <w:sz w:val="20"/>
        </w:rPr>
        <w:t xml:space="preserve">Other practices have been evaluated for their potential to reduce nitrate and phosphorus in the nutrient reduction strategies. </w:t>
      </w:r>
      <w:r w:rsidR="006D2BB3">
        <w:rPr>
          <w:sz w:val="20"/>
        </w:rPr>
        <w:t xml:space="preserve">These have generally used studies in locations adjacent to the states where used, and the distribution represents  the site years included in those studies. </w:t>
      </w:r>
      <w:r w:rsidR="006D2BB3" w:rsidRPr="006D2BB3">
        <w:rPr>
          <w:color w:val="C00000"/>
          <w:sz w:val="20"/>
        </w:rPr>
        <w:t>(Do we need to give a reason we can’t plot those like above. Too few site years? Too limited areas?)</w:t>
      </w:r>
    </w:p>
    <w:p w14:paraId="1F89195C" w14:textId="77777777" w:rsidR="009B7DAF" w:rsidRDefault="003B6B99" w:rsidP="000315C7">
      <w:r>
        <w:rPr>
          <w:noProof/>
        </w:rPr>
        <w:lastRenderedPageBreak/>
        <w:drawing>
          <wp:inline distT="0" distB="0" distL="0" distR="0" wp14:anchorId="7435AD8A" wp14:editId="4A4F7D98">
            <wp:extent cx="4322550" cy="4591213"/>
            <wp:effectExtent l="19050" t="0" r="180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4324975" cy="4593788"/>
                    </a:xfrm>
                    <a:prstGeom prst="rect">
                      <a:avLst/>
                    </a:prstGeom>
                    <a:noFill/>
                    <a:ln w="9525">
                      <a:noFill/>
                      <a:miter lim="800000"/>
                      <a:headEnd/>
                      <a:tailEnd/>
                    </a:ln>
                  </pic:spPr>
                </pic:pic>
              </a:graphicData>
            </a:graphic>
          </wp:inline>
        </w:drawing>
      </w:r>
    </w:p>
    <w:p w14:paraId="699EAE5E" w14:textId="77777777" w:rsidR="003B6B99" w:rsidRPr="009B7DAF" w:rsidRDefault="003B6B99" w:rsidP="000315C7">
      <w:r>
        <w:t>Figure 4: Potential reductions from other practices.</w:t>
      </w:r>
      <w:r w:rsidR="005517BC">
        <w:t xml:space="preserve"> </w:t>
      </w:r>
      <w:r w:rsidR="005517BC" w:rsidRPr="006D2BB3">
        <w:rPr>
          <w:color w:val="C00000"/>
        </w:rPr>
        <w:t>[Maybe replot horizontally?</w:t>
      </w:r>
      <w:r w:rsidR="006D2BB3" w:rsidRPr="006D2BB3">
        <w:rPr>
          <w:color w:val="C00000"/>
        </w:rPr>
        <w:t>, or do we need to include all the states?</w:t>
      </w:r>
    </w:p>
    <w:p w14:paraId="07944516" w14:textId="77777777" w:rsidR="005517BC" w:rsidRPr="006D2BB3" w:rsidRDefault="005517BC" w:rsidP="000315C7">
      <w:pPr>
        <w:rPr>
          <w:color w:val="C00000"/>
        </w:rPr>
      </w:pPr>
      <w:r w:rsidRPr="006D2BB3">
        <w:rPr>
          <w:color w:val="C00000"/>
        </w:rPr>
        <w:t>Here is the comparison of all the practice reduction percentages, from Reid Christianson’s comparison</w:t>
      </w:r>
      <w:r w:rsidR="006D2BB3" w:rsidRPr="006D2BB3">
        <w:rPr>
          <w:color w:val="C00000"/>
        </w:rPr>
        <w:t xml:space="preserve"> (</w:t>
      </w:r>
      <w:r w:rsidRPr="006D2BB3">
        <w:rPr>
          <w:color w:val="C00000"/>
        </w:rPr>
        <w:t xml:space="preserve"> </w:t>
      </w:r>
      <w:r w:rsidR="006D2BB3" w:rsidRPr="006D2BB3">
        <w:rPr>
          <w:color w:val="C00000"/>
        </w:rPr>
        <w:t xml:space="preserve">http://owl.cwp.org/mdocs-posts/upper-mississippi-nutrient-loss-reduction-strategies/) Should we somehow graph that? </w:t>
      </w:r>
      <w:r w:rsidR="002A0266" w:rsidRPr="002A0266">
        <w:rPr>
          <w:b/>
          <w:color w:val="C00000"/>
        </w:rPr>
        <w:t>For Discussion</w:t>
      </w:r>
      <w:r w:rsidR="002A0266">
        <w:rPr>
          <w:color w:val="C00000"/>
        </w:rPr>
        <w:t>.</w:t>
      </w:r>
    </w:p>
    <w:p w14:paraId="5E2B16E9" w14:textId="77777777" w:rsidR="005517BC" w:rsidRDefault="005517BC" w:rsidP="000315C7">
      <w:r>
        <w:rPr>
          <w:noProof/>
        </w:rPr>
        <w:lastRenderedPageBreak/>
        <w:drawing>
          <wp:inline distT="0" distB="0" distL="0" distR="0" wp14:anchorId="669210CD" wp14:editId="0C9B677C">
            <wp:extent cx="5943600" cy="7162889"/>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5943600" cy="7162889"/>
                    </a:xfrm>
                    <a:prstGeom prst="rect">
                      <a:avLst/>
                    </a:prstGeom>
                    <a:noFill/>
                    <a:ln w="9525">
                      <a:noFill/>
                      <a:miter lim="800000"/>
                      <a:headEnd/>
                      <a:tailEnd/>
                    </a:ln>
                  </pic:spPr>
                </pic:pic>
              </a:graphicData>
            </a:graphic>
          </wp:inline>
        </w:drawing>
      </w:r>
    </w:p>
    <w:p w14:paraId="361AD225" w14:textId="77777777" w:rsidR="00812B23" w:rsidRPr="00812B23" w:rsidRDefault="003B6B99" w:rsidP="003B6B99">
      <w:pPr>
        <w:pStyle w:val="Heading2"/>
      </w:pPr>
      <w:r>
        <w:t>Limitations</w:t>
      </w:r>
      <w:r w:rsidR="00B436DD">
        <w:t xml:space="preserve"> and Discussion</w:t>
      </w:r>
    </w:p>
    <w:p w14:paraId="3DFCA5B1" w14:textId="77777777" w:rsidR="00B436DD" w:rsidRDefault="003B6B99" w:rsidP="000315C7">
      <w:r>
        <w:t xml:space="preserve">Data included in this section were not collected with the purpose of this comparison, and thus statistically issues are unavoidable. </w:t>
      </w:r>
      <w:r w:rsidR="00B436DD">
        <w:t xml:space="preserve">However these data represent a wider sample of sites than have previously been presented together, and thus the benefits of the comparison were </w:t>
      </w:r>
      <w:r w:rsidR="00B436DD">
        <w:lastRenderedPageBreak/>
        <w:t>considered to override the limitations. Nevertheless, the following limitations should be kept in mind:</w:t>
      </w:r>
    </w:p>
    <w:p w14:paraId="206D3F62" w14:textId="77777777" w:rsidR="00B436DD" w:rsidRDefault="003B6B99" w:rsidP="00B436DD">
      <w:pPr>
        <w:pStyle w:val="ListParagraph"/>
        <w:numPr>
          <w:ilvl w:val="0"/>
          <w:numId w:val="9"/>
        </w:numPr>
      </w:pPr>
      <w:r>
        <w:t xml:space="preserve">The CSCAP sites all collected data from 2011 to 2015. </w:t>
      </w:r>
      <w:r w:rsidR="00B436DD">
        <w:t xml:space="preserve"> Sites in the MANAGE database collected data over a wide variety of years </w:t>
      </w:r>
      <w:r w:rsidR="003C4DA1">
        <w:t>(</w:t>
      </w:r>
      <w:r w:rsidR="003C4DA1" w:rsidRPr="003C4DA1">
        <w:rPr>
          <w:highlight w:val="yellow"/>
        </w:rPr>
        <w:t>from 1969</w:t>
      </w:r>
      <w:r w:rsidR="00B436DD" w:rsidRPr="003C4DA1">
        <w:rPr>
          <w:highlight w:val="yellow"/>
        </w:rPr>
        <w:t xml:space="preserve"> to </w:t>
      </w:r>
      <w:r w:rsidR="003C4DA1" w:rsidRPr="003C4DA1">
        <w:rPr>
          <w:highlight w:val="yellow"/>
        </w:rPr>
        <w:t>2012</w:t>
      </w:r>
      <w:r w:rsidR="00B436DD">
        <w:t xml:space="preserve">) and thus differences include the differences in years. </w:t>
      </w:r>
    </w:p>
    <w:p w14:paraId="1A256267" w14:textId="77777777" w:rsidR="003B6B99" w:rsidRDefault="00B436DD" w:rsidP="00B436DD">
      <w:pPr>
        <w:pStyle w:val="ListParagraph"/>
        <w:numPr>
          <w:ilvl w:val="0"/>
          <w:numId w:val="9"/>
        </w:numPr>
        <w:rPr>
          <w:color w:val="C00000"/>
        </w:rPr>
      </w:pPr>
      <w:r>
        <w:t>The CSCAP sites were part of one project, and an effort was made to collect comparable data (Kladivko et al., 2014). Even so, differences remain in methodology, potentially limiting the quality of comparisons. Sites in the MANAGE database differ even more. (</w:t>
      </w:r>
      <w:r w:rsidRPr="00B436DD">
        <w:rPr>
          <w:color w:val="C00000"/>
        </w:rPr>
        <w:t>Do they have a statement about limitations? Maybe something from paper.)</w:t>
      </w:r>
    </w:p>
    <w:p w14:paraId="273CCE0E" w14:textId="77777777" w:rsidR="00B436DD" w:rsidRPr="00B436DD" w:rsidRDefault="00B436DD" w:rsidP="00B436DD">
      <w:pPr>
        <w:pStyle w:val="ListParagraph"/>
        <w:numPr>
          <w:ilvl w:val="0"/>
          <w:numId w:val="9"/>
        </w:numPr>
        <w:rPr>
          <w:color w:val="C00000"/>
        </w:rPr>
      </w:pPr>
      <w:r w:rsidRPr="00B436DD">
        <w:rPr>
          <w:color w:val="C00000"/>
        </w:rPr>
        <w:t>Any others?</w:t>
      </w:r>
    </w:p>
    <w:p w14:paraId="62B9B13F" w14:textId="77777777" w:rsidR="00812B23" w:rsidRPr="0073091D" w:rsidRDefault="00B436DD" w:rsidP="000315C7">
      <w:r>
        <w:t xml:space="preserve">Data used in this section show that under current conventional management, corn-based systems in drained area are not </w:t>
      </w:r>
      <w:r w:rsidR="00812B23" w:rsidRPr="0073091D">
        <w:t>sustainable</w:t>
      </w:r>
      <w:r>
        <w:t xml:space="preserve"> from a water quality standpoint. </w:t>
      </w:r>
      <w:r w:rsidR="00812B23" w:rsidRPr="0073091D">
        <w:t xml:space="preserve">. If we implement practices </w:t>
      </w:r>
      <w:r w:rsidR="005517BC">
        <w:t>they have the potential to meet sustainability targets, although the level of changes will need to be high</w:t>
      </w:r>
      <w:r w:rsidR="00812B23" w:rsidRPr="0073091D">
        <w:t>.</w:t>
      </w:r>
    </w:p>
    <w:p w14:paraId="08D1A6A4" w14:textId="77777777" w:rsidR="00930F8E" w:rsidRDefault="00B436DD" w:rsidP="000315C7">
      <w:pPr>
        <w:rPr>
          <w:sz w:val="22"/>
        </w:rPr>
      </w:pPr>
      <w:r>
        <w:t xml:space="preserve">An overriding problem in estimating water quality impacts and sustainability is the lack of knowledge of the extent of drainage, which has an extremely high impact on nutrient losses. The </w:t>
      </w:r>
      <w:r w:rsidR="00812B23" w:rsidRPr="0073091D">
        <w:t xml:space="preserve">ARMS corn survey </w:t>
      </w:r>
      <w:r>
        <w:t>in 2016 for the first time</w:t>
      </w:r>
      <w:r w:rsidR="00812B23" w:rsidRPr="0073091D">
        <w:t xml:space="preserve"> asked detailed questions about drainage </w:t>
      </w:r>
      <w:r w:rsidR="00812B23" w:rsidRPr="00B436DD">
        <w:rPr>
          <w:sz w:val="22"/>
        </w:rPr>
        <w:t>including controlled drainage</w:t>
      </w:r>
      <w:r>
        <w:rPr>
          <w:sz w:val="22"/>
        </w:rPr>
        <w:t>, in a well-design</w:t>
      </w:r>
      <w:r w:rsidR="00812B23" w:rsidRPr="00B436DD">
        <w:rPr>
          <w:sz w:val="22"/>
        </w:rPr>
        <w:t xml:space="preserve"> sample. </w:t>
      </w:r>
      <w:r>
        <w:rPr>
          <w:sz w:val="22"/>
        </w:rPr>
        <w:t>These d</w:t>
      </w:r>
      <w:r w:rsidR="00930F8E" w:rsidRPr="00B436DD">
        <w:rPr>
          <w:sz w:val="22"/>
        </w:rPr>
        <w:t>ata will be available in 2018</w:t>
      </w:r>
      <w:r>
        <w:rPr>
          <w:sz w:val="22"/>
        </w:rPr>
        <w:t xml:space="preserve"> and may be able to greatly expand our knowledge about </w:t>
      </w:r>
      <w:r w:rsidR="00930F8E" w:rsidRPr="00B436DD">
        <w:rPr>
          <w:sz w:val="22"/>
        </w:rPr>
        <w:t xml:space="preserve">. </w:t>
      </w:r>
    </w:p>
    <w:p w14:paraId="6DF29281" w14:textId="77777777" w:rsidR="00B436DD" w:rsidRPr="00B436DD" w:rsidRDefault="00B436DD" w:rsidP="00B436DD">
      <w:pPr>
        <w:pStyle w:val="Heading2"/>
        <w:rPr>
          <w:szCs w:val="22"/>
        </w:rPr>
      </w:pPr>
      <w:r>
        <w:t>References</w:t>
      </w:r>
    </w:p>
    <w:p w14:paraId="0DEB5029" w14:textId="77777777" w:rsidR="003B6B99" w:rsidRPr="00B436DD" w:rsidRDefault="003B6B99" w:rsidP="00B436DD">
      <w:pPr>
        <w:rPr>
          <w:sz w:val="22"/>
        </w:rPr>
      </w:pPr>
      <w:r w:rsidRPr="00B436DD">
        <w:rPr>
          <w:sz w:val="22"/>
          <w:shd w:val="clear" w:color="auto" w:fill="FFFFFF"/>
        </w:rPr>
        <w:t>Kladivko, E.J., Helmers, M.J., Abendroth, L.J., Herzmann, D., Lal, R., Castellano, M.J., Mueller, D.S., Sawyer, J.E., Anex, R.P., Arritt, R.W. and Basso, B., 2014. Standardized research protocols enable transdisciplinary research of climate variation impacts in corn production systems.</w:t>
      </w:r>
      <w:r w:rsidRPr="00B436DD">
        <w:rPr>
          <w:rStyle w:val="apple-converted-space"/>
          <w:rFonts w:ascii="Arial" w:hAnsi="Arial" w:cs="Arial"/>
          <w:color w:val="222222"/>
          <w:sz w:val="20"/>
          <w:shd w:val="clear" w:color="auto" w:fill="FFFFFF"/>
        </w:rPr>
        <w:t> </w:t>
      </w:r>
      <w:r w:rsidRPr="00B436DD">
        <w:rPr>
          <w:i/>
          <w:iCs/>
          <w:sz w:val="22"/>
          <w:shd w:val="clear" w:color="auto" w:fill="FFFFFF"/>
        </w:rPr>
        <w:t>Journal of Soil and Water Conservation</w:t>
      </w:r>
      <w:r w:rsidRPr="00B436DD">
        <w:rPr>
          <w:sz w:val="22"/>
          <w:shd w:val="clear" w:color="auto" w:fill="FFFFFF"/>
        </w:rPr>
        <w:t>,</w:t>
      </w:r>
      <w:r w:rsidRPr="00B436DD">
        <w:rPr>
          <w:rStyle w:val="apple-converted-space"/>
          <w:rFonts w:ascii="Arial" w:hAnsi="Arial" w:cs="Arial"/>
          <w:color w:val="222222"/>
          <w:sz w:val="20"/>
          <w:shd w:val="clear" w:color="auto" w:fill="FFFFFF"/>
        </w:rPr>
        <w:t> </w:t>
      </w:r>
      <w:r w:rsidRPr="00B436DD">
        <w:rPr>
          <w:i/>
          <w:iCs/>
          <w:sz w:val="22"/>
          <w:shd w:val="clear" w:color="auto" w:fill="FFFFFF"/>
        </w:rPr>
        <w:t>69</w:t>
      </w:r>
      <w:r w:rsidRPr="00B436DD">
        <w:rPr>
          <w:sz w:val="22"/>
          <w:shd w:val="clear" w:color="auto" w:fill="FFFFFF"/>
        </w:rPr>
        <w:t>(6), pp.532-542.</w:t>
      </w:r>
    </w:p>
    <w:p w14:paraId="176EDA96" w14:textId="77777777" w:rsidR="00DA3639" w:rsidRDefault="00DA3639" w:rsidP="000315C7"/>
    <w:sectPr w:rsidR="00DA3639" w:rsidSect="000315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ighladze, Giorgi [SOC A]" w:date="2017-05-11T16:54:00Z" w:initials="CG">
    <w:p w14:paraId="09A656C5" w14:textId="77777777" w:rsidR="00322C1F" w:rsidRDefault="00322C1F">
      <w:pPr>
        <w:pStyle w:val="CommentText"/>
      </w:pPr>
      <w:r>
        <w:rPr>
          <w:rStyle w:val="CommentReference"/>
        </w:rPr>
        <w:annotationRef/>
      </w:r>
      <w:r>
        <w:t xml:space="preserve">Need to be changed – see new Figure 2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A656C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B782A"/>
    <w:multiLevelType w:val="hybridMultilevel"/>
    <w:tmpl w:val="6BE6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3C5227"/>
    <w:multiLevelType w:val="hybridMultilevel"/>
    <w:tmpl w:val="CE6A4D40"/>
    <w:lvl w:ilvl="0" w:tplc="1466032A">
      <w:numFmt w:val="bullet"/>
      <w:lvlText w:val=""/>
      <w:lvlJc w:val="left"/>
      <w:pPr>
        <w:ind w:left="765" w:hanging="765"/>
      </w:pPr>
      <w:rPr>
        <w:rFonts w:ascii="Symbol" w:eastAsia="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6FB6C5F"/>
    <w:multiLevelType w:val="hybridMultilevel"/>
    <w:tmpl w:val="68AE61AE"/>
    <w:lvl w:ilvl="0" w:tplc="CA046EF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559B9"/>
    <w:multiLevelType w:val="hybridMultilevel"/>
    <w:tmpl w:val="A7D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B5687"/>
    <w:multiLevelType w:val="hybridMultilevel"/>
    <w:tmpl w:val="12E8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D31536"/>
    <w:multiLevelType w:val="hybridMultilevel"/>
    <w:tmpl w:val="DA9AC5B2"/>
    <w:lvl w:ilvl="0" w:tplc="CA046EF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EF16AD6"/>
    <w:multiLevelType w:val="hybridMultilevel"/>
    <w:tmpl w:val="3170F4F4"/>
    <w:lvl w:ilvl="0" w:tplc="63285E1E">
      <w:start w:val="1"/>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6C2363"/>
    <w:multiLevelType w:val="hybridMultilevel"/>
    <w:tmpl w:val="0B34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74C7A"/>
    <w:multiLevelType w:val="hybridMultilevel"/>
    <w:tmpl w:val="AC223AB6"/>
    <w:lvl w:ilvl="0" w:tplc="1466032A">
      <w:numFmt w:val="bullet"/>
      <w:lvlText w:val=""/>
      <w:lvlJc w:val="left"/>
      <w:pPr>
        <w:ind w:left="1125" w:hanging="765"/>
      </w:pPr>
      <w:rPr>
        <w:rFonts w:ascii="Symbol" w:eastAsia="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4"/>
  </w:num>
  <w:num w:numId="6">
    <w:abstractNumId w:val="1"/>
  </w:num>
  <w:num w:numId="7">
    <w:abstractNumId w:val="6"/>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ghladze, Giorgi [SOC A]">
    <w15:presenceInfo w15:providerId="AD" w15:userId="S-1-5-21-1659004503-1450960922-1606980848-70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23"/>
    <w:rsid w:val="000315C7"/>
    <w:rsid w:val="00064042"/>
    <w:rsid w:val="0019533F"/>
    <w:rsid w:val="002A0266"/>
    <w:rsid w:val="002B6C5F"/>
    <w:rsid w:val="00301E2C"/>
    <w:rsid w:val="00311556"/>
    <w:rsid w:val="00322C1F"/>
    <w:rsid w:val="003405AE"/>
    <w:rsid w:val="003B6B99"/>
    <w:rsid w:val="003C4DA1"/>
    <w:rsid w:val="004462BD"/>
    <w:rsid w:val="004F338E"/>
    <w:rsid w:val="00502B8E"/>
    <w:rsid w:val="005517BC"/>
    <w:rsid w:val="0056444B"/>
    <w:rsid w:val="005705AE"/>
    <w:rsid w:val="005C38DD"/>
    <w:rsid w:val="005D01E3"/>
    <w:rsid w:val="005F4CC1"/>
    <w:rsid w:val="006503AD"/>
    <w:rsid w:val="006A0D8E"/>
    <w:rsid w:val="006C64FB"/>
    <w:rsid w:val="006D2BB3"/>
    <w:rsid w:val="0073091D"/>
    <w:rsid w:val="00762FD7"/>
    <w:rsid w:val="00812B23"/>
    <w:rsid w:val="00833A40"/>
    <w:rsid w:val="00930F8E"/>
    <w:rsid w:val="009B7DAF"/>
    <w:rsid w:val="009E3A4F"/>
    <w:rsid w:val="009F5C95"/>
    <w:rsid w:val="00A66DAE"/>
    <w:rsid w:val="00A70207"/>
    <w:rsid w:val="00AE2FB2"/>
    <w:rsid w:val="00B17F7D"/>
    <w:rsid w:val="00B4210B"/>
    <w:rsid w:val="00B436DD"/>
    <w:rsid w:val="00C463E1"/>
    <w:rsid w:val="00D14380"/>
    <w:rsid w:val="00D17FA9"/>
    <w:rsid w:val="00D90E5E"/>
    <w:rsid w:val="00DA3639"/>
    <w:rsid w:val="00DB5184"/>
    <w:rsid w:val="00DE7F51"/>
    <w:rsid w:val="00E240B8"/>
    <w:rsid w:val="00F4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93469"/>
  <w15:docId w15:val="{A034C4D5-6E29-4857-8BE4-428050A2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5C7"/>
    <w:rPr>
      <w:sz w:val="24"/>
    </w:rPr>
  </w:style>
  <w:style w:type="paragraph" w:styleId="Heading1">
    <w:name w:val="heading 1"/>
    <w:basedOn w:val="Normal"/>
    <w:link w:val="Heading1Char"/>
    <w:uiPriority w:val="9"/>
    <w:qFormat/>
    <w:rsid w:val="006A0D8E"/>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3B6B99"/>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8E"/>
    <w:rPr>
      <w:rFonts w:ascii="Times New Roman" w:eastAsia="Times New Roman" w:hAnsi="Times New Roman" w:cs="Times New Roman"/>
      <w:b/>
      <w:bCs/>
      <w:kern w:val="36"/>
      <w:sz w:val="28"/>
      <w:szCs w:val="48"/>
    </w:rPr>
  </w:style>
  <w:style w:type="paragraph" w:styleId="Title">
    <w:name w:val="Title"/>
    <w:basedOn w:val="Normal"/>
    <w:link w:val="TitleChar"/>
    <w:uiPriority w:val="10"/>
    <w:qFormat/>
    <w:rsid w:val="006A0D8E"/>
    <w:pPr>
      <w:spacing w:before="100" w:beforeAutospacing="1" w:after="100" w:afterAutospacing="1" w:line="240" w:lineRule="auto"/>
    </w:pPr>
    <w:rPr>
      <w:rFonts w:asciiTheme="minorBidi" w:eastAsia="Times New Roman" w:hAnsiTheme="minorBidi" w:cs="Times New Roman"/>
      <w:b/>
      <w:szCs w:val="24"/>
    </w:rPr>
  </w:style>
  <w:style w:type="character" w:customStyle="1" w:styleId="TitleChar">
    <w:name w:val="Title Char"/>
    <w:basedOn w:val="DefaultParagraphFont"/>
    <w:link w:val="Title"/>
    <w:uiPriority w:val="10"/>
    <w:rsid w:val="006A0D8E"/>
    <w:rPr>
      <w:rFonts w:asciiTheme="minorBidi" w:eastAsia="Times New Roman" w:hAnsiTheme="minorBidi" w:cs="Times New Roman"/>
      <w:b/>
      <w:sz w:val="24"/>
      <w:szCs w:val="24"/>
    </w:rPr>
  </w:style>
  <w:style w:type="paragraph" w:styleId="ListParagraph">
    <w:name w:val="List Paragraph"/>
    <w:basedOn w:val="Normal"/>
    <w:uiPriority w:val="34"/>
    <w:qFormat/>
    <w:rsid w:val="00B436DD"/>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3B6B99"/>
    <w:rPr>
      <w:rFonts w:eastAsiaTheme="majorEastAsia" w:cstheme="majorBidi"/>
      <w:b/>
      <w:color w:val="000000" w:themeColor="text1"/>
      <w:sz w:val="26"/>
      <w:szCs w:val="26"/>
    </w:rPr>
  </w:style>
  <w:style w:type="paragraph" w:styleId="BalloonText">
    <w:name w:val="Balloon Text"/>
    <w:basedOn w:val="Normal"/>
    <w:link w:val="BalloonTextChar"/>
    <w:uiPriority w:val="99"/>
    <w:semiHidden/>
    <w:unhideWhenUsed/>
    <w:rsid w:val="00564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4B"/>
    <w:rPr>
      <w:rFonts w:ascii="Tahoma" w:hAnsi="Tahoma" w:cs="Tahoma"/>
      <w:sz w:val="16"/>
      <w:szCs w:val="16"/>
    </w:rPr>
  </w:style>
  <w:style w:type="paragraph" w:styleId="Caption">
    <w:name w:val="caption"/>
    <w:basedOn w:val="Normal"/>
    <w:next w:val="Normal"/>
    <w:uiPriority w:val="35"/>
    <w:unhideWhenUsed/>
    <w:qFormat/>
    <w:rsid w:val="004462BD"/>
    <w:pPr>
      <w:spacing w:after="200" w:line="240" w:lineRule="auto"/>
      <w:jc w:val="center"/>
    </w:pPr>
    <w:rPr>
      <w:b/>
      <w:bCs/>
      <w:sz w:val="22"/>
      <w:szCs w:val="18"/>
    </w:rPr>
  </w:style>
  <w:style w:type="table" w:styleId="TableGrid">
    <w:name w:val="Table Grid"/>
    <w:basedOn w:val="TableNormal"/>
    <w:uiPriority w:val="39"/>
    <w:rsid w:val="00502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6B99"/>
  </w:style>
  <w:style w:type="character" w:styleId="CommentReference">
    <w:name w:val="annotation reference"/>
    <w:basedOn w:val="DefaultParagraphFont"/>
    <w:uiPriority w:val="99"/>
    <w:semiHidden/>
    <w:unhideWhenUsed/>
    <w:rsid w:val="00322C1F"/>
    <w:rPr>
      <w:sz w:val="16"/>
      <w:szCs w:val="16"/>
    </w:rPr>
  </w:style>
  <w:style w:type="paragraph" w:styleId="CommentText">
    <w:name w:val="annotation text"/>
    <w:basedOn w:val="Normal"/>
    <w:link w:val="CommentTextChar"/>
    <w:uiPriority w:val="99"/>
    <w:semiHidden/>
    <w:unhideWhenUsed/>
    <w:rsid w:val="00322C1F"/>
    <w:pPr>
      <w:spacing w:line="240" w:lineRule="auto"/>
    </w:pPr>
    <w:rPr>
      <w:sz w:val="20"/>
      <w:szCs w:val="20"/>
    </w:rPr>
  </w:style>
  <w:style w:type="character" w:customStyle="1" w:styleId="CommentTextChar">
    <w:name w:val="Comment Text Char"/>
    <w:basedOn w:val="DefaultParagraphFont"/>
    <w:link w:val="CommentText"/>
    <w:uiPriority w:val="99"/>
    <w:semiHidden/>
    <w:rsid w:val="00322C1F"/>
    <w:rPr>
      <w:sz w:val="20"/>
      <w:szCs w:val="20"/>
    </w:rPr>
  </w:style>
  <w:style w:type="paragraph" w:styleId="CommentSubject">
    <w:name w:val="annotation subject"/>
    <w:basedOn w:val="CommentText"/>
    <w:next w:val="CommentText"/>
    <w:link w:val="CommentSubjectChar"/>
    <w:uiPriority w:val="99"/>
    <w:semiHidden/>
    <w:unhideWhenUsed/>
    <w:rsid w:val="00322C1F"/>
    <w:rPr>
      <w:b/>
      <w:bCs/>
    </w:rPr>
  </w:style>
  <w:style w:type="character" w:customStyle="1" w:styleId="CommentSubjectChar">
    <w:name w:val="Comment Subject Char"/>
    <w:basedOn w:val="CommentTextChar"/>
    <w:link w:val="CommentSubject"/>
    <w:uiPriority w:val="99"/>
    <w:semiHidden/>
    <w:rsid w:val="00322C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8645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Frankenberger, Jane R</dc:creator>
  <cp:lastModifiedBy>Chighladze, Giorgi</cp:lastModifiedBy>
  <cp:revision>2</cp:revision>
  <dcterms:created xsi:type="dcterms:W3CDTF">2017-05-11T22:22:00Z</dcterms:created>
  <dcterms:modified xsi:type="dcterms:W3CDTF">2017-05-11T22:22:00Z</dcterms:modified>
</cp:coreProperties>
</file>