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355" w:rsidRPr="000F017E" w:rsidRDefault="00606355" w:rsidP="00606355">
      <w:pPr>
        <w:pStyle w:val="NormalWeb"/>
        <w:rPr>
          <w:i/>
        </w:rPr>
      </w:pPr>
      <w:r w:rsidRPr="000F017E">
        <w:rPr>
          <w:i/>
        </w:rPr>
        <w:t>2. Can you check if there is any information on what causes 11 site years to be so high, and write a short explanation in the sentence? (Or at least explain, are they all from one site, or one year, or one study? It just seems very high.)</w:t>
      </w:r>
    </w:p>
    <w:p w:rsidR="00AB2EDE" w:rsidRDefault="00606355" w:rsidP="00606355">
      <w:pPr>
        <w:spacing w:before="100" w:beforeAutospacing="1" w:after="100" w:afterAutospacing="1"/>
      </w:pPr>
      <w:r>
        <w:t xml:space="preserve">There are </w:t>
      </w:r>
      <w:r>
        <w:rPr>
          <w:highlight w:val="yellow"/>
        </w:rPr>
        <w:t>11</w:t>
      </w:r>
      <w:r>
        <w:t xml:space="preserve"> site years </w:t>
      </w:r>
      <w:r w:rsidR="00E31051">
        <w:t xml:space="preserve">with NO3-N loads </w:t>
      </w:r>
      <w:r>
        <w:t>greater than 60 kg/ha in the MANAGE database</w:t>
      </w:r>
      <w:r w:rsidR="00E31051">
        <w:t xml:space="preserve">. </w:t>
      </w:r>
      <w:r w:rsidR="00AB2EDE">
        <w:t>8</w:t>
      </w:r>
      <w:r w:rsidR="00E31051">
        <w:t xml:space="preserve"> of them were originated from the studies in northern and southern parts of IA and MN, respectively, while </w:t>
      </w:r>
      <w:r w:rsidR="00AB2EDE">
        <w:t>6</w:t>
      </w:r>
      <w:r w:rsidR="00E31051">
        <w:t xml:space="preserve"> of them </w:t>
      </w:r>
      <w:r w:rsidR="00AB2EDE">
        <w:t>occurred</w:t>
      </w:r>
      <w:r w:rsidR="00E31051">
        <w:t xml:space="preserve"> within the same two years (1990 and 1991). </w:t>
      </w:r>
    </w:p>
    <w:p w:rsidR="002A29D9" w:rsidRDefault="002A29D9" w:rsidP="00606355">
      <w:pPr>
        <w:spacing w:before="100" w:beforeAutospacing="1" w:after="100" w:afterAutospacing="1"/>
      </w:pPr>
      <w:r>
        <w:t xml:space="preserve">High N loads in all these case were </w:t>
      </w:r>
      <w:r w:rsidR="00AB2EDE">
        <w:t xml:space="preserve">largely </w:t>
      </w:r>
      <w:r>
        <w:t>attributed to</w:t>
      </w:r>
      <w:r w:rsidR="00F56AC2">
        <w:t xml:space="preserve"> unusual</w:t>
      </w:r>
      <w:r>
        <w:t xml:space="preserve"> </w:t>
      </w:r>
      <w:r w:rsidR="00F56AC2">
        <w:t xml:space="preserve">seasonal or annual precipitation </w:t>
      </w:r>
      <w:r w:rsidR="00E31051">
        <w:t>patterns</w:t>
      </w:r>
      <w:r w:rsidR="00AB2EDE">
        <w:t>;</w:t>
      </w:r>
      <w:r w:rsidR="00E31051">
        <w:t xml:space="preserve"> in particular </w:t>
      </w:r>
      <w:r w:rsidR="00AB2EDE">
        <w:t xml:space="preserve">(a) </w:t>
      </w:r>
      <w:r w:rsidR="00E31051">
        <w:t>wet years following the dry period</w:t>
      </w:r>
      <w:r w:rsidR="00AB2EDE">
        <w:t xml:space="preserve"> with virtually no or very little tile flow,</w:t>
      </w:r>
      <w:r w:rsidR="00E31051">
        <w:t xml:space="preserve"> or </w:t>
      </w:r>
      <w:r w:rsidR="00AB2EDE">
        <w:t xml:space="preserve">(b) </w:t>
      </w:r>
      <w:r w:rsidR="00E31051">
        <w:t xml:space="preserve">very wet spring conditions causing up to 80% of the NO3-N losses occurring by early June. </w:t>
      </w:r>
    </w:p>
    <w:tbl>
      <w:tblPr>
        <w:tblW w:w="9806" w:type="dxa"/>
        <w:tblLayout w:type="fixed"/>
        <w:tblLook w:val="04A0" w:firstRow="1" w:lastRow="0" w:firstColumn="1" w:lastColumn="0" w:noHBand="0" w:noVBand="1"/>
      </w:tblPr>
      <w:tblGrid>
        <w:gridCol w:w="565"/>
        <w:gridCol w:w="515"/>
        <w:gridCol w:w="630"/>
        <w:gridCol w:w="996"/>
        <w:gridCol w:w="2233"/>
        <w:gridCol w:w="563"/>
        <w:gridCol w:w="3188"/>
        <w:gridCol w:w="1116"/>
      </w:tblGrid>
      <w:tr w:rsidR="004F1FEF" w:rsidRPr="00AB2EDE" w:rsidTr="004F1FEF">
        <w:trPr>
          <w:trHeight w:val="375"/>
        </w:trPr>
        <w:tc>
          <w:tcPr>
            <w:tcW w:w="565" w:type="dxa"/>
            <w:tcBorders>
              <w:top w:val="nil"/>
              <w:left w:val="nil"/>
              <w:bottom w:val="nil"/>
              <w:right w:val="nil"/>
            </w:tcBorders>
            <w:shd w:val="clear" w:color="000000" w:fill="FFFF00"/>
            <w:hideMark/>
          </w:tcPr>
          <w:p w:rsidR="004F1FEF" w:rsidRPr="00AB2EDE" w:rsidRDefault="004F1FEF" w:rsidP="004F1FEF">
            <w:pPr>
              <w:rPr>
                <w:rFonts w:asciiTheme="minorHAnsi" w:eastAsia="Times New Roman" w:hAnsiTheme="minorHAnsi"/>
                <w:b/>
                <w:bCs/>
                <w:sz w:val="16"/>
                <w:szCs w:val="16"/>
              </w:rPr>
            </w:pPr>
            <w:r w:rsidRPr="00AB2EDE">
              <w:rPr>
                <w:rFonts w:asciiTheme="minorHAnsi" w:eastAsia="Times New Roman" w:hAnsiTheme="minorHAnsi"/>
                <w:b/>
                <w:bCs/>
                <w:sz w:val="16"/>
                <w:szCs w:val="16"/>
              </w:rPr>
              <w:t>YEAR</w:t>
            </w:r>
          </w:p>
        </w:tc>
        <w:tc>
          <w:tcPr>
            <w:tcW w:w="515" w:type="dxa"/>
            <w:tcBorders>
              <w:top w:val="nil"/>
              <w:left w:val="nil"/>
              <w:bottom w:val="nil"/>
              <w:right w:val="nil"/>
            </w:tcBorders>
            <w:shd w:val="clear" w:color="000000" w:fill="FFFF00"/>
          </w:tcPr>
          <w:p w:rsidR="004F1FEF" w:rsidRPr="004F1FEF" w:rsidRDefault="004F1FEF" w:rsidP="004F1FEF">
            <w:pPr>
              <w:rPr>
                <w:rFonts w:asciiTheme="minorHAnsi" w:eastAsia="Times New Roman" w:hAnsiTheme="minorHAnsi"/>
                <w:b/>
                <w:bCs/>
                <w:sz w:val="16"/>
                <w:szCs w:val="16"/>
              </w:rPr>
            </w:pPr>
            <w:r w:rsidRPr="004F1FEF">
              <w:rPr>
                <w:rFonts w:asciiTheme="minorHAnsi" w:eastAsia="Times New Roman" w:hAnsiTheme="minorHAnsi"/>
                <w:b/>
                <w:bCs/>
                <w:sz w:val="16"/>
                <w:szCs w:val="16"/>
              </w:rPr>
              <w:t>SITE</w:t>
            </w:r>
          </w:p>
        </w:tc>
        <w:tc>
          <w:tcPr>
            <w:tcW w:w="630" w:type="dxa"/>
            <w:tcBorders>
              <w:top w:val="nil"/>
              <w:left w:val="nil"/>
              <w:bottom w:val="nil"/>
              <w:right w:val="nil"/>
            </w:tcBorders>
            <w:shd w:val="clear" w:color="000000" w:fill="FFFF00"/>
            <w:hideMark/>
          </w:tcPr>
          <w:p w:rsidR="004F1FEF" w:rsidRPr="00AB2EDE" w:rsidRDefault="004F1FEF" w:rsidP="004F1FEF">
            <w:pPr>
              <w:rPr>
                <w:rFonts w:asciiTheme="minorHAnsi" w:eastAsia="Times New Roman" w:hAnsiTheme="minorHAnsi"/>
                <w:b/>
                <w:bCs/>
                <w:sz w:val="16"/>
                <w:szCs w:val="16"/>
              </w:rPr>
            </w:pPr>
            <w:r w:rsidRPr="00AB2EDE">
              <w:rPr>
                <w:rFonts w:asciiTheme="minorHAnsi" w:eastAsia="Times New Roman" w:hAnsiTheme="minorHAnsi"/>
                <w:b/>
                <w:bCs/>
                <w:sz w:val="16"/>
                <w:szCs w:val="16"/>
              </w:rPr>
              <w:t>LOAD</w:t>
            </w:r>
          </w:p>
        </w:tc>
        <w:tc>
          <w:tcPr>
            <w:tcW w:w="996" w:type="dxa"/>
            <w:tcBorders>
              <w:top w:val="nil"/>
              <w:left w:val="nil"/>
              <w:bottom w:val="nil"/>
              <w:right w:val="nil"/>
            </w:tcBorders>
            <w:shd w:val="clear" w:color="000000" w:fill="FFFF00"/>
            <w:noWrap/>
            <w:hideMark/>
          </w:tcPr>
          <w:p w:rsidR="004F1FEF" w:rsidRPr="00AB2EDE" w:rsidRDefault="004F1FEF" w:rsidP="004F1FEF">
            <w:pPr>
              <w:rPr>
                <w:rFonts w:asciiTheme="minorHAnsi" w:eastAsia="Times New Roman" w:hAnsiTheme="minorHAnsi"/>
                <w:b/>
                <w:sz w:val="16"/>
                <w:szCs w:val="16"/>
              </w:rPr>
            </w:pPr>
            <w:r w:rsidRPr="00AB2EDE">
              <w:rPr>
                <w:rFonts w:asciiTheme="minorHAnsi" w:eastAsia="Times New Roman" w:hAnsiTheme="minorHAnsi"/>
                <w:b/>
                <w:sz w:val="16"/>
                <w:szCs w:val="16"/>
              </w:rPr>
              <w:t>Researcher</w:t>
            </w:r>
          </w:p>
        </w:tc>
        <w:tc>
          <w:tcPr>
            <w:tcW w:w="2233" w:type="dxa"/>
            <w:tcBorders>
              <w:top w:val="nil"/>
              <w:left w:val="nil"/>
              <w:bottom w:val="nil"/>
              <w:right w:val="nil"/>
            </w:tcBorders>
            <w:shd w:val="clear" w:color="000000" w:fill="FFFF00"/>
            <w:noWrap/>
            <w:hideMark/>
          </w:tcPr>
          <w:p w:rsidR="004F1FEF" w:rsidRPr="00AB2EDE" w:rsidRDefault="004F1FEF" w:rsidP="004F1FEF">
            <w:pPr>
              <w:rPr>
                <w:rFonts w:asciiTheme="minorHAnsi" w:eastAsia="Times New Roman" w:hAnsiTheme="minorHAnsi"/>
                <w:b/>
                <w:sz w:val="16"/>
                <w:szCs w:val="16"/>
              </w:rPr>
            </w:pPr>
            <w:r w:rsidRPr="00AB2EDE">
              <w:rPr>
                <w:rFonts w:asciiTheme="minorHAnsi" w:eastAsia="Times New Roman" w:hAnsiTheme="minorHAnsi"/>
                <w:b/>
                <w:sz w:val="16"/>
                <w:szCs w:val="16"/>
              </w:rPr>
              <w:t> </w:t>
            </w:r>
            <w:r>
              <w:rPr>
                <w:rFonts w:asciiTheme="minorHAnsi" w:eastAsia="Times New Roman" w:hAnsiTheme="minorHAnsi"/>
                <w:b/>
                <w:sz w:val="16"/>
                <w:szCs w:val="16"/>
              </w:rPr>
              <w:t>Publication Name</w:t>
            </w:r>
          </w:p>
        </w:tc>
        <w:tc>
          <w:tcPr>
            <w:tcW w:w="563" w:type="dxa"/>
            <w:tcBorders>
              <w:top w:val="nil"/>
              <w:left w:val="nil"/>
              <w:bottom w:val="nil"/>
              <w:right w:val="nil"/>
            </w:tcBorders>
            <w:shd w:val="clear" w:color="000000" w:fill="FFFF00"/>
            <w:noWrap/>
            <w:hideMark/>
          </w:tcPr>
          <w:p w:rsidR="004F1FEF" w:rsidRPr="00AB2EDE" w:rsidRDefault="004F1FEF" w:rsidP="004F1FEF">
            <w:pPr>
              <w:rPr>
                <w:rFonts w:asciiTheme="minorHAnsi" w:eastAsia="Times New Roman" w:hAnsiTheme="minorHAnsi"/>
                <w:b/>
                <w:sz w:val="16"/>
                <w:szCs w:val="16"/>
              </w:rPr>
            </w:pPr>
            <w:r w:rsidRPr="00AB2EDE">
              <w:rPr>
                <w:rFonts w:asciiTheme="minorHAnsi" w:eastAsia="Times New Roman" w:hAnsiTheme="minorHAnsi"/>
                <w:b/>
                <w:sz w:val="16"/>
                <w:szCs w:val="16"/>
              </w:rPr>
              <w:t>State</w:t>
            </w:r>
          </w:p>
        </w:tc>
        <w:tc>
          <w:tcPr>
            <w:tcW w:w="3188" w:type="dxa"/>
            <w:tcBorders>
              <w:top w:val="nil"/>
              <w:left w:val="nil"/>
              <w:bottom w:val="nil"/>
              <w:right w:val="nil"/>
            </w:tcBorders>
            <w:shd w:val="clear" w:color="000000" w:fill="FFFF00"/>
            <w:hideMark/>
          </w:tcPr>
          <w:p w:rsidR="004F1FEF" w:rsidRPr="00AB2EDE" w:rsidRDefault="004F1FEF" w:rsidP="004F1FEF">
            <w:pPr>
              <w:rPr>
                <w:rFonts w:asciiTheme="minorHAnsi" w:eastAsia="Times New Roman" w:hAnsiTheme="minorHAnsi"/>
                <w:b/>
                <w:sz w:val="16"/>
                <w:szCs w:val="16"/>
              </w:rPr>
            </w:pPr>
            <w:r>
              <w:rPr>
                <w:rFonts w:asciiTheme="minorHAnsi" w:eastAsia="Times New Roman" w:hAnsiTheme="minorHAnsi"/>
                <w:b/>
                <w:sz w:val="16"/>
                <w:szCs w:val="16"/>
              </w:rPr>
              <w:t>Extract from The Publication</w:t>
            </w:r>
          </w:p>
        </w:tc>
        <w:tc>
          <w:tcPr>
            <w:tcW w:w="1116" w:type="dxa"/>
            <w:tcBorders>
              <w:top w:val="nil"/>
              <w:left w:val="nil"/>
              <w:bottom w:val="nil"/>
              <w:right w:val="nil"/>
            </w:tcBorders>
            <w:shd w:val="clear" w:color="000000" w:fill="FFFF00"/>
            <w:noWrap/>
            <w:hideMark/>
          </w:tcPr>
          <w:p w:rsidR="004F1FEF" w:rsidRPr="00AB2EDE" w:rsidRDefault="004F1FEF" w:rsidP="004F1FEF">
            <w:pPr>
              <w:rPr>
                <w:rFonts w:asciiTheme="minorHAnsi" w:eastAsia="Times New Roman" w:hAnsiTheme="minorHAnsi"/>
                <w:b/>
                <w:sz w:val="16"/>
                <w:szCs w:val="16"/>
              </w:rPr>
            </w:pPr>
            <w:r w:rsidRPr="00AB2EDE">
              <w:rPr>
                <w:rFonts w:asciiTheme="minorHAnsi" w:eastAsia="Times New Roman" w:hAnsiTheme="minorHAnsi"/>
                <w:b/>
                <w:sz w:val="16"/>
                <w:szCs w:val="16"/>
              </w:rPr>
              <w:t> </w:t>
            </w:r>
          </w:p>
        </w:tc>
      </w:tr>
      <w:tr w:rsidR="004F1FEF" w:rsidRPr="00AB2EDE" w:rsidTr="004F1FEF">
        <w:trPr>
          <w:trHeight w:val="6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1989</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120</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72.5</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Kladivko</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Nitrate leaching to subsurface drains as affected by drain spacing and changes in crop production system</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IN</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5D77C6">
              <w:rPr>
                <w:rFonts w:asciiTheme="minorHAnsi" w:eastAsia="Times New Roman" w:hAnsiTheme="minorHAnsi"/>
                <w:sz w:val="16"/>
                <w:szCs w:val="16"/>
              </w:rPr>
              <w:t>Loads</w:t>
            </w:r>
            <w:r w:rsidRPr="00AB2EDE">
              <w:rPr>
                <w:rFonts w:asciiTheme="minorHAnsi" w:eastAsia="Times New Roman" w:hAnsiTheme="minorHAnsi"/>
                <w:sz w:val="16"/>
                <w:szCs w:val="16"/>
              </w:rPr>
              <w:t xml:space="preserve"> were particularly </w:t>
            </w:r>
            <w:r w:rsidRPr="005D77C6">
              <w:rPr>
                <w:rFonts w:asciiTheme="minorHAnsi" w:eastAsia="Times New Roman" w:hAnsiTheme="minorHAnsi"/>
                <w:sz w:val="16"/>
                <w:szCs w:val="16"/>
              </w:rPr>
              <w:t>high</w:t>
            </w:r>
            <w:r w:rsidRPr="00AB2EDE">
              <w:rPr>
                <w:rFonts w:asciiTheme="minorHAnsi" w:eastAsia="Times New Roman" w:hAnsiTheme="minorHAnsi"/>
                <w:sz w:val="16"/>
                <w:szCs w:val="16"/>
              </w:rPr>
              <w:t xml:space="preserve"> in 1989 after the low corn yield in the 1988 drought year. The higher residual nitrate that was probably remaining in the soil </w:t>
            </w:r>
            <w:r w:rsidRPr="005D77C6">
              <w:rPr>
                <w:rFonts w:asciiTheme="minorHAnsi" w:eastAsia="Times New Roman" w:hAnsiTheme="minorHAnsi"/>
                <w:sz w:val="16"/>
                <w:szCs w:val="16"/>
              </w:rPr>
              <w:t>profile</w:t>
            </w:r>
            <w:r w:rsidRPr="00AB2EDE">
              <w:rPr>
                <w:rFonts w:asciiTheme="minorHAnsi" w:eastAsia="Times New Roman" w:hAnsiTheme="minorHAnsi"/>
                <w:sz w:val="16"/>
                <w:szCs w:val="16"/>
              </w:rPr>
              <w:t xml:space="preserve"> in </w:t>
            </w:r>
            <w:r w:rsidRPr="005D77C6">
              <w:rPr>
                <w:rFonts w:asciiTheme="minorHAnsi" w:eastAsia="Times New Roman" w:hAnsiTheme="minorHAnsi"/>
                <w:sz w:val="16"/>
                <w:szCs w:val="16"/>
              </w:rPr>
              <w:t>autumn</w:t>
            </w:r>
            <w:r w:rsidRPr="00AB2EDE">
              <w:rPr>
                <w:rFonts w:asciiTheme="minorHAnsi" w:eastAsia="Times New Roman" w:hAnsiTheme="minorHAnsi"/>
                <w:sz w:val="16"/>
                <w:szCs w:val="16"/>
              </w:rPr>
              <w:t xml:space="preserve"> 1988, coupled with the high </w:t>
            </w:r>
            <w:r w:rsidRPr="005D77C6">
              <w:rPr>
                <w:rFonts w:asciiTheme="minorHAnsi" w:eastAsia="Times New Roman" w:hAnsiTheme="minorHAnsi"/>
                <w:sz w:val="16"/>
                <w:szCs w:val="16"/>
              </w:rPr>
              <w:t>drain flow</w:t>
            </w:r>
            <w:r w:rsidRPr="00AB2EDE">
              <w:rPr>
                <w:rFonts w:asciiTheme="minorHAnsi" w:eastAsia="Times New Roman" w:hAnsiTheme="minorHAnsi"/>
                <w:sz w:val="16"/>
                <w:szCs w:val="16"/>
              </w:rPr>
              <w:t xml:space="preserve"> </w:t>
            </w:r>
            <w:r w:rsidRPr="005D77C6">
              <w:rPr>
                <w:rFonts w:asciiTheme="minorHAnsi" w:eastAsia="Times New Roman" w:hAnsiTheme="minorHAnsi"/>
                <w:sz w:val="16"/>
                <w:szCs w:val="16"/>
              </w:rPr>
              <w:t>volumes</w:t>
            </w:r>
            <w:r w:rsidRPr="00AB2EDE">
              <w:rPr>
                <w:rFonts w:asciiTheme="minorHAnsi" w:eastAsia="Times New Roman" w:hAnsiTheme="minorHAnsi"/>
                <w:sz w:val="16"/>
                <w:szCs w:val="16"/>
              </w:rPr>
              <w:t xml:space="preserve"> in 1989, </w:t>
            </w:r>
            <w:r w:rsidRPr="005D77C6">
              <w:rPr>
                <w:rFonts w:asciiTheme="minorHAnsi" w:eastAsia="Times New Roman" w:hAnsiTheme="minorHAnsi"/>
                <w:sz w:val="16"/>
                <w:szCs w:val="16"/>
              </w:rPr>
              <w:t>led</w:t>
            </w:r>
            <w:r w:rsidRPr="00AB2EDE">
              <w:rPr>
                <w:rFonts w:asciiTheme="minorHAnsi" w:eastAsia="Times New Roman" w:hAnsiTheme="minorHAnsi"/>
                <w:sz w:val="16"/>
                <w:szCs w:val="16"/>
              </w:rPr>
              <w:t xml:space="preserve"> to the highest nitrate N loads of the 15-yr study.</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p>
        </w:tc>
      </w:tr>
      <w:tr w:rsidR="004F1FEF" w:rsidRPr="00AB2EDE" w:rsidTr="004F1FEF">
        <w:trPr>
          <w:trHeight w:val="375"/>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1990</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129</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60.5</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Lawlor, Helmers</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Nitrogen application rate effect on nitrate-nitrogen concentration and loss in subsurface drainage for a corn soybean rotation</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IA</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dry years followed by wet year</w:t>
            </w:r>
          </w:p>
        </w:tc>
      </w:tr>
      <w:tr w:rsidR="004F1FEF" w:rsidRPr="00AB2EDE" w:rsidTr="004F1FEF">
        <w:trPr>
          <w:trHeight w:val="375"/>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1991</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129</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67</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Lawlor, Helmers</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Nitrogen application rate effect on nitrate-nitrogen concentration and loss in subsurface drainage for a corn soybean rotation</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IA</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color w:val="auto"/>
                <w:sz w:val="16"/>
                <w:szCs w:val="16"/>
              </w:rPr>
            </w:pPr>
          </w:p>
        </w:tc>
      </w:tr>
      <w:tr w:rsidR="004F1FEF" w:rsidRPr="00AB2EDE" w:rsidTr="004F1FEF">
        <w:trPr>
          <w:trHeight w:val="6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2001</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129</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61.5</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Lawlor, Helmers</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Nitrogen application rate effect on nitrate-nitrogen concentration and loss in subsurface drainage for a corn soybean rotation</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IA</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Approximately 80% of the NO3‐N losses that occurred in 2001 were prior to spring N application on 4 June and were likely derived from organic a</w:t>
            </w:r>
            <w:r>
              <w:rPr>
                <w:rFonts w:asciiTheme="minorHAnsi" w:eastAsia="Times New Roman" w:hAnsiTheme="minorHAnsi"/>
                <w:sz w:val="16"/>
                <w:szCs w:val="16"/>
              </w:rPr>
              <w:t>f</w:t>
            </w:r>
            <w:r w:rsidRPr="00AB2EDE">
              <w:rPr>
                <w:rFonts w:asciiTheme="minorHAnsi" w:eastAsia="Times New Roman" w:hAnsiTheme="minorHAnsi"/>
                <w:sz w:val="16"/>
                <w:szCs w:val="16"/>
              </w:rPr>
              <w:t>ter N mineralization and previous spring applications made in a minimal drainage year (2000)</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p>
        </w:tc>
      </w:tr>
      <w:tr w:rsidR="004F1FEF" w:rsidRPr="00AB2EDE" w:rsidTr="004F1FEF">
        <w:trPr>
          <w:trHeight w:val="375"/>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2003</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129</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61.5</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Lawlor, Helmers</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Nitrogen application rate effect on nitrate-nitrogen concentration and loss in subsurface drainage for a corn soybean rotation</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IA</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color w:val="auto"/>
                <w:sz w:val="16"/>
                <w:szCs w:val="16"/>
              </w:rPr>
            </w:pPr>
          </w:p>
        </w:tc>
      </w:tr>
      <w:tr w:rsidR="004F1FEF" w:rsidRPr="00AB2EDE" w:rsidTr="004F1FEF">
        <w:trPr>
          <w:trHeight w:val="6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1990</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133</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62.05</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Logan</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Tillage, crop and climatic effects on runoff and tile drainage losses of nitrate and four herbicides</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OH</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 xml:space="preserve">Tile drainage, which previously averaged 40% of precipitation, was virtually zero in 1987 and 1988 and was 28% and 31% of precipitation in 1989 and 1990, respectively. 1990 was the wettest year. </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dry years followed by very wet year</w:t>
            </w:r>
          </w:p>
        </w:tc>
      </w:tr>
      <w:tr w:rsidR="004F1FEF" w:rsidRPr="00AB2EDE" w:rsidTr="004F1FEF">
        <w:trPr>
          <w:trHeight w:val="6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1990</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156</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112.1</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Randall</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Impact of long-term tillage systems for continuous corn on nitrate leaching to tile drainage</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MN</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Flow-weighted nitrate</w:t>
            </w:r>
            <w:r>
              <w:rPr>
                <w:rFonts w:asciiTheme="minorHAnsi" w:eastAsia="Times New Roman" w:hAnsiTheme="minorHAnsi"/>
                <w:sz w:val="16"/>
                <w:szCs w:val="16"/>
              </w:rPr>
              <w:t>-</w:t>
            </w:r>
            <w:r w:rsidRPr="00AB2EDE">
              <w:rPr>
                <w:rFonts w:asciiTheme="minorHAnsi" w:eastAsia="Times New Roman" w:hAnsiTheme="minorHAnsi"/>
                <w:sz w:val="16"/>
                <w:szCs w:val="16"/>
              </w:rPr>
              <w:t>nitrogen (NO-N) concentrations increased dramatically in the wet years (1990 and 1991) following the dry period of 1987 to 1989. During the wet 1990 to 1992 period, flow began each March and continued until November</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wet spring + dry years before</w:t>
            </w:r>
          </w:p>
        </w:tc>
      </w:tr>
      <w:tr w:rsidR="004F1FEF" w:rsidRPr="00AB2EDE" w:rsidTr="004F1FEF">
        <w:trPr>
          <w:trHeight w:val="6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1991</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156</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125.9</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Randall</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Impact of long-term tillage systems for continuous corn on nitrate leaching to tile drainage</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MN</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Flow-weighted nitrate</w:t>
            </w:r>
            <w:r>
              <w:rPr>
                <w:rFonts w:asciiTheme="minorHAnsi" w:eastAsia="Times New Roman" w:hAnsiTheme="minorHAnsi"/>
                <w:sz w:val="16"/>
                <w:szCs w:val="16"/>
              </w:rPr>
              <w:t>-</w:t>
            </w:r>
            <w:r w:rsidRPr="00AB2EDE">
              <w:rPr>
                <w:rFonts w:asciiTheme="minorHAnsi" w:eastAsia="Times New Roman" w:hAnsiTheme="minorHAnsi"/>
                <w:sz w:val="16"/>
                <w:szCs w:val="16"/>
              </w:rPr>
              <w:t>nitrogen (NO-N) concentrations increased dramatically in the wet years (1990 and 1991) following the dry period of 1987 to 1989. During the wet 1990 to 1992 period, flow began each March and continued until November</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wet spring + dry years before</w:t>
            </w:r>
          </w:p>
        </w:tc>
      </w:tr>
      <w:tr w:rsidR="004F1FEF" w:rsidRPr="00AB2EDE" w:rsidTr="004F1FEF">
        <w:trPr>
          <w:trHeight w:val="15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lastRenderedPageBreak/>
              <w:t>1991</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157</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76.53</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Randall</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Nitrate losses through subsurface tile drainage in conservation reserve program, alfalfa, and row crop systems</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MN</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No flow occurred in the dry years of 1988 and 1989. In 1990, a year of normal precipitation, tile lines in the row-crop systems flowed intermittently during a 26-d period from late May through June. In 1991 drainage occurred during a 102-d period (late March-early July) from the row crops.  In 1993, when precipitation was &gt;60% above normal, tile flow was abundant from all cropping systems during mid-March through mid-August.  In 1993, drainage volume from the row and perennial crops closely paralleled monthly rainfall until July when ET from all cropping systems exceeded drainage.</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wet year</w:t>
            </w:r>
          </w:p>
        </w:tc>
      </w:tr>
      <w:tr w:rsidR="004F1FEF" w:rsidRPr="00AB2EDE" w:rsidTr="004F1FEF">
        <w:trPr>
          <w:trHeight w:val="15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1993</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157</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81.63</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Randall</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Nitrate losses through subsurface tile drainage in conservation reserve program, alfalfa, and row crop systems</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MN</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No flow occurred in the dry years of 1988 and 1989. In 1990, a year of normal precipitation, tile lines in the row-crop systems flowed intermittently during a 26-d period from late May through June. In 1991 drainage occurred during a 102-d period (late March-early July) from the row crops.  In 1993, when precipitation was &gt;60% above normal, tile flow was abundant from all cropping systems during mid-March through mid-August.  In 1993, drainage volume from the row and perennial crops closely paralleled monthly rainfall until July when ET from all cropping systems exceeded drainage.</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wet year</w:t>
            </w:r>
          </w:p>
        </w:tc>
      </w:tr>
      <w:tr w:rsidR="004F1FEF" w:rsidRPr="00AB2EDE" w:rsidTr="004F1FEF">
        <w:trPr>
          <w:trHeight w:val="600"/>
        </w:trPr>
        <w:tc>
          <w:tcPr>
            <w:tcW w:w="565"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2011</w:t>
            </w:r>
          </w:p>
        </w:tc>
        <w:tc>
          <w:tcPr>
            <w:tcW w:w="515" w:type="dxa"/>
            <w:tcBorders>
              <w:top w:val="nil"/>
              <w:left w:val="nil"/>
              <w:bottom w:val="nil"/>
              <w:right w:val="nil"/>
            </w:tcBorders>
          </w:tcPr>
          <w:p w:rsidR="004F1FEF" w:rsidRPr="004F1FEF" w:rsidRDefault="004F1FEF" w:rsidP="004F1FEF">
            <w:pPr>
              <w:rPr>
                <w:rFonts w:asciiTheme="minorHAnsi" w:eastAsia="Times New Roman" w:hAnsiTheme="minorHAnsi"/>
                <w:sz w:val="16"/>
                <w:szCs w:val="16"/>
              </w:rPr>
            </w:pPr>
            <w:r w:rsidRPr="004F1FEF">
              <w:rPr>
                <w:rFonts w:asciiTheme="minorHAnsi" w:eastAsia="Times New Roman" w:hAnsiTheme="minorHAnsi"/>
                <w:sz w:val="16"/>
                <w:szCs w:val="16"/>
              </w:rPr>
              <w:t>394</w:t>
            </w:r>
          </w:p>
        </w:tc>
        <w:tc>
          <w:tcPr>
            <w:tcW w:w="630"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90.1</w:t>
            </w:r>
          </w:p>
        </w:tc>
        <w:tc>
          <w:tcPr>
            <w:tcW w:w="99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Nelson</w:t>
            </w:r>
          </w:p>
        </w:tc>
        <w:tc>
          <w:tcPr>
            <w:tcW w:w="223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Reducing nitrogen loss in subsurface tile drainage water with managed drainage and polymer-coated urea in a river bottom soil</w:t>
            </w:r>
          </w:p>
        </w:tc>
        <w:tc>
          <w:tcPr>
            <w:tcW w:w="563"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MO</w:t>
            </w:r>
          </w:p>
        </w:tc>
        <w:tc>
          <w:tcPr>
            <w:tcW w:w="3188" w:type="dxa"/>
            <w:tcBorders>
              <w:top w:val="nil"/>
              <w:left w:val="nil"/>
              <w:bottom w:val="nil"/>
              <w:right w:val="nil"/>
            </w:tcBorders>
            <w:shd w:val="clear" w:color="auto" w:fill="auto"/>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 xml:space="preserve">high NO3-N loss in the tile drainage water over the 2011-2012 study year was likely due to </w:t>
            </w:r>
            <w:r w:rsidRPr="00AB2EDE">
              <w:rPr>
                <w:rFonts w:asciiTheme="minorHAnsi" w:eastAsia="Times New Roman" w:hAnsiTheme="minorHAnsi"/>
                <w:b/>
                <w:bCs/>
                <w:sz w:val="16"/>
                <w:szCs w:val="16"/>
              </w:rPr>
              <w:t>wet spring conditions</w:t>
            </w:r>
            <w:r w:rsidRPr="00AB2EDE">
              <w:rPr>
                <w:rFonts w:asciiTheme="minorHAnsi" w:eastAsia="Times New Roman" w:hAnsiTheme="minorHAnsi"/>
                <w:sz w:val="16"/>
                <w:szCs w:val="16"/>
              </w:rPr>
              <w:t xml:space="preserve"> and carry-over N, which resulted in approximately 60 kg NO3-N ha−1 of loss for both FD and MD during the FD period from </w:t>
            </w:r>
            <w:r w:rsidRPr="00AB2EDE">
              <w:rPr>
                <w:rFonts w:asciiTheme="minorHAnsi" w:eastAsia="Times New Roman" w:hAnsiTheme="minorHAnsi"/>
                <w:b/>
                <w:bCs/>
                <w:sz w:val="16"/>
                <w:szCs w:val="16"/>
              </w:rPr>
              <w:t>9 May through 12 July,</w:t>
            </w:r>
            <w:r w:rsidRPr="00AB2EDE">
              <w:rPr>
                <w:rFonts w:asciiTheme="minorHAnsi" w:eastAsia="Times New Roman" w:hAnsiTheme="minorHAnsi"/>
                <w:sz w:val="16"/>
                <w:szCs w:val="16"/>
              </w:rPr>
              <w:t xml:space="preserve"> 2011</w:t>
            </w:r>
          </w:p>
        </w:tc>
        <w:tc>
          <w:tcPr>
            <w:tcW w:w="1116" w:type="dxa"/>
            <w:tcBorders>
              <w:top w:val="nil"/>
              <w:left w:val="nil"/>
              <w:bottom w:val="nil"/>
              <w:right w:val="nil"/>
            </w:tcBorders>
            <w:shd w:val="clear" w:color="auto" w:fill="auto"/>
            <w:noWrap/>
            <w:hideMark/>
          </w:tcPr>
          <w:p w:rsidR="004F1FEF" w:rsidRPr="00AB2EDE" w:rsidRDefault="004F1FEF" w:rsidP="004F1FEF">
            <w:pPr>
              <w:rPr>
                <w:rFonts w:asciiTheme="minorHAnsi" w:eastAsia="Times New Roman" w:hAnsiTheme="minorHAnsi"/>
                <w:sz w:val="16"/>
                <w:szCs w:val="16"/>
              </w:rPr>
            </w:pPr>
            <w:r w:rsidRPr="00AB2EDE">
              <w:rPr>
                <w:rFonts w:asciiTheme="minorHAnsi" w:eastAsia="Times New Roman" w:hAnsiTheme="minorHAnsi"/>
                <w:sz w:val="16"/>
                <w:szCs w:val="16"/>
              </w:rPr>
              <w:t>wet spring</w:t>
            </w:r>
          </w:p>
        </w:tc>
      </w:tr>
    </w:tbl>
    <w:p w:rsidR="00606355" w:rsidRDefault="00606355" w:rsidP="00606355">
      <w:pPr>
        <w:spacing w:before="100" w:beforeAutospacing="1" w:after="100" w:afterAutospacing="1"/>
      </w:pPr>
    </w:p>
    <w:p w:rsidR="00A257AE" w:rsidRDefault="00A257AE">
      <w:pPr>
        <w:spacing w:after="160" w:line="259" w:lineRule="auto"/>
        <w:rPr>
          <w:i/>
        </w:rPr>
      </w:pPr>
      <w:r>
        <w:rPr>
          <w:i/>
        </w:rPr>
        <w:br w:type="page"/>
      </w:r>
      <w:bookmarkStart w:id="0" w:name="_GoBack"/>
      <w:bookmarkEnd w:id="0"/>
    </w:p>
    <w:p w:rsidR="00606355" w:rsidRPr="00381E94" w:rsidRDefault="00606355" w:rsidP="00606355">
      <w:pPr>
        <w:spacing w:before="100" w:beforeAutospacing="1" w:after="100" w:afterAutospacing="1"/>
        <w:rPr>
          <w:i/>
        </w:rPr>
      </w:pPr>
      <w:r w:rsidRPr="00381E94">
        <w:rPr>
          <w:i/>
        </w:rPr>
        <w:lastRenderedPageBreak/>
        <w:t xml:space="preserve">4. Seeing how many years there are brings up the need for some text describing the MANAGE database, and specifically the free draining plots you are including. How many years are included, what is the geographic spread? If you would consider drafting some sentences on that it would be great. </w:t>
      </w:r>
    </w:p>
    <w:p w:rsidR="00990A8E" w:rsidRDefault="00606355" w:rsidP="008B37D6">
      <w:pPr>
        <w:spacing w:before="100" w:beforeAutospacing="1" w:after="100" w:afterAutospacing="1"/>
      </w:pPr>
      <w:r>
        <w:t xml:space="preserve">The Managed Annual Nutrient loads from </w:t>
      </w:r>
      <w:proofErr w:type="spellStart"/>
      <w:r>
        <w:t>AGricultural</w:t>
      </w:r>
      <w:proofErr w:type="spellEnd"/>
      <w:r>
        <w:t xml:space="preserve"> Environment (MANAGE) database is a readily-accessible database compiling</w:t>
      </w:r>
      <w:r w:rsidR="008B37D6" w:rsidRPr="008B37D6">
        <w:rPr>
          <w:rFonts w:ascii="Helvetica-Condensed" w:hAnsi="Helvetica-Condensed" w:cs="Helvetica-Condensed"/>
          <w:color w:val="auto"/>
          <w:sz w:val="20"/>
          <w:szCs w:val="20"/>
        </w:rPr>
        <w:t xml:space="preserve"> </w:t>
      </w:r>
      <w:r w:rsidR="008B37D6" w:rsidRPr="008B37D6">
        <w:t xml:space="preserve">measured </w:t>
      </w:r>
      <w:r w:rsidR="008B37D6">
        <w:t xml:space="preserve">field-scale </w:t>
      </w:r>
      <w:r w:rsidR="008B37D6" w:rsidRPr="008B37D6">
        <w:t xml:space="preserve">annual nitrogen </w:t>
      </w:r>
      <w:r w:rsidR="008B37D6">
        <w:t xml:space="preserve">and phosphorus </w:t>
      </w:r>
      <w:r w:rsidR="008B37D6" w:rsidRPr="008B37D6">
        <w:t>load data</w:t>
      </w:r>
      <w:r w:rsidR="008B37D6">
        <w:t xml:space="preserve"> </w:t>
      </w:r>
      <w:r w:rsidR="00E14244">
        <w:t xml:space="preserve">along with </w:t>
      </w:r>
      <w:r w:rsidR="00B440CF">
        <w:t xml:space="preserve">pertinent management and site characteristic </w:t>
      </w:r>
      <w:r w:rsidR="00381E94">
        <w:t>meta</w:t>
      </w:r>
      <w:r w:rsidR="00B440CF">
        <w:t>data collected</w:t>
      </w:r>
      <w:r w:rsidR="008B37D6">
        <w:t xml:space="preserve"> across the United States and Canada. </w:t>
      </w:r>
      <w:r w:rsidR="00E14244">
        <w:t>Currently it contains 1279 site-years (</w:t>
      </w:r>
      <w:r w:rsidR="00E14244" w:rsidRPr="00E14244">
        <w:rPr>
          <w:i/>
          <w:color w:val="FF0000"/>
        </w:rPr>
        <w:t>actually, plot-years</w:t>
      </w:r>
      <w:r w:rsidR="00E14244">
        <w:t xml:space="preserve">) of data from 91 </w:t>
      </w:r>
      <w:r w:rsidR="00B440CF">
        <w:t>studies on artificia</w:t>
      </w:r>
      <w:r w:rsidR="00381E94">
        <w:t xml:space="preserve">lly drained agricultural lands, including both surface and subsurface drainage types. </w:t>
      </w:r>
    </w:p>
    <w:p w:rsidR="00FE0374" w:rsidRDefault="00990A8E" w:rsidP="008B37D6">
      <w:pPr>
        <w:spacing w:before="100" w:beforeAutospacing="1" w:after="100" w:afterAutospacing="1"/>
      </w:pPr>
      <w:r>
        <w:t>Considering water quality sustainability criteria/metric defined earlier, f</w:t>
      </w:r>
      <w:r w:rsidR="00381E94">
        <w:t xml:space="preserve">or this analysis we </w:t>
      </w:r>
      <w:r w:rsidR="00FE0374">
        <w:t xml:space="preserve">only </w:t>
      </w:r>
      <w:r>
        <w:t>included</w:t>
      </w:r>
      <w:r w:rsidR="00381E94">
        <w:t xml:space="preserve"> </w:t>
      </w:r>
      <w:r w:rsidR="00093254">
        <w:t xml:space="preserve">studies conducted in “Corn Belt” states </w:t>
      </w:r>
      <w:r>
        <w:t xml:space="preserve">that partially or fully drain to Mississippi, hence to the Gulf of Mexico </w:t>
      </w:r>
      <w:r w:rsidR="00093254">
        <w:t>(in particular: IA, IL, IN, MO, MN, OH)</w:t>
      </w:r>
      <w:r>
        <w:t xml:space="preserve">. </w:t>
      </w:r>
      <w:r w:rsidR="00FE0374">
        <w:t xml:space="preserve">Selected data was further reduced to include the results from the sites/plots with corn being part of their crop-rotation and having subsurface drainage with no inlets. </w:t>
      </w:r>
      <w:r w:rsidR="00FF7654">
        <w:t xml:space="preserve">Subsequently, derived dataset contained 677 site-years of data from 39 studies spanning from 1969 to 2012. </w:t>
      </w:r>
      <w:r w:rsidR="00584E78">
        <w:t xml:space="preserve">Studies from </w:t>
      </w:r>
      <w:r w:rsidR="00FF7654">
        <w:t xml:space="preserve">Iowa </w:t>
      </w:r>
      <w:r w:rsidR="00584E78">
        <w:t xml:space="preserve">made up the most of the data contributing about 60% of site-years, </w:t>
      </w:r>
      <w:r w:rsidR="000F017E">
        <w:t xml:space="preserve">followed by </w:t>
      </w:r>
      <w:r w:rsidR="00584E78">
        <w:t xml:space="preserve">Illinois and Minnesota with 16 and 14% respectively (Fig. X).  </w:t>
      </w:r>
    </w:p>
    <w:p w:rsidR="00606355" w:rsidRDefault="000F017E" w:rsidP="00606355">
      <w:pPr>
        <w:spacing w:before="100" w:beforeAutospacing="1" w:after="100" w:afterAutospacing="1"/>
      </w:pPr>
      <w:r>
        <w:rPr>
          <w:noProof/>
        </w:rPr>
        <w:drawing>
          <wp:inline distT="0" distB="0" distL="0" distR="0" wp14:anchorId="5ACCF019" wp14:editId="5BBCFC64">
            <wp:extent cx="4396254" cy="278476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5724" cy="2790763"/>
                    </a:xfrm>
                    <a:prstGeom prst="rect">
                      <a:avLst/>
                    </a:prstGeom>
                  </pic:spPr>
                </pic:pic>
              </a:graphicData>
            </a:graphic>
          </wp:inline>
        </w:drawing>
      </w:r>
    </w:p>
    <w:p w:rsidR="00AE3E53" w:rsidRDefault="004F1FEF"/>
    <w:sectPr w:rsidR="00AE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Condens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55"/>
    <w:rsid w:val="00093254"/>
    <w:rsid w:val="000F017E"/>
    <w:rsid w:val="00100EDE"/>
    <w:rsid w:val="002A29D9"/>
    <w:rsid w:val="00381E94"/>
    <w:rsid w:val="0049177A"/>
    <w:rsid w:val="004F1FEF"/>
    <w:rsid w:val="00584E78"/>
    <w:rsid w:val="005D77C6"/>
    <w:rsid w:val="00606355"/>
    <w:rsid w:val="008B37D6"/>
    <w:rsid w:val="00990A8E"/>
    <w:rsid w:val="00A257AE"/>
    <w:rsid w:val="00AB2EDE"/>
    <w:rsid w:val="00B440CF"/>
    <w:rsid w:val="00E14244"/>
    <w:rsid w:val="00E31051"/>
    <w:rsid w:val="00F56AC2"/>
    <w:rsid w:val="00FE0374"/>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83D10-10C2-415D-AC4A-39D5B56E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355"/>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3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07134">
      <w:bodyDiv w:val="1"/>
      <w:marLeft w:val="0"/>
      <w:marRight w:val="0"/>
      <w:marTop w:val="0"/>
      <w:marBottom w:val="0"/>
      <w:divBdr>
        <w:top w:val="none" w:sz="0" w:space="0" w:color="auto"/>
        <w:left w:val="none" w:sz="0" w:space="0" w:color="auto"/>
        <w:bottom w:val="none" w:sz="0" w:space="0" w:color="auto"/>
        <w:right w:val="none" w:sz="0" w:space="0" w:color="auto"/>
      </w:divBdr>
    </w:div>
    <w:div w:id="2132093222">
      <w:bodyDiv w:val="1"/>
      <w:marLeft w:val="0"/>
      <w:marRight w:val="0"/>
      <w:marTop w:val="0"/>
      <w:marBottom w:val="0"/>
      <w:divBdr>
        <w:top w:val="none" w:sz="0" w:space="0" w:color="auto"/>
        <w:left w:val="none" w:sz="0" w:space="0" w:color="auto"/>
        <w:bottom w:val="none" w:sz="0" w:space="0" w:color="auto"/>
        <w:right w:val="none" w:sz="0" w:space="0" w:color="auto"/>
      </w:divBdr>
      <w:divsChild>
        <w:div w:id="1751929610">
          <w:marLeft w:val="0"/>
          <w:marRight w:val="0"/>
          <w:marTop w:val="0"/>
          <w:marBottom w:val="0"/>
          <w:divBdr>
            <w:top w:val="none" w:sz="0" w:space="0" w:color="auto"/>
            <w:left w:val="none" w:sz="0" w:space="0" w:color="auto"/>
            <w:bottom w:val="none" w:sz="0" w:space="0" w:color="auto"/>
            <w:right w:val="none" w:sz="0" w:space="0" w:color="auto"/>
          </w:divBdr>
          <w:divsChild>
            <w:div w:id="1392843594">
              <w:marLeft w:val="0"/>
              <w:marRight w:val="0"/>
              <w:marTop w:val="0"/>
              <w:marBottom w:val="0"/>
              <w:divBdr>
                <w:top w:val="none" w:sz="0" w:space="0" w:color="auto"/>
                <w:left w:val="none" w:sz="0" w:space="0" w:color="auto"/>
                <w:bottom w:val="none" w:sz="0" w:space="0" w:color="auto"/>
                <w:right w:val="none" w:sz="0" w:space="0" w:color="auto"/>
              </w:divBdr>
            </w:div>
          </w:divsChild>
        </w:div>
        <w:div w:id="905798966">
          <w:marLeft w:val="0"/>
          <w:marRight w:val="0"/>
          <w:marTop w:val="0"/>
          <w:marBottom w:val="0"/>
          <w:divBdr>
            <w:top w:val="none" w:sz="0" w:space="0" w:color="auto"/>
            <w:left w:val="none" w:sz="0" w:space="0" w:color="auto"/>
            <w:bottom w:val="none" w:sz="0" w:space="0" w:color="auto"/>
            <w:right w:val="none" w:sz="0" w:space="0" w:color="auto"/>
          </w:divBdr>
        </w:div>
        <w:div w:id="1647584513">
          <w:marLeft w:val="0"/>
          <w:marRight w:val="0"/>
          <w:marTop w:val="0"/>
          <w:marBottom w:val="0"/>
          <w:divBdr>
            <w:top w:val="none" w:sz="0" w:space="0" w:color="auto"/>
            <w:left w:val="none" w:sz="0" w:space="0" w:color="auto"/>
            <w:bottom w:val="none" w:sz="0" w:space="0" w:color="auto"/>
            <w:right w:val="none" w:sz="0" w:space="0" w:color="auto"/>
          </w:divBdr>
        </w:div>
        <w:div w:id="889926153">
          <w:marLeft w:val="0"/>
          <w:marRight w:val="0"/>
          <w:marTop w:val="0"/>
          <w:marBottom w:val="0"/>
          <w:divBdr>
            <w:top w:val="none" w:sz="0" w:space="0" w:color="auto"/>
            <w:left w:val="none" w:sz="0" w:space="0" w:color="auto"/>
            <w:bottom w:val="none" w:sz="0" w:space="0" w:color="auto"/>
            <w:right w:val="none" w:sz="0" w:space="0" w:color="auto"/>
          </w:divBdr>
        </w:div>
        <w:div w:id="176621433">
          <w:marLeft w:val="0"/>
          <w:marRight w:val="0"/>
          <w:marTop w:val="0"/>
          <w:marBottom w:val="0"/>
          <w:divBdr>
            <w:top w:val="none" w:sz="0" w:space="0" w:color="auto"/>
            <w:left w:val="none" w:sz="0" w:space="0" w:color="auto"/>
            <w:bottom w:val="none" w:sz="0" w:space="0" w:color="auto"/>
            <w:right w:val="none" w:sz="0" w:space="0" w:color="auto"/>
          </w:divBdr>
        </w:div>
        <w:div w:id="1152869007">
          <w:marLeft w:val="0"/>
          <w:marRight w:val="0"/>
          <w:marTop w:val="0"/>
          <w:marBottom w:val="0"/>
          <w:divBdr>
            <w:top w:val="none" w:sz="0" w:space="0" w:color="auto"/>
            <w:left w:val="none" w:sz="0" w:space="0" w:color="auto"/>
            <w:bottom w:val="none" w:sz="0" w:space="0" w:color="auto"/>
            <w:right w:val="none" w:sz="0" w:space="0" w:color="auto"/>
          </w:divBdr>
        </w:div>
        <w:div w:id="584649514">
          <w:marLeft w:val="0"/>
          <w:marRight w:val="0"/>
          <w:marTop w:val="0"/>
          <w:marBottom w:val="0"/>
          <w:divBdr>
            <w:top w:val="none" w:sz="0" w:space="0" w:color="auto"/>
            <w:left w:val="none" w:sz="0" w:space="0" w:color="auto"/>
            <w:bottom w:val="none" w:sz="0" w:space="0" w:color="auto"/>
            <w:right w:val="none" w:sz="0" w:space="0" w:color="auto"/>
          </w:divBdr>
        </w:div>
        <w:div w:id="1715160142">
          <w:marLeft w:val="0"/>
          <w:marRight w:val="0"/>
          <w:marTop w:val="0"/>
          <w:marBottom w:val="0"/>
          <w:divBdr>
            <w:top w:val="none" w:sz="0" w:space="0" w:color="auto"/>
            <w:left w:val="none" w:sz="0" w:space="0" w:color="auto"/>
            <w:bottom w:val="none" w:sz="0" w:space="0" w:color="auto"/>
            <w:right w:val="none" w:sz="0" w:space="0" w:color="auto"/>
          </w:divBdr>
        </w:div>
        <w:div w:id="2041667273">
          <w:marLeft w:val="0"/>
          <w:marRight w:val="0"/>
          <w:marTop w:val="0"/>
          <w:marBottom w:val="0"/>
          <w:divBdr>
            <w:top w:val="none" w:sz="0" w:space="0" w:color="auto"/>
            <w:left w:val="none" w:sz="0" w:space="0" w:color="auto"/>
            <w:bottom w:val="none" w:sz="0" w:space="0" w:color="auto"/>
            <w:right w:val="none" w:sz="0" w:space="0" w:color="auto"/>
          </w:divBdr>
        </w:div>
        <w:div w:id="1759867145">
          <w:marLeft w:val="0"/>
          <w:marRight w:val="0"/>
          <w:marTop w:val="0"/>
          <w:marBottom w:val="0"/>
          <w:divBdr>
            <w:top w:val="none" w:sz="0" w:space="0" w:color="auto"/>
            <w:left w:val="none" w:sz="0" w:space="0" w:color="auto"/>
            <w:bottom w:val="none" w:sz="0" w:space="0" w:color="auto"/>
            <w:right w:val="none" w:sz="0" w:space="0" w:color="auto"/>
          </w:divBdr>
        </w:div>
        <w:div w:id="571894574">
          <w:marLeft w:val="0"/>
          <w:marRight w:val="0"/>
          <w:marTop w:val="0"/>
          <w:marBottom w:val="0"/>
          <w:divBdr>
            <w:top w:val="none" w:sz="0" w:space="0" w:color="auto"/>
            <w:left w:val="none" w:sz="0" w:space="0" w:color="auto"/>
            <w:bottom w:val="none" w:sz="0" w:space="0" w:color="auto"/>
            <w:right w:val="none" w:sz="0" w:space="0" w:color="auto"/>
          </w:divBdr>
        </w:div>
        <w:div w:id="2116628896">
          <w:marLeft w:val="0"/>
          <w:marRight w:val="0"/>
          <w:marTop w:val="0"/>
          <w:marBottom w:val="0"/>
          <w:divBdr>
            <w:top w:val="none" w:sz="0" w:space="0" w:color="auto"/>
            <w:left w:val="none" w:sz="0" w:space="0" w:color="auto"/>
            <w:bottom w:val="none" w:sz="0" w:space="0" w:color="auto"/>
            <w:right w:val="none" w:sz="0" w:space="0" w:color="auto"/>
          </w:divBdr>
        </w:div>
        <w:div w:id="1629243107">
          <w:marLeft w:val="0"/>
          <w:marRight w:val="0"/>
          <w:marTop w:val="0"/>
          <w:marBottom w:val="0"/>
          <w:divBdr>
            <w:top w:val="none" w:sz="0" w:space="0" w:color="auto"/>
            <w:left w:val="none" w:sz="0" w:space="0" w:color="auto"/>
            <w:bottom w:val="none" w:sz="0" w:space="0" w:color="auto"/>
            <w:right w:val="none" w:sz="0" w:space="0" w:color="auto"/>
          </w:divBdr>
        </w:div>
        <w:div w:id="2104034182">
          <w:marLeft w:val="0"/>
          <w:marRight w:val="0"/>
          <w:marTop w:val="0"/>
          <w:marBottom w:val="0"/>
          <w:divBdr>
            <w:top w:val="none" w:sz="0" w:space="0" w:color="auto"/>
            <w:left w:val="none" w:sz="0" w:space="0" w:color="auto"/>
            <w:bottom w:val="none" w:sz="0" w:space="0" w:color="auto"/>
            <w:right w:val="none" w:sz="0" w:space="0" w:color="auto"/>
          </w:divBdr>
        </w:div>
        <w:div w:id="615450099">
          <w:marLeft w:val="0"/>
          <w:marRight w:val="0"/>
          <w:marTop w:val="0"/>
          <w:marBottom w:val="0"/>
          <w:divBdr>
            <w:top w:val="none" w:sz="0" w:space="0" w:color="auto"/>
            <w:left w:val="none" w:sz="0" w:space="0" w:color="auto"/>
            <w:bottom w:val="none" w:sz="0" w:space="0" w:color="auto"/>
            <w:right w:val="none" w:sz="0" w:space="0" w:color="auto"/>
          </w:divBdr>
        </w:div>
        <w:div w:id="849026554">
          <w:marLeft w:val="0"/>
          <w:marRight w:val="0"/>
          <w:marTop w:val="0"/>
          <w:marBottom w:val="0"/>
          <w:divBdr>
            <w:top w:val="none" w:sz="0" w:space="0" w:color="auto"/>
            <w:left w:val="none" w:sz="0" w:space="0" w:color="auto"/>
            <w:bottom w:val="none" w:sz="0" w:space="0" w:color="auto"/>
            <w:right w:val="none" w:sz="0" w:space="0" w:color="auto"/>
          </w:divBdr>
        </w:div>
        <w:div w:id="587547284">
          <w:marLeft w:val="0"/>
          <w:marRight w:val="0"/>
          <w:marTop w:val="0"/>
          <w:marBottom w:val="0"/>
          <w:divBdr>
            <w:top w:val="none" w:sz="0" w:space="0" w:color="auto"/>
            <w:left w:val="none" w:sz="0" w:space="0" w:color="auto"/>
            <w:bottom w:val="none" w:sz="0" w:space="0" w:color="auto"/>
            <w:right w:val="none" w:sz="0" w:space="0" w:color="auto"/>
          </w:divBdr>
        </w:div>
        <w:div w:id="1439594132">
          <w:marLeft w:val="0"/>
          <w:marRight w:val="0"/>
          <w:marTop w:val="0"/>
          <w:marBottom w:val="0"/>
          <w:divBdr>
            <w:top w:val="none" w:sz="0" w:space="0" w:color="auto"/>
            <w:left w:val="none" w:sz="0" w:space="0" w:color="auto"/>
            <w:bottom w:val="none" w:sz="0" w:space="0" w:color="auto"/>
            <w:right w:val="none" w:sz="0" w:space="0" w:color="auto"/>
          </w:divBdr>
        </w:div>
        <w:div w:id="1007559843">
          <w:marLeft w:val="0"/>
          <w:marRight w:val="0"/>
          <w:marTop w:val="0"/>
          <w:marBottom w:val="0"/>
          <w:divBdr>
            <w:top w:val="none" w:sz="0" w:space="0" w:color="auto"/>
            <w:left w:val="none" w:sz="0" w:space="0" w:color="auto"/>
            <w:bottom w:val="none" w:sz="0" w:space="0" w:color="auto"/>
            <w:right w:val="none" w:sz="0" w:space="0" w:color="auto"/>
          </w:divBdr>
        </w:div>
        <w:div w:id="303318458">
          <w:marLeft w:val="0"/>
          <w:marRight w:val="0"/>
          <w:marTop w:val="0"/>
          <w:marBottom w:val="0"/>
          <w:divBdr>
            <w:top w:val="none" w:sz="0" w:space="0" w:color="auto"/>
            <w:left w:val="none" w:sz="0" w:space="0" w:color="auto"/>
            <w:bottom w:val="none" w:sz="0" w:space="0" w:color="auto"/>
            <w:right w:val="none" w:sz="0" w:space="0" w:color="auto"/>
          </w:divBdr>
        </w:div>
        <w:div w:id="2104640058">
          <w:marLeft w:val="0"/>
          <w:marRight w:val="0"/>
          <w:marTop w:val="0"/>
          <w:marBottom w:val="0"/>
          <w:divBdr>
            <w:top w:val="none" w:sz="0" w:space="0" w:color="auto"/>
            <w:left w:val="none" w:sz="0" w:space="0" w:color="auto"/>
            <w:bottom w:val="none" w:sz="0" w:space="0" w:color="auto"/>
            <w:right w:val="none" w:sz="0" w:space="0" w:color="auto"/>
          </w:divBdr>
        </w:div>
        <w:div w:id="1363632033">
          <w:marLeft w:val="0"/>
          <w:marRight w:val="0"/>
          <w:marTop w:val="0"/>
          <w:marBottom w:val="0"/>
          <w:divBdr>
            <w:top w:val="none" w:sz="0" w:space="0" w:color="auto"/>
            <w:left w:val="none" w:sz="0" w:space="0" w:color="auto"/>
            <w:bottom w:val="none" w:sz="0" w:space="0" w:color="auto"/>
            <w:right w:val="none" w:sz="0" w:space="0" w:color="auto"/>
          </w:divBdr>
        </w:div>
        <w:div w:id="1268267382">
          <w:marLeft w:val="0"/>
          <w:marRight w:val="0"/>
          <w:marTop w:val="0"/>
          <w:marBottom w:val="0"/>
          <w:divBdr>
            <w:top w:val="none" w:sz="0" w:space="0" w:color="auto"/>
            <w:left w:val="none" w:sz="0" w:space="0" w:color="auto"/>
            <w:bottom w:val="none" w:sz="0" w:space="0" w:color="auto"/>
            <w:right w:val="none" w:sz="0" w:space="0" w:color="auto"/>
          </w:divBdr>
        </w:div>
        <w:div w:id="1806312534">
          <w:marLeft w:val="0"/>
          <w:marRight w:val="0"/>
          <w:marTop w:val="0"/>
          <w:marBottom w:val="0"/>
          <w:divBdr>
            <w:top w:val="none" w:sz="0" w:space="0" w:color="auto"/>
            <w:left w:val="none" w:sz="0" w:space="0" w:color="auto"/>
            <w:bottom w:val="none" w:sz="0" w:space="0" w:color="auto"/>
            <w:right w:val="none" w:sz="0" w:space="0" w:color="auto"/>
          </w:divBdr>
        </w:div>
        <w:div w:id="217130357">
          <w:marLeft w:val="0"/>
          <w:marRight w:val="0"/>
          <w:marTop w:val="0"/>
          <w:marBottom w:val="0"/>
          <w:divBdr>
            <w:top w:val="none" w:sz="0" w:space="0" w:color="auto"/>
            <w:left w:val="none" w:sz="0" w:space="0" w:color="auto"/>
            <w:bottom w:val="none" w:sz="0" w:space="0" w:color="auto"/>
            <w:right w:val="none" w:sz="0" w:space="0" w:color="auto"/>
          </w:divBdr>
        </w:div>
        <w:div w:id="324289447">
          <w:marLeft w:val="0"/>
          <w:marRight w:val="0"/>
          <w:marTop w:val="0"/>
          <w:marBottom w:val="0"/>
          <w:divBdr>
            <w:top w:val="none" w:sz="0" w:space="0" w:color="auto"/>
            <w:left w:val="none" w:sz="0" w:space="0" w:color="auto"/>
            <w:bottom w:val="none" w:sz="0" w:space="0" w:color="auto"/>
            <w:right w:val="none" w:sz="0" w:space="0" w:color="auto"/>
          </w:divBdr>
        </w:div>
        <w:div w:id="1952541929">
          <w:marLeft w:val="0"/>
          <w:marRight w:val="0"/>
          <w:marTop w:val="0"/>
          <w:marBottom w:val="0"/>
          <w:divBdr>
            <w:top w:val="none" w:sz="0" w:space="0" w:color="auto"/>
            <w:left w:val="none" w:sz="0" w:space="0" w:color="auto"/>
            <w:bottom w:val="none" w:sz="0" w:space="0" w:color="auto"/>
            <w:right w:val="none" w:sz="0" w:space="0" w:color="auto"/>
          </w:divBdr>
        </w:div>
        <w:div w:id="1453551637">
          <w:marLeft w:val="0"/>
          <w:marRight w:val="0"/>
          <w:marTop w:val="0"/>
          <w:marBottom w:val="0"/>
          <w:divBdr>
            <w:top w:val="none" w:sz="0" w:space="0" w:color="auto"/>
            <w:left w:val="none" w:sz="0" w:space="0" w:color="auto"/>
            <w:bottom w:val="none" w:sz="0" w:space="0" w:color="auto"/>
            <w:right w:val="none" w:sz="0" w:space="0" w:color="auto"/>
          </w:divBdr>
        </w:div>
        <w:div w:id="2000382077">
          <w:marLeft w:val="0"/>
          <w:marRight w:val="0"/>
          <w:marTop w:val="0"/>
          <w:marBottom w:val="0"/>
          <w:divBdr>
            <w:top w:val="none" w:sz="0" w:space="0" w:color="auto"/>
            <w:left w:val="none" w:sz="0" w:space="0" w:color="auto"/>
            <w:bottom w:val="none" w:sz="0" w:space="0" w:color="auto"/>
            <w:right w:val="none" w:sz="0" w:space="0" w:color="auto"/>
          </w:divBdr>
        </w:div>
        <w:div w:id="568733251">
          <w:marLeft w:val="0"/>
          <w:marRight w:val="0"/>
          <w:marTop w:val="0"/>
          <w:marBottom w:val="0"/>
          <w:divBdr>
            <w:top w:val="none" w:sz="0" w:space="0" w:color="auto"/>
            <w:left w:val="none" w:sz="0" w:space="0" w:color="auto"/>
            <w:bottom w:val="none" w:sz="0" w:space="0" w:color="auto"/>
            <w:right w:val="none" w:sz="0" w:space="0" w:color="auto"/>
          </w:divBdr>
        </w:div>
        <w:div w:id="1763449073">
          <w:marLeft w:val="0"/>
          <w:marRight w:val="0"/>
          <w:marTop w:val="0"/>
          <w:marBottom w:val="0"/>
          <w:divBdr>
            <w:top w:val="none" w:sz="0" w:space="0" w:color="auto"/>
            <w:left w:val="none" w:sz="0" w:space="0" w:color="auto"/>
            <w:bottom w:val="none" w:sz="0" w:space="0" w:color="auto"/>
            <w:right w:val="none" w:sz="0" w:space="0" w:color="auto"/>
          </w:divBdr>
        </w:div>
        <w:div w:id="1841039533">
          <w:marLeft w:val="0"/>
          <w:marRight w:val="0"/>
          <w:marTop w:val="0"/>
          <w:marBottom w:val="0"/>
          <w:divBdr>
            <w:top w:val="none" w:sz="0" w:space="0" w:color="auto"/>
            <w:left w:val="none" w:sz="0" w:space="0" w:color="auto"/>
            <w:bottom w:val="none" w:sz="0" w:space="0" w:color="auto"/>
            <w:right w:val="none" w:sz="0" w:space="0" w:color="auto"/>
          </w:divBdr>
        </w:div>
        <w:div w:id="1349019241">
          <w:marLeft w:val="0"/>
          <w:marRight w:val="0"/>
          <w:marTop w:val="0"/>
          <w:marBottom w:val="0"/>
          <w:divBdr>
            <w:top w:val="none" w:sz="0" w:space="0" w:color="auto"/>
            <w:left w:val="none" w:sz="0" w:space="0" w:color="auto"/>
            <w:bottom w:val="none" w:sz="0" w:space="0" w:color="auto"/>
            <w:right w:val="none" w:sz="0" w:space="0" w:color="auto"/>
          </w:divBdr>
        </w:div>
        <w:div w:id="1631088605">
          <w:marLeft w:val="0"/>
          <w:marRight w:val="0"/>
          <w:marTop w:val="0"/>
          <w:marBottom w:val="0"/>
          <w:divBdr>
            <w:top w:val="none" w:sz="0" w:space="0" w:color="auto"/>
            <w:left w:val="none" w:sz="0" w:space="0" w:color="auto"/>
            <w:bottom w:val="none" w:sz="0" w:space="0" w:color="auto"/>
            <w:right w:val="none" w:sz="0" w:space="0" w:color="auto"/>
          </w:divBdr>
        </w:div>
        <w:div w:id="278033826">
          <w:marLeft w:val="0"/>
          <w:marRight w:val="0"/>
          <w:marTop w:val="0"/>
          <w:marBottom w:val="0"/>
          <w:divBdr>
            <w:top w:val="none" w:sz="0" w:space="0" w:color="auto"/>
            <w:left w:val="none" w:sz="0" w:space="0" w:color="auto"/>
            <w:bottom w:val="none" w:sz="0" w:space="0" w:color="auto"/>
            <w:right w:val="none" w:sz="0" w:space="0" w:color="auto"/>
          </w:divBdr>
        </w:div>
        <w:div w:id="1829901424">
          <w:marLeft w:val="0"/>
          <w:marRight w:val="0"/>
          <w:marTop w:val="0"/>
          <w:marBottom w:val="0"/>
          <w:divBdr>
            <w:top w:val="none" w:sz="0" w:space="0" w:color="auto"/>
            <w:left w:val="none" w:sz="0" w:space="0" w:color="auto"/>
            <w:bottom w:val="none" w:sz="0" w:space="0" w:color="auto"/>
            <w:right w:val="none" w:sz="0" w:space="0" w:color="auto"/>
          </w:divBdr>
        </w:div>
        <w:div w:id="286939298">
          <w:marLeft w:val="0"/>
          <w:marRight w:val="0"/>
          <w:marTop w:val="0"/>
          <w:marBottom w:val="0"/>
          <w:divBdr>
            <w:top w:val="none" w:sz="0" w:space="0" w:color="auto"/>
            <w:left w:val="none" w:sz="0" w:space="0" w:color="auto"/>
            <w:bottom w:val="none" w:sz="0" w:space="0" w:color="auto"/>
            <w:right w:val="none" w:sz="0" w:space="0" w:color="auto"/>
          </w:divBdr>
        </w:div>
        <w:div w:id="1389187810">
          <w:marLeft w:val="0"/>
          <w:marRight w:val="0"/>
          <w:marTop w:val="0"/>
          <w:marBottom w:val="0"/>
          <w:divBdr>
            <w:top w:val="none" w:sz="0" w:space="0" w:color="auto"/>
            <w:left w:val="none" w:sz="0" w:space="0" w:color="auto"/>
            <w:bottom w:val="none" w:sz="0" w:space="0" w:color="auto"/>
            <w:right w:val="none" w:sz="0" w:space="0" w:color="auto"/>
          </w:divBdr>
        </w:div>
        <w:div w:id="101183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Chighladze, Giorgi</dc:creator>
  <cp:keywords/>
  <dc:description/>
  <cp:lastModifiedBy>Chighladze, Giorgi</cp:lastModifiedBy>
  <cp:revision>3</cp:revision>
  <dcterms:created xsi:type="dcterms:W3CDTF">2017-05-15T18:22:00Z</dcterms:created>
  <dcterms:modified xsi:type="dcterms:W3CDTF">2017-05-15T21:28:00Z</dcterms:modified>
</cp:coreProperties>
</file>