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05CC1" w:rsidR="00F50F27" w:rsidRDefault="00642E42" w14:paraId="43702F5C" w14:textId="40E16863">
      <w:pPr>
        <w:rPr>
          <w:b w:val="1"/>
          <w:bCs w:val="1"/>
          <w:u w:val="single"/>
        </w:rPr>
      </w:pPr>
      <w:r w:rsidRPr="4D853753" w:rsidR="00642E42">
        <w:rPr>
          <w:b w:val="1"/>
          <w:bCs w:val="1"/>
          <w:u w:val="single"/>
        </w:rPr>
        <w:t xml:space="preserve">Key Questions </w:t>
      </w:r>
      <w:r w:rsidRPr="4D853753" w:rsidR="008665CE">
        <w:rPr>
          <w:b w:val="1"/>
          <w:bCs w:val="1"/>
          <w:u w:val="single"/>
        </w:rPr>
        <w:t>on</w:t>
      </w:r>
      <w:r w:rsidRPr="4D853753" w:rsidR="00642E42">
        <w:rPr>
          <w:b w:val="1"/>
          <w:bCs w:val="1"/>
          <w:u w:val="single"/>
        </w:rPr>
        <w:t xml:space="preserve"> Appropriate Usage of Family Context</w:t>
      </w:r>
    </w:p>
    <w:p w:rsidRPr="00117086" w:rsidR="00117086" w:rsidRDefault="00117086" w14:paraId="401FDC74" w14:textId="77777777">
      <w:pPr>
        <w:rPr>
          <w:b/>
          <w:bCs/>
        </w:rPr>
      </w:pPr>
      <w:r w:rsidRPr="00117086">
        <w:rPr>
          <w:b/>
          <w:bCs/>
        </w:rPr>
        <w:t xml:space="preserve">Introduction </w:t>
      </w:r>
    </w:p>
    <w:p w:rsidRPr="00C05CC1" w:rsidR="003A49F4" w:rsidRDefault="003A49F4" w14:paraId="1EC45E0E" w14:textId="5D7DD9F8">
      <w:r w:rsidRPr="00C05CC1">
        <w:t xml:space="preserve">Local authorities should give social workers clear guidance on how Family Context should be used and under what circumstances. </w:t>
      </w:r>
      <w:r w:rsidRPr="00C05CC1" w:rsidR="00C7751A">
        <w:t>Th</w:t>
      </w:r>
      <w:r w:rsidRPr="00C05CC1">
        <w:t>e questions outlined in this</w:t>
      </w:r>
      <w:r w:rsidRPr="00C05CC1" w:rsidR="00C7751A">
        <w:t xml:space="preserve"> document aim to support local authorities to structure their thinking around the appropriate usage of </w:t>
      </w:r>
      <w:r w:rsidRPr="00C05CC1">
        <w:t xml:space="preserve">the </w:t>
      </w:r>
      <w:r w:rsidRPr="00C05CC1" w:rsidR="00C7751A">
        <w:t xml:space="preserve">tool. </w:t>
      </w:r>
    </w:p>
    <w:p w:rsidR="00642E42" w:rsidP="0061744A" w:rsidRDefault="00BD7555" w14:paraId="354C80A6" w14:textId="6BCF8FC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7B20C1">
        <w:rPr>
          <w:rFonts w:asciiTheme="minorHAnsi" w:hAnsiTheme="minorHAnsi" w:eastAsiaTheme="minorHAnsi" w:cstheme="minorBidi"/>
          <w:sz w:val="22"/>
          <w:szCs w:val="22"/>
          <w:lang w:eastAsia="en-US"/>
        </w:rPr>
        <w:t>We have organi</w:t>
      </w:r>
      <w:r w:rsidRPr="007B20C1" w:rsidR="00C05CC1">
        <w:rPr>
          <w:rFonts w:asciiTheme="minorHAnsi" w:hAnsiTheme="minorHAnsi" w:eastAsiaTheme="minorHAnsi" w:cstheme="minorBidi"/>
          <w:sz w:val="22"/>
          <w:szCs w:val="22"/>
          <w:lang w:eastAsia="en-US"/>
        </w:rPr>
        <w:t>s</w:t>
      </w:r>
      <w:r w:rsidRPr="007B20C1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ed the </w:t>
      </w:r>
      <w:r w:rsidRPr="007B20C1" w:rsidR="00642E42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questions </w:t>
      </w:r>
      <w:r w:rsidRPr="007B20C1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into </w:t>
      </w:r>
      <w:r w:rsidRPr="007B20C1" w:rsidR="00642E42">
        <w:rPr>
          <w:rFonts w:asciiTheme="minorHAnsi" w:hAnsiTheme="minorHAnsi" w:eastAsiaTheme="minorHAnsi" w:cstheme="minorBidi"/>
          <w:sz w:val="22"/>
          <w:szCs w:val="22"/>
          <w:lang w:eastAsia="en-US"/>
        </w:rPr>
        <w:t>sections</w:t>
      </w:r>
      <w:r w:rsidRPr="007B20C1" w:rsidR="00B860EC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, starting with </w:t>
      </w:r>
      <w:r w:rsidRPr="007B20C1" w:rsidR="001962EF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consent, then mirroring the </w:t>
      </w:r>
      <w:r w:rsidRPr="007B20C1" w:rsidR="000D1B80">
        <w:rPr>
          <w:rFonts w:asciiTheme="minorHAnsi" w:hAnsiTheme="minorHAnsi" w:eastAsiaTheme="minorHAnsi" w:cstheme="minorBidi"/>
          <w:sz w:val="22"/>
          <w:szCs w:val="22"/>
          <w:lang w:eastAsia="en-US"/>
        </w:rPr>
        <w:t>user workflow</w:t>
      </w:r>
      <w:r w:rsidR="00E66699">
        <w:rPr>
          <w:rFonts w:asciiTheme="minorHAnsi" w:hAnsiTheme="minorHAnsi" w:eastAsiaTheme="minorHAnsi" w:cstheme="minorBidi"/>
          <w:sz w:val="22"/>
          <w:szCs w:val="22"/>
          <w:lang w:eastAsia="en-US"/>
        </w:rPr>
        <w:t>:</w:t>
      </w:r>
    </w:p>
    <w:p w:rsidRPr="0061744A" w:rsidR="00E66699" w:rsidP="0061744A" w:rsidRDefault="00E66699" w14:paraId="403D395A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</w:p>
    <w:p w:rsidRPr="00C05CC1" w:rsidR="00642E42" w:rsidP="00642E42" w:rsidRDefault="00475042" w14:paraId="725A608E" w14:textId="3B1BF888">
      <w:pPr>
        <w:pStyle w:val="ListParagraph"/>
        <w:numPr>
          <w:ilvl w:val="0"/>
          <w:numId w:val="2"/>
        </w:numPr>
      </w:pPr>
      <w:r>
        <w:t>Consent</w:t>
      </w:r>
    </w:p>
    <w:p w:rsidRPr="00C05CC1" w:rsidR="00642E42" w:rsidP="00642E42" w:rsidRDefault="00642E42" w14:paraId="1037186E" w14:textId="6EDD05B9">
      <w:pPr>
        <w:pStyle w:val="ListParagraph"/>
        <w:numPr>
          <w:ilvl w:val="0"/>
          <w:numId w:val="2"/>
        </w:numPr>
      </w:pPr>
      <w:r w:rsidRPr="00C05CC1">
        <w:t>Searching and selecting individuals</w:t>
      </w:r>
    </w:p>
    <w:p w:rsidRPr="00C05CC1" w:rsidR="00642E42" w:rsidP="00642E42" w:rsidRDefault="00642E42" w14:paraId="291EBC8A" w14:textId="5B51E316">
      <w:pPr>
        <w:pStyle w:val="ListParagraph"/>
        <w:numPr>
          <w:ilvl w:val="0"/>
          <w:numId w:val="2"/>
        </w:numPr>
      </w:pPr>
      <w:r w:rsidRPr="00C05CC1">
        <w:t xml:space="preserve">Linking relevant individuals in the Case Management System and viewing those individuals on Family Context </w:t>
      </w:r>
      <w:r w:rsidRPr="00C05CC1" w:rsidR="005E072F">
        <w:t>(only applicable to user journey 2)</w:t>
      </w:r>
    </w:p>
    <w:p w:rsidRPr="00C05CC1" w:rsidR="00642E42" w:rsidP="00642E42" w:rsidRDefault="00642E42" w14:paraId="2CB0FCB8" w14:textId="4D93A004">
      <w:pPr>
        <w:pStyle w:val="ListParagraph"/>
        <w:numPr>
          <w:ilvl w:val="0"/>
          <w:numId w:val="2"/>
        </w:numPr>
      </w:pPr>
      <w:r w:rsidRPr="00C05CC1">
        <w:t xml:space="preserve">Viewing individuals’ service involvement </w:t>
      </w:r>
      <w:r w:rsidRPr="00C05CC1">
        <w:rPr>
          <w:u w:val="single"/>
        </w:rPr>
        <w:t>flags</w:t>
      </w:r>
    </w:p>
    <w:p w:rsidRPr="00C05CC1" w:rsidR="00642E42" w:rsidP="00642E42" w:rsidRDefault="00642E42" w14:paraId="1CDBE0A2" w14:textId="748521C8">
      <w:pPr>
        <w:pStyle w:val="ListParagraph"/>
        <w:numPr>
          <w:ilvl w:val="0"/>
          <w:numId w:val="2"/>
        </w:numPr>
      </w:pPr>
      <w:r w:rsidRPr="00C05CC1">
        <w:t xml:space="preserve">Viewing individuals’ service involvement </w:t>
      </w:r>
      <w:r w:rsidRPr="00C05CC1">
        <w:rPr>
          <w:u w:val="single"/>
        </w:rPr>
        <w:t>details</w:t>
      </w:r>
    </w:p>
    <w:p w:rsidRPr="00C05CC1" w:rsidR="00642E42" w:rsidP="00642E42" w:rsidRDefault="00642E42" w14:paraId="3A456CC3" w14:textId="17A4B77B">
      <w:pPr>
        <w:pStyle w:val="ListParagraph"/>
        <w:numPr>
          <w:ilvl w:val="0"/>
          <w:numId w:val="2"/>
        </w:numPr>
      </w:pPr>
      <w:r w:rsidRPr="00C05CC1">
        <w:t>Using service involvement information</w:t>
      </w:r>
    </w:p>
    <w:p w:rsidRPr="00C05CC1" w:rsidR="00642E42" w:rsidP="00642E42" w:rsidRDefault="00642E42" w14:paraId="146A3A60" w14:textId="086681FF">
      <w:pPr>
        <w:pStyle w:val="ListParagraph"/>
        <w:numPr>
          <w:ilvl w:val="0"/>
          <w:numId w:val="2"/>
        </w:numPr>
      </w:pPr>
      <w:r w:rsidRPr="00C05CC1">
        <w:t>Other</w:t>
      </w:r>
    </w:p>
    <w:p w:rsidR="00642E42" w:rsidRDefault="003A49F4" w14:paraId="0FB87247" w14:textId="683F0F74">
      <w:r w:rsidRPr="00C05CC1">
        <w:t>Service and Information Governance teams from each local authority should answer the questions from each section.</w:t>
      </w:r>
    </w:p>
    <w:p w:rsidRPr="00117086" w:rsidR="00117086" w:rsidRDefault="00117086" w14:paraId="763CC462" w14:textId="6FC890D4">
      <w:pPr>
        <w:rPr>
          <w:b/>
          <w:bCs/>
        </w:rPr>
      </w:pPr>
      <w:r w:rsidRPr="00117086">
        <w:rPr>
          <w:b/>
          <w:bCs/>
        </w:rPr>
        <w:t>Key questions</w:t>
      </w:r>
    </w:p>
    <w:p w:rsidRPr="00117086" w:rsidR="00117086" w:rsidP="00117086" w:rsidRDefault="00591392" w14:paraId="70412FAE" w14:textId="24E53144">
      <w:pPr>
        <w:pStyle w:val="ListParagraph"/>
        <w:numPr>
          <w:ilvl w:val="0"/>
          <w:numId w:val="15"/>
        </w:numPr>
        <w:rPr>
          <w:b/>
          <w:bCs/>
        </w:rPr>
      </w:pPr>
      <w:r w:rsidRPr="00117086">
        <w:rPr>
          <w:b/>
          <w:bCs/>
        </w:rPr>
        <w:t>Consent</w:t>
      </w:r>
      <w:r w:rsidRPr="00117086" w:rsidR="00117086">
        <w:rPr>
          <w:b/>
          <w:bCs/>
        </w:rPr>
        <w:t xml:space="preserve"> </w:t>
      </w:r>
    </w:p>
    <w:p w:rsidRPr="000B1BC1" w:rsidR="0061744A" w:rsidP="002D059C" w:rsidRDefault="0061744A" w14:paraId="2BA9DD8E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i/>
          <w:iCs/>
          <w:color w:val="FF0000"/>
          <w:sz w:val="22"/>
          <w:szCs w:val="22"/>
          <w:lang w:val="en-US"/>
        </w:rPr>
      </w:pPr>
      <w:r w:rsidRPr="000B1BC1">
        <w:rPr>
          <w:rFonts w:asciiTheme="minorHAnsi" w:hAnsiTheme="minorHAnsi" w:eastAsiaTheme="minorHAnsi" w:cstheme="minorBidi"/>
          <w:i/>
          <w:iCs/>
          <w:sz w:val="22"/>
          <w:szCs w:val="22"/>
          <w:lang w:eastAsia="en-US"/>
        </w:rPr>
        <w:t>On consent, from our experience working with different local authorities, we have learnt that ‘consent’ carries different</w:t>
      </w:r>
      <w:r w:rsidRPr="000B1BC1">
        <w:rPr>
          <w:rFonts w:ascii="Calibri" w:hAnsi="Calibri" w:cs="Calibri"/>
          <w:i/>
          <w:iCs/>
          <w:sz w:val="22"/>
          <w:szCs w:val="22"/>
          <w:lang w:val="en-US"/>
        </w:rPr>
        <w:t xml:space="preserve"> meanings to social workers and information governance professionals: </w:t>
      </w:r>
    </w:p>
    <w:p w:rsidRPr="000B1BC1" w:rsidR="0061744A" w:rsidP="002D059C" w:rsidRDefault="0061744A" w14:paraId="2EA54ACE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i/>
          <w:iCs/>
          <w:sz w:val="18"/>
          <w:szCs w:val="18"/>
        </w:rPr>
      </w:pPr>
    </w:p>
    <w:p w:rsidRPr="000B1BC1" w:rsidR="0061744A" w:rsidP="002D059C" w:rsidRDefault="0061744A" w14:paraId="16339FD9" w14:textId="77777777">
      <w:pPr>
        <w:pStyle w:val="ListParagraph"/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hAnsi="Calibri" w:eastAsia="Times New Roman" w:cs="Calibri"/>
          <w:i/>
          <w:iCs/>
          <w:lang w:eastAsia="en-GB"/>
        </w:rPr>
      </w:pPr>
      <w:r w:rsidRPr="000B1BC1">
        <w:rPr>
          <w:rFonts w:ascii="Calibri" w:hAnsi="Calibri" w:eastAsia="Times New Roman" w:cs="Calibri"/>
          <w:i/>
          <w:iCs/>
          <w:lang w:val="en-US" w:eastAsia="en-GB"/>
        </w:rPr>
        <w:t>To information governance professionals, </w:t>
      </w:r>
      <w:hyperlink w:tgtFrame="_blank" w:history="1" r:id="rId8">
        <w:r w:rsidRPr="000B1BC1">
          <w:rPr>
            <w:rFonts w:ascii="Calibri" w:hAnsi="Calibri" w:eastAsia="Times New Roman" w:cs="Calibri"/>
            <w:i/>
            <w:iCs/>
            <w:color w:val="0000FF"/>
            <w:u w:val="single"/>
            <w:lang w:eastAsia="en-GB"/>
          </w:rPr>
          <w:t>consent</w:t>
        </w:r>
      </w:hyperlink>
      <w:r w:rsidRPr="000B1BC1">
        <w:rPr>
          <w:rFonts w:ascii="Calibri" w:hAnsi="Calibri" w:eastAsia="Times New Roman" w:cs="Calibri"/>
          <w:i/>
          <w:iCs/>
          <w:lang w:eastAsia="en-GB"/>
        </w:rPr>
        <w:t> is one of several possible lawful bases for processing personal data. Consent is</w:t>
      </w:r>
      <w:r w:rsidRPr="000B1BC1">
        <w:rPr>
          <w:rFonts w:ascii="Calibri" w:hAnsi="Calibri" w:eastAsia="Times New Roman" w:cs="Calibri"/>
          <w:b/>
          <w:bCs/>
          <w:i/>
          <w:iCs/>
          <w:lang w:eastAsia="en-GB"/>
        </w:rPr>
        <w:t> </w:t>
      </w:r>
      <w:r w:rsidRPr="000B1BC1">
        <w:rPr>
          <w:rFonts w:ascii="Calibri" w:hAnsi="Calibri" w:eastAsia="Times New Roman" w:cs="Calibri"/>
          <w:b/>
          <w:bCs/>
          <w:i/>
          <w:iCs/>
          <w:u w:val="single"/>
          <w:lang w:eastAsia="en-GB"/>
        </w:rPr>
        <w:t>not</w:t>
      </w:r>
      <w:r w:rsidRPr="000B1BC1">
        <w:rPr>
          <w:rFonts w:ascii="Calibri" w:hAnsi="Calibri" w:eastAsia="Times New Roman" w:cs="Calibri"/>
          <w:i/>
          <w:iCs/>
          <w:lang w:eastAsia="en-GB"/>
        </w:rPr>
        <w:t> the lawful basis for the usage of Family Context when conducting a child and family assessment. Rather, t</w:t>
      </w:r>
      <w:r w:rsidRPr="000B1BC1">
        <w:rPr>
          <w:rFonts w:ascii="Calibri" w:hAnsi="Calibri" w:eastAsia="Times New Roman" w:cs="Calibri"/>
          <w:i/>
          <w:iCs/>
          <w:lang w:val="en-US" w:eastAsia="en-GB"/>
        </w:rPr>
        <w:t>he lawful basis for usage of Family Context is </w:t>
      </w:r>
      <w:hyperlink w:tgtFrame="_blank" w:history="1" r:id="rId9">
        <w:r w:rsidRPr="000B1BC1">
          <w:rPr>
            <w:rFonts w:ascii="Calibri" w:hAnsi="Calibri" w:eastAsia="Times New Roman" w:cs="Calibri"/>
            <w:i/>
            <w:iCs/>
            <w:color w:val="0000FF"/>
            <w:u w:val="single"/>
            <w:lang w:eastAsia="en-GB"/>
          </w:rPr>
          <w:t>legal obligation</w:t>
        </w:r>
      </w:hyperlink>
      <w:r w:rsidRPr="000B1BC1">
        <w:rPr>
          <w:rFonts w:ascii="Calibri" w:hAnsi="Calibri" w:eastAsia="Times New Roman" w:cs="Calibri"/>
          <w:i/>
          <w:iCs/>
          <w:lang w:eastAsia="en-GB"/>
        </w:rPr>
        <w:t> and</w:t>
      </w:r>
      <w:r w:rsidRPr="000B1BC1">
        <w:rPr>
          <w:rFonts w:ascii="Calibri" w:hAnsi="Calibri" w:eastAsia="Times New Roman" w:cs="Calibri"/>
          <w:i/>
          <w:iCs/>
          <w:lang w:val="en-US" w:eastAsia="en-GB"/>
        </w:rPr>
        <w:t> </w:t>
      </w:r>
      <w:hyperlink w:tgtFrame="_blank" w:history="1" r:id="rId10">
        <w:r w:rsidRPr="000B1BC1">
          <w:rPr>
            <w:rFonts w:ascii="Calibri" w:hAnsi="Calibri" w:eastAsia="Times New Roman" w:cs="Calibri"/>
            <w:i/>
            <w:iCs/>
            <w:color w:val="0000FF"/>
            <w:u w:val="single"/>
            <w:lang w:eastAsia="en-GB"/>
          </w:rPr>
          <w:t>public task</w:t>
        </w:r>
      </w:hyperlink>
      <w:r w:rsidRPr="000B1BC1">
        <w:rPr>
          <w:rFonts w:ascii="Calibri" w:hAnsi="Calibri" w:eastAsia="Times New Roman" w:cs="Calibri"/>
          <w:i/>
          <w:iCs/>
          <w:lang w:eastAsia="en-GB"/>
        </w:rPr>
        <w:t>. </w:t>
      </w:r>
    </w:p>
    <w:p w:rsidRPr="007B20C1" w:rsidR="0061744A" w:rsidP="002D059C" w:rsidRDefault="0061744A" w14:paraId="55880798" w14:textId="77777777">
      <w:pPr>
        <w:spacing w:after="0" w:line="240" w:lineRule="auto"/>
        <w:ind w:left="360"/>
        <w:textAlignment w:val="baseline"/>
        <w:rPr>
          <w:rFonts w:ascii="Segoe UI" w:hAnsi="Segoe UI" w:eastAsia="Times New Roman" w:cs="Segoe UI"/>
          <w:i/>
          <w:iCs/>
          <w:sz w:val="18"/>
          <w:szCs w:val="18"/>
          <w:lang w:eastAsia="en-GB"/>
        </w:rPr>
      </w:pPr>
    </w:p>
    <w:p w:rsidRPr="000B1BC1" w:rsidR="0061744A" w:rsidP="002D059C" w:rsidRDefault="0061744A" w14:paraId="50555324" w14:textId="51F1A373">
      <w:pPr>
        <w:pStyle w:val="ListParagraph"/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Segoe UI" w:hAnsi="Segoe UI" w:eastAsia="Times New Roman" w:cs="Segoe UI"/>
          <w:i/>
          <w:iCs/>
          <w:sz w:val="18"/>
          <w:szCs w:val="18"/>
          <w:lang w:eastAsia="en-GB"/>
        </w:rPr>
      </w:pPr>
      <w:r w:rsidRPr="000B1BC1">
        <w:rPr>
          <w:rFonts w:ascii="Calibri" w:hAnsi="Calibri" w:eastAsia="Times New Roman" w:cs="Calibri"/>
          <w:i/>
          <w:iCs/>
          <w:lang w:eastAsia="en-GB"/>
        </w:rPr>
        <w:t>However, to social workers, consent is important to have before starting a child and family assessment under section 17 of the Children’s Act and </w:t>
      </w:r>
      <w:r w:rsidRPr="000B1BC1">
        <w:rPr>
          <w:rFonts w:ascii="Calibri" w:hAnsi="Calibri" w:eastAsia="Times New Roman" w:cs="Calibri"/>
          <w:i/>
          <w:iCs/>
          <w:lang w:val="en-US" w:eastAsia="en-GB"/>
        </w:rPr>
        <w:t>is an important consideration when they think about appropriate usage of Family Context. This is important as we create guidelines. </w:t>
      </w:r>
      <w:r w:rsidRPr="000B1BC1">
        <w:rPr>
          <w:rFonts w:ascii="Calibri" w:hAnsi="Calibri" w:eastAsia="Times New Roman" w:cs="Calibri"/>
          <w:i/>
          <w:iCs/>
          <w:lang w:eastAsia="en-GB"/>
        </w:rPr>
        <w:t> </w:t>
      </w:r>
    </w:p>
    <w:p w:rsidRPr="000B1BC1" w:rsidR="000B1BC1" w:rsidP="002D059C" w:rsidRDefault="000B1BC1" w14:paraId="48B5733D" w14:textId="77777777">
      <w:pPr>
        <w:spacing w:after="0" w:line="240" w:lineRule="auto"/>
        <w:ind w:left="360"/>
        <w:textAlignment w:val="baseline"/>
        <w:rPr>
          <w:rFonts w:ascii="Segoe UI" w:hAnsi="Segoe UI" w:eastAsia="Times New Roman" w:cs="Segoe UI"/>
          <w:sz w:val="18"/>
          <w:szCs w:val="18"/>
          <w:lang w:eastAsia="en-GB"/>
        </w:rPr>
      </w:pPr>
    </w:p>
    <w:p w:rsidRPr="002D059C" w:rsidR="00F01C2A" w:rsidP="002D059C" w:rsidRDefault="00F01C2A" w14:paraId="5CD9BE49" w14:textId="67A36C91">
      <w:pPr>
        <w:ind w:left="360"/>
        <w:rPr>
          <w:i/>
          <w:iCs/>
        </w:rPr>
      </w:pPr>
      <w:r w:rsidRPr="002D059C">
        <w:rPr>
          <w:i/>
          <w:iCs/>
        </w:rPr>
        <w:t xml:space="preserve">We suggest considering the following questions on consent, so that </w:t>
      </w:r>
      <w:r w:rsidRPr="002D059C" w:rsidR="000B1BC1">
        <w:rPr>
          <w:i/>
          <w:iCs/>
        </w:rPr>
        <w:t xml:space="preserve">both the service and information governance leads can build </w:t>
      </w:r>
      <w:r w:rsidRPr="002D059C" w:rsidR="00E66699">
        <w:rPr>
          <w:i/>
          <w:iCs/>
        </w:rPr>
        <w:t xml:space="preserve">a common understanding and </w:t>
      </w:r>
      <w:r w:rsidRPr="002D059C" w:rsidR="000B1BC1">
        <w:rPr>
          <w:i/>
          <w:iCs/>
        </w:rPr>
        <w:t>consensus:</w:t>
      </w:r>
    </w:p>
    <w:p w:rsidRPr="00C05CC1" w:rsidR="00220385" w:rsidP="00220385" w:rsidRDefault="00220385" w14:paraId="4733FF7A" w14:textId="147C3C9B">
      <w:pPr>
        <w:pStyle w:val="ListParagraph"/>
        <w:numPr>
          <w:ilvl w:val="0"/>
          <w:numId w:val="13"/>
        </w:numPr>
        <w:rPr>
          <w:b/>
          <w:bCs/>
        </w:rPr>
      </w:pPr>
      <w:r w:rsidRPr="00C05CC1">
        <w:t>What is the current practice on consent?</w:t>
      </w:r>
    </w:p>
    <w:p w:rsidRPr="00C05CC1" w:rsidR="00220385" w:rsidP="00220385" w:rsidRDefault="00220385" w14:paraId="7D2DC8EB" w14:textId="044E885F">
      <w:pPr>
        <w:pStyle w:val="ListParagraph"/>
        <w:numPr>
          <w:ilvl w:val="1"/>
          <w:numId w:val="13"/>
        </w:numPr>
        <w:rPr>
          <w:b/>
          <w:bCs/>
        </w:rPr>
      </w:pPr>
      <w:r w:rsidRPr="00C05CC1">
        <w:t>How do social workers obtain consent?</w:t>
      </w:r>
    </w:p>
    <w:p w:rsidRPr="00C05CC1" w:rsidR="00220385" w:rsidP="00220385" w:rsidRDefault="00220385" w14:paraId="6644D566" w14:textId="65608500">
      <w:pPr>
        <w:pStyle w:val="ListParagraph"/>
        <w:numPr>
          <w:ilvl w:val="1"/>
          <w:numId w:val="13"/>
        </w:numPr>
        <w:rPr>
          <w:b/>
          <w:bCs/>
        </w:rPr>
      </w:pPr>
      <w:r w:rsidRPr="00C05CC1">
        <w:t>Who do social workers obtain consent from?</w:t>
      </w:r>
    </w:p>
    <w:p w:rsidRPr="00C05CC1" w:rsidR="00220385" w:rsidP="00220385" w:rsidRDefault="00220385" w14:paraId="0FC3B186" w14:textId="072E716F">
      <w:pPr>
        <w:pStyle w:val="ListParagraph"/>
        <w:numPr>
          <w:ilvl w:val="1"/>
          <w:numId w:val="13"/>
        </w:numPr>
        <w:rPr>
          <w:b/>
          <w:bCs/>
        </w:rPr>
      </w:pPr>
      <w:r w:rsidRPr="00C05CC1">
        <w:t>What does consent cover</w:t>
      </w:r>
      <w:r w:rsidR="00A63A83">
        <w:t xml:space="preserve"> (e.g. consent to conduct a social work assessment)</w:t>
      </w:r>
      <w:r w:rsidRPr="00C05CC1">
        <w:t>?</w:t>
      </w:r>
    </w:p>
    <w:p w:rsidRPr="00C05CC1" w:rsidR="00220385" w:rsidP="00220385" w:rsidRDefault="00220385" w14:paraId="073CD6BB" w14:textId="75C022B3">
      <w:pPr>
        <w:pStyle w:val="ListParagraph"/>
        <w:numPr>
          <w:ilvl w:val="1"/>
          <w:numId w:val="13"/>
        </w:numPr>
        <w:rPr>
          <w:b/>
          <w:bCs/>
        </w:rPr>
      </w:pPr>
      <w:r w:rsidRPr="00C05CC1">
        <w:t xml:space="preserve">What are parents/carers told regarding </w:t>
      </w:r>
      <w:r w:rsidR="00203164">
        <w:t xml:space="preserve">what they are </w:t>
      </w:r>
      <w:r w:rsidRPr="00C05CC1">
        <w:t>consent</w:t>
      </w:r>
      <w:r w:rsidR="00203164">
        <w:t>ing to</w:t>
      </w:r>
      <w:r w:rsidRPr="00C05CC1">
        <w:t>?</w:t>
      </w:r>
    </w:p>
    <w:p w:rsidRPr="00C05CC1" w:rsidR="00220385" w:rsidP="00220385" w:rsidRDefault="00220385" w14:paraId="18918915" w14:textId="48F348BE">
      <w:pPr>
        <w:pStyle w:val="ListParagraph"/>
        <w:numPr>
          <w:ilvl w:val="0"/>
          <w:numId w:val="13"/>
        </w:numPr>
        <w:rPr>
          <w:b/>
          <w:bCs/>
        </w:rPr>
      </w:pPr>
      <w:r w:rsidRPr="00C05CC1">
        <w:t xml:space="preserve">At what point, if any, </w:t>
      </w:r>
      <w:r w:rsidR="00203164">
        <w:t xml:space="preserve">should </w:t>
      </w:r>
      <w:r w:rsidRPr="00C05CC1">
        <w:t xml:space="preserve">consent </w:t>
      </w:r>
      <w:r w:rsidR="00203164">
        <w:t xml:space="preserve">be </w:t>
      </w:r>
      <w:r w:rsidRPr="00C05CC1">
        <w:t xml:space="preserve">required for </w:t>
      </w:r>
      <w:r w:rsidR="00203164">
        <w:t xml:space="preserve">a social worker to use Family Context in </w:t>
      </w:r>
      <w:r w:rsidRPr="00C05CC1">
        <w:t>section 47 cases?</w:t>
      </w:r>
    </w:p>
    <w:p w:rsidRPr="00117086" w:rsidR="00642E42" w:rsidP="00642E42" w:rsidRDefault="00220385" w14:paraId="4F3944FD" w14:textId="7DA08A53">
      <w:pPr>
        <w:pStyle w:val="ListParagraph"/>
        <w:numPr>
          <w:ilvl w:val="0"/>
          <w:numId w:val="13"/>
        </w:numPr>
        <w:rPr>
          <w:b/>
          <w:bCs/>
        </w:rPr>
      </w:pPr>
      <w:r w:rsidRPr="00C05CC1">
        <w:t xml:space="preserve">At what point </w:t>
      </w:r>
      <w:r w:rsidR="00203164">
        <w:t>should</w:t>
      </w:r>
      <w:r w:rsidRPr="00C05CC1">
        <w:t xml:space="preserve"> consent </w:t>
      </w:r>
      <w:r w:rsidR="00203164">
        <w:t xml:space="preserve">be </w:t>
      </w:r>
      <w:r w:rsidRPr="00C05CC1">
        <w:t xml:space="preserve">required for </w:t>
      </w:r>
      <w:r w:rsidR="00203164">
        <w:t xml:space="preserve">a social worker to use Family context in </w:t>
      </w:r>
      <w:r w:rsidRPr="00C05CC1">
        <w:t>section 17 cases?</w:t>
      </w:r>
    </w:p>
    <w:p w:rsidRPr="00C05CC1" w:rsidR="00117086" w:rsidP="00117086" w:rsidRDefault="00117086" w14:paraId="09C6DF0D" w14:textId="77777777">
      <w:pPr>
        <w:pStyle w:val="ListParagraph"/>
        <w:rPr>
          <w:b/>
          <w:bCs/>
        </w:rPr>
      </w:pPr>
    </w:p>
    <w:p w:rsidR="00117086" w:rsidP="00203164" w:rsidRDefault="00642E42" w14:paraId="15D59DF2" w14:textId="139C2352">
      <w:pPr>
        <w:pStyle w:val="ListParagraph"/>
        <w:numPr>
          <w:ilvl w:val="0"/>
          <w:numId w:val="15"/>
        </w:numPr>
        <w:rPr>
          <w:b/>
          <w:bCs/>
        </w:rPr>
      </w:pPr>
      <w:r w:rsidRPr="00117086">
        <w:rPr>
          <w:b/>
          <w:bCs/>
        </w:rPr>
        <w:t>Searching and selecting individuals</w:t>
      </w:r>
    </w:p>
    <w:p w:rsidRPr="00203164" w:rsidR="00203164" w:rsidP="00203164" w:rsidRDefault="00203164" w14:paraId="72BCB423" w14:textId="77777777">
      <w:pPr>
        <w:pStyle w:val="ListParagraph"/>
        <w:ind w:left="360"/>
        <w:rPr>
          <w:b/>
          <w:bCs/>
        </w:rPr>
      </w:pPr>
    </w:p>
    <w:p w:rsidRPr="00C05CC1" w:rsidR="00220385" w:rsidP="005E072F" w:rsidRDefault="00220385" w14:paraId="5DDAA4E6" w14:textId="78D3BA70">
      <w:pPr>
        <w:pStyle w:val="ListParagraph"/>
        <w:numPr>
          <w:ilvl w:val="0"/>
          <w:numId w:val="12"/>
        </w:numPr>
        <w:rPr>
          <w:rStyle w:val="normaltextrun"/>
          <w:b/>
          <w:bCs/>
        </w:rPr>
      </w:pPr>
      <w:r w:rsidRPr="00C05CC1">
        <w:rPr>
          <w:rStyle w:val="normaltextrun"/>
        </w:rPr>
        <w:t xml:space="preserve">Is it ok for social workers to search </w:t>
      </w:r>
      <w:r w:rsidRPr="00C05CC1" w:rsidR="005E072F">
        <w:rPr>
          <w:rStyle w:val="normaltextrun"/>
        </w:rPr>
        <w:t xml:space="preserve">for any child / individual they </w:t>
      </w:r>
      <w:r w:rsidR="00203164">
        <w:rPr>
          <w:rStyle w:val="normaltextrun"/>
        </w:rPr>
        <w:t xml:space="preserve">judge </w:t>
      </w:r>
      <w:r w:rsidRPr="00C05CC1" w:rsidR="005E072F">
        <w:rPr>
          <w:rStyle w:val="normaltextrun"/>
        </w:rPr>
        <w:t>relevant to a case?</w:t>
      </w:r>
    </w:p>
    <w:p w:rsidRPr="002D059C" w:rsidR="004C3BCC" w:rsidP="00C652D3" w:rsidRDefault="008F0F8B" w14:paraId="1916C07A" w14:textId="3E7B39DB">
      <w:pPr>
        <w:pStyle w:val="ListParagraph"/>
        <w:numPr>
          <w:ilvl w:val="0"/>
          <w:numId w:val="12"/>
        </w:numPr>
        <w:rPr>
          <w:rStyle w:val="normaltextrun"/>
          <w:b/>
          <w:bCs/>
        </w:rPr>
      </w:pPr>
      <w:r w:rsidRPr="00C05CC1">
        <w:rPr>
          <w:rStyle w:val="normaltextrun"/>
          <w:rFonts w:ascii="Calibri" w:hAnsi="Calibri" w:cs="Calibri"/>
          <w:color w:val="000000"/>
          <w:shd w:val="clear" w:color="auto" w:fill="FFFFFF"/>
        </w:rPr>
        <w:t>Is there a</w:t>
      </w:r>
      <w:r w:rsidRPr="00C05CC1" w:rsidR="004C3BC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concern if a social worker selects the </w:t>
      </w:r>
      <w:r w:rsidRPr="00C05CC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wrong </w:t>
      </w:r>
      <w:r w:rsidRPr="00C05CC1" w:rsidR="004C3BCC">
        <w:rPr>
          <w:rStyle w:val="normaltextrun"/>
          <w:rFonts w:ascii="Calibri" w:hAnsi="Calibri" w:cs="Calibri"/>
          <w:color w:val="000000"/>
          <w:shd w:val="clear" w:color="auto" w:fill="FFFFFF"/>
        </w:rPr>
        <w:t>individual</w:t>
      </w:r>
      <w:r w:rsidRPr="00C05CC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Pr="00C05CC1" w:rsidR="004C3BC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from the </w:t>
      </w:r>
      <w:r w:rsidRPr="00C05CC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search </w:t>
      </w:r>
      <w:r w:rsidRPr="00C05CC1" w:rsidR="004C3BCC">
        <w:rPr>
          <w:rStyle w:val="normaltextrun"/>
          <w:rFonts w:ascii="Calibri" w:hAnsi="Calibri" w:cs="Calibri"/>
          <w:color w:val="000000"/>
          <w:shd w:val="clear" w:color="auto" w:fill="FFFFFF"/>
        </w:rPr>
        <w:t>results</w:t>
      </w:r>
      <w:r w:rsidR="0020316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and views their details</w:t>
      </w:r>
      <w:r w:rsidRPr="00C05CC1" w:rsidR="004C3BCC">
        <w:rPr>
          <w:rStyle w:val="normaltextrun"/>
          <w:rFonts w:ascii="Calibri" w:hAnsi="Calibri" w:cs="Calibri"/>
          <w:color w:val="000000"/>
          <w:shd w:val="clear" w:color="auto" w:fill="FFFFFF"/>
        </w:rPr>
        <w:t>?</w:t>
      </w:r>
    </w:p>
    <w:p w:rsidRPr="00C05CC1" w:rsidR="002D059C" w:rsidP="002D059C" w:rsidRDefault="002D059C" w14:paraId="5BC5123C" w14:textId="77777777">
      <w:pPr>
        <w:pStyle w:val="ListParagraph"/>
        <w:rPr>
          <w:rStyle w:val="normaltextrun"/>
          <w:b/>
          <w:bCs/>
        </w:rPr>
      </w:pPr>
    </w:p>
    <w:p w:rsidRPr="002D059C" w:rsidR="00642E42" w:rsidP="002D059C" w:rsidRDefault="00642E42" w14:paraId="26030E13" w14:textId="3259604A">
      <w:pPr>
        <w:pStyle w:val="ListParagraph"/>
        <w:numPr>
          <w:ilvl w:val="0"/>
          <w:numId w:val="15"/>
        </w:numPr>
        <w:rPr>
          <w:b/>
          <w:bCs/>
        </w:rPr>
      </w:pPr>
      <w:r w:rsidRPr="002D059C">
        <w:rPr>
          <w:b/>
          <w:bCs/>
        </w:rPr>
        <w:t xml:space="preserve">Linking relevant individuals in the Case Management System and viewing those individuals on Family Context </w:t>
      </w:r>
      <w:r w:rsidRPr="002D059C" w:rsidR="005E072F">
        <w:t>(only applicable to user journey 2)</w:t>
      </w:r>
    </w:p>
    <w:p w:rsidRPr="00C05CC1" w:rsidR="002D059C" w:rsidP="002D059C" w:rsidRDefault="002D059C" w14:paraId="6A402ED5" w14:textId="77777777">
      <w:pPr>
        <w:pStyle w:val="ListParagraph"/>
        <w:ind w:left="360"/>
      </w:pPr>
    </w:p>
    <w:p w:rsidR="00647E7D" w:rsidP="00293A89" w:rsidRDefault="00C458B1" w14:paraId="3C987705" w14:textId="77777777">
      <w:pPr>
        <w:pStyle w:val="ListParagraph"/>
        <w:numPr>
          <w:ilvl w:val="0"/>
          <w:numId w:val="10"/>
        </w:numPr>
      </w:pPr>
      <w:r w:rsidRPr="00C05CC1">
        <w:t xml:space="preserve">What is the current decision-making process to link someone to the child in the Case Management System? </w:t>
      </w:r>
    </w:p>
    <w:p w:rsidRPr="00C05CC1" w:rsidR="00C458B1" w:rsidP="00647E7D" w:rsidRDefault="00293A89" w14:paraId="59C43FED" w14:textId="01693810">
      <w:pPr>
        <w:pStyle w:val="ListParagraph"/>
        <w:numPr>
          <w:ilvl w:val="1"/>
          <w:numId w:val="10"/>
        </w:numPr>
      </w:pPr>
      <w:r>
        <w:t>Who decides, and a</w:t>
      </w:r>
      <w:r w:rsidRPr="00C05CC1" w:rsidR="00C458B1">
        <w:t xml:space="preserve">re there criteria to decide whether the </w:t>
      </w:r>
      <w:r>
        <w:t>individual</w:t>
      </w:r>
      <w:r w:rsidRPr="00C05CC1" w:rsidR="00C458B1">
        <w:t xml:space="preserve"> is relevant to the case? </w:t>
      </w:r>
    </w:p>
    <w:p w:rsidR="00647E7D" w:rsidP="001A7C33" w:rsidRDefault="00293A89" w14:paraId="1032A178" w14:textId="77777777">
      <w:pPr>
        <w:pStyle w:val="ListParagraph"/>
        <w:numPr>
          <w:ilvl w:val="0"/>
          <w:numId w:val="11"/>
        </w:numPr>
      </w:pPr>
      <w:r>
        <w:t>Should</w:t>
      </w:r>
      <w:r w:rsidRPr="00C05CC1" w:rsidR="00C458B1">
        <w:t xml:space="preserve"> </w:t>
      </w:r>
      <w:r>
        <w:t>Family Context</w:t>
      </w:r>
      <w:r w:rsidRPr="00C05CC1" w:rsidR="00C458B1">
        <w:t xml:space="preserve"> to show the service involvement information for every person that is linked to the child in the Case Management System? </w:t>
      </w:r>
    </w:p>
    <w:p w:rsidR="00C458B1" w:rsidP="00647E7D" w:rsidRDefault="008F0F8B" w14:paraId="5FE563FE" w14:textId="012F573E">
      <w:pPr>
        <w:pStyle w:val="ListParagraph"/>
        <w:numPr>
          <w:ilvl w:val="1"/>
          <w:numId w:val="11"/>
        </w:numPr>
      </w:pPr>
      <w:r w:rsidRPr="00C05CC1">
        <w:t xml:space="preserve">Are there any individuals linked </w:t>
      </w:r>
      <w:r w:rsidRPr="00C05CC1" w:rsidR="00C458B1">
        <w:t>to the child in the Case Management System</w:t>
      </w:r>
      <w:r w:rsidRPr="00C05CC1">
        <w:t xml:space="preserve"> that </w:t>
      </w:r>
      <w:r w:rsidR="008B092A">
        <w:t xml:space="preserve">it </w:t>
      </w:r>
      <w:r w:rsidRPr="00C05CC1" w:rsidR="00C458B1">
        <w:t xml:space="preserve">would be inappropriate to </w:t>
      </w:r>
      <w:r w:rsidR="00647E7D">
        <w:t>show information on</w:t>
      </w:r>
      <w:r w:rsidRPr="00C05CC1" w:rsidR="00C458B1">
        <w:t xml:space="preserve"> in </w:t>
      </w:r>
      <w:r w:rsidR="008B092A">
        <w:t>Family Context</w:t>
      </w:r>
      <w:r w:rsidRPr="00C05CC1" w:rsidR="00C458B1">
        <w:t>?</w:t>
      </w:r>
    </w:p>
    <w:p w:rsidRPr="00C05CC1" w:rsidR="002D059C" w:rsidP="002D059C" w:rsidRDefault="002D059C" w14:paraId="72B59FC0" w14:textId="77777777">
      <w:pPr>
        <w:pStyle w:val="ListParagraph"/>
      </w:pPr>
    </w:p>
    <w:p w:rsidRPr="002D059C" w:rsidR="00642E42" w:rsidP="002D059C" w:rsidRDefault="00642E42" w14:paraId="5E3FC7EA" w14:textId="082ED823">
      <w:pPr>
        <w:pStyle w:val="ListParagraph"/>
        <w:numPr>
          <w:ilvl w:val="0"/>
          <w:numId w:val="15"/>
        </w:numPr>
        <w:rPr>
          <w:b/>
          <w:bCs/>
        </w:rPr>
      </w:pPr>
      <w:r w:rsidRPr="002D059C">
        <w:rPr>
          <w:b/>
          <w:bCs/>
        </w:rPr>
        <w:t xml:space="preserve">Viewing individuals’ service involvement </w:t>
      </w:r>
      <w:r w:rsidRPr="007D41ED">
        <w:rPr>
          <w:b/>
          <w:bCs/>
          <w:u w:val="single"/>
        </w:rPr>
        <w:t>flags</w:t>
      </w:r>
    </w:p>
    <w:p w:rsidRPr="002D059C" w:rsidR="002D059C" w:rsidP="002D059C" w:rsidRDefault="002D059C" w14:paraId="21C11AD3" w14:textId="77777777">
      <w:pPr>
        <w:pStyle w:val="ListParagraph"/>
        <w:ind w:left="360"/>
        <w:rPr>
          <w:b/>
          <w:bCs/>
        </w:rPr>
      </w:pPr>
    </w:p>
    <w:p w:rsidRPr="00C05CC1" w:rsidR="00C458B1" w:rsidP="00C458B1" w:rsidRDefault="00642E42" w14:paraId="6B274B70" w14:textId="77777777">
      <w:pPr>
        <w:pStyle w:val="ListParagraph"/>
        <w:numPr>
          <w:ilvl w:val="0"/>
          <w:numId w:val="3"/>
        </w:numPr>
      </w:pPr>
      <w:r w:rsidRPr="00C05CC1">
        <w:t xml:space="preserve">When should social workers be able to see the screen with service involvement </w:t>
      </w:r>
      <w:r w:rsidRPr="0030775A">
        <w:rPr>
          <w:u w:val="single"/>
        </w:rPr>
        <w:t>flags</w:t>
      </w:r>
      <w:r w:rsidRPr="00C05CC1">
        <w:t>?</w:t>
      </w:r>
    </w:p>
    <w:p w:rsidRPr="00C05CC1" w:rsidR="00C458B1" w:rsidP="00C458B1" w:rsidRDefault="00C458B1" w14:paraId="7F4290FD" w14:textId="197DC0EF">
      <w:pPr>
        <w:pStyle w:val="ListParagraph"/>
        <w:numPr>
          <w:ilvl w:val="1"/>
          <w:numId w:val="3"/>
        </w:numPr>
      </w:pPr>
      <w:r w:rsidRPr="00C05CC1">
        <w:rPr>
          <w:rFonts w:ascii="Calibri" w:hAnsi="Calibri" w:eastAsia="Times New Roman" w:cs="Calibri"/>
          <w:lang w:eastAsia="en-GB"/>
        </w:rPr>
        <w:t>Before/after visit family</w:t>
      </w:r>
    </w:p>
    <w:p w:rsidRPr="00C05CC1" w:rsidR="00C458B1" w:rsidP="00C458B1" w:rsidRDefault="00C458B1" w14:paraId="51B278B9" w14:textId="068BFB5F">
      <w:pPr>
        <w:pStyle w:val="ListParagraph"/>
        <w:numPr>
          <w:ilvl w:val="1"/>
          <w:numId w:val="3"/>
        </w:numPr>
      </w:pPr>
      <w:r w:rsidRPr="00C05CC1">
        <w:rPr>
          <w:rFonts w:ascii="Calibri" w:hAnsi="Calibri" w:eastAsia="Times New Roman" w:cs="Calibri"/>
          <w:lang w:eastAsia="en-GB"/>
        </w:rPr>
        <w:t>With or without consent from parent</w:t>
      </w:r>
      <w:r w:rsidR="007D41ED">
        <w:rPr>
          <w:rFonts w:ascii="Calibri" w:hAnsi="Calibri" w:eastAsia="Times New Roman" w:cs="Calibri"/>
          <w:lang w:eastAsia="en-GB"/>
        </w:rPr>
        <w:t>/caregiver</w:t>
      </w:r>
      <w:r w:rsidRPr="00C05CC1">
        <w:rPr>
          <w:rFonts w:ascii="Calibri" w:hAnsi="Calibri" w:eastAsia="Times New Roman" w:cs="Calibri"/>
          <w:lang w:eastAsia="en-GB"/>
        </w:rPr>
        <w:t xml:space="preserve"> </w:t>
      </w:r>
      <w:r w:rsidR="008979EE">
        <w:rPr>
          <w:rFonts w:ascii="Calibri" w:hAnsi="Calibri" w:eastAsia="Times New Roman" w:cs="Calibri"/>
          <w:lang w:eastAsia="en-GB"/>
        </w:rPr>
        <w:t>[to conduct an assessment]</w:t>
      </w:r>
      <w:r w:rsidRPr="00C05CC1">
        <w:rPr>
          <w:rFonts w:ascii="Calibri" w:hAnsi="Calibri" w:eastAsia="Times New Roman" w:cs="Calibri"/>
          <w:lang w:eastAsia="en-GB"/>
        </w:rPr>
        <w:t> </w:t>
      </w:r>
    </w:p>
    <w:p w:rsidRPr="002D059C" w:rsidR="00C458B1" w:rsidP="00C458B1" w:rsidRDefault="00C458B1" w14:paraId="64CB49D9" w14:textId="06FD8AC6">
      <w:pPr>
        <w:pStyle w:val="ListParagraph"/>
        <w:numPr>
          <w:ilvl w:val="1"/>
          <w:numId w:val="3"/>
        </w:numPr>
      </w:pPr>
      <w:r w:rsidRPr="00C05CC1">
        <w:rPr>
          <w:rFonts w:ascii="Calibri" w:hAnsi="Calibri" w:eastAsia="Times New Roman" w:cs="Calibri"/>
          <w:lang w:eastAsia="en-GB"/>
        </w:rPr>
        <w:t xml:space="preserve">With or without consent from </w:t>
      </w:r>
      <w:r w:rsidR="003B1866">
        <w:rPr>
          <w:rFonts w:ascii="Calibri" w:hAnsi="Calibri" w:eastAsia="Times New Roman" w:cs="Calibri"/>
          <w:lang w:eastAsia="en-GB"/>
        </w:rPr>
        <w:t>the</w:t>
      </w:r>
      <w:r w:rsidRPr="00C05CC1">
        <w:rPr>
          <w:rFonts w:ascii="Calibri" w:hAnsi="Calibri" w:eastAsia="Times New Roman" w:cs="Calibri"/>
          <w:lang w:eastAsia="en-GB"/>
        </w:rPr>
        <w:t xml:space="preserve"> specific individual </w:t>
      </w:r>
      <w:r w:rsidR="003B1866">
        <w:rPr>
          <w:rFonts w:ascii="Calibri" w:hAnsi="Calibri" w:eastAsia="Times New Roman" w:cs="Calibri"/>
          <w:lang w:eastAsia="en-GB"/>
        </w:rPr>
        <w:t>being viewed</w:t>
      </w:r>
    </w:p>
    <w:p w:rsidRPr="00C05CC1" w:rsidR="002D059C" w:rsidP="002D059C" w:rsidRDefault="002D059C" w14:paraId="163929FC" w14:textId="77777777">
      <w:pPr>
        <w:pStyle w:val="ListParagraph"/>
        <w:ind w:left="1440"/>
      </w:pPr>
    </w:p>
    <w:p w:rsidRPr="002D059C" w:rsidR="00642E42" w:rsidP="002D059C" w:rsidRDefault="00642E42" w14:paraId="4FE5541E" w14:textId="480C448B">
      <w:pPr>
        <w:pStyle w:val="ListParagraph"/>
        <w:numPr>
          <w:ilvl w:val="0"/>
          <w:numId w:val="15"/>
        </w:numPr>
        <w:rPr>
          <w:b/>
          <w:bCs/>
        </w:rPr>
      </w:pPr>
      <w:r w:rsidRPr="002D059C">
        <w:rPr>
          <w:b/>
          <w:bCs/>
        </w:rPr>
        <w:t xml:space="preserve">Viewing individuals’ service involvement </w:t>
      </w:r>
      <w:r w:rsidRPr="007D41ED">
        <w:rPr>
          <w:b/>
          <w:bCs/>
          <w:u w:val="single"/>
        </w:rPr>
        <w:t>details</w:t>
      </w:r>
    </w:p>
    <w:p w:rsidRPr="002D059C" w:rsidR="002D059C" w:rsidP="002D059C" w:rsidRDefault="002D059C" w14:paraId="74930AA5" w14:textId="77777777">
      <w:pPr>
        <w:pStyle w:val="ListParagraph"/>
        <w:ind w:left="360"/>
        <w:rPr>
          <w:b/>
          <w:bCs/>
        </w:rPr>
      </w:pPr>
    </w:p>
    <w:p w:rsidRPr="00C05CC1" w:rsidR="000458A4" w:rsidP="000458A4" w:rsidRDefault="000458A4" w14:paraId="092EB320" w14:textId="65BCF639">
      <w:pPr>
        <w:pStyle w:val="ListParagraph"/>
        <w:numPr>
          <w:ilvl w:val="0"/>
          <w:numId w:val="3"/>
        </w:numPr>
      </w:pPr>
      <w:r w:rsidRPr="00C05CC1">
        <w:t xml:space="preserve">When should social workers be able to see the screen with service involvement </w:t>
      </w:r>
      <w:r w:rsidRPr="007D41ED">
        <w:rPr>
          <w:u w:val="single"/>
        </w:rPr>
        <w:t>details</w:t>
      </w:r>
      <w:r w:rsidRPr="00C05CC1">
        <w:t>?</w:t>
      </w:r>
    </w:p>
    <w:p w:rsidRPr="00C05CC1" w:rsidR="00C458B1" w:rsidP="00C458B1" w:rsidRDefault="00C458B1" w14:paraId="5CA94407" w14:textId="77777777">
      <w:pPr>
        <w:pStyle w:val="ListParagraph"/>
        <w:numPr>
          <w:ilvl w:val="1"/>
          <w:numId w:val="3"/>
        </w:numPr>
      </w:pPr>
      <w:r w:rsidRPr="00C05CC1">
        <w:rPr>
          <w:rFonts w:ascii="Calibri" w:hAnsi="Calibri" w:eastAsia="Times New Roman" w:cs="Calibri"/>
          <w:lang w:eastAsia="en-GB"/>
        </w:rPr>
        <w:t>Before/after visit family </w:t>
      </w:r>
    </w:p>
    <w:p w:rsidRPr="00C05CC1" w:rsidR="00C458B1" w:rsidP="00C458B1" w:rsidRDefault="00C458B1" w14:paraId="64A3ABC3" w14:textId="0386A0B7">
      <w:pPr>
        <w:pStyle w:val="ListParagraph"/>
        <w:numPr>
          <w:ilvl w:val="1"/>
          <w:numId w:val="3"/>
        </w:numPr>
      </w:pPr>
      <w:r w:rsidRPr="00C05CC1">
        <w:rPr>
          <w:rFonts w:ascii="Calibri" w:hAnsi="Calibri" w:eastAsia="Times New Roman" w:cs="Calibri"/>
          <w:lang w:eastAsia="en-GB"/>
        </w:rPr>
        <w:t xml:space="preserve">With or without consent from </w:t>
      </w:r>
      <w:r w:rsidRPr="00C05CC1" w:rsidR="007D41ED">
        <w:rPr>
          <w:rFonts w:ascii="Calibri" w:hAnsi="Calibri" w:eastAsia="Times New Roman" w:cs="Calibri"/>
          <w:lang w:eastAsia="en-GB"/>
        </w:rPr>
        <w:t>parent</w:t>
      </w:r>
      <w:r w:rsidR="007D41ED">
        <w:rPr>
          <w:rFonts w:ascii="Calibri" w:hAnsi="Calibri" w:eastAsia="Times New Roman" w:cs="Calibri"/>
          <w:lang w:eastAsia="en-GB"/>
        </w:rPr>
        <w:t>/caregiver</w:t>
      </w:r>
      <w:r w:rsidRPr="00C05CC1" w:rsidR="007D41ED">
        <w:rPr>
          <w:rFonts w:ascii="Calibri" w:hAnsi="Calibri" w:eastAsia="Times New Roman" w:cs="Calibri"/>
          <w:lang w:eastAsia="en-GB"/>
        </w:rPr>
        <w:t xml:space="preserve"> </w:t>
      </w:r>
      <w:r w:rsidR="007D41ED">
        <w:rPr>
          <w:rFonts w:ascii="Calibri" w:hAnsi="Calibri" w:eastAsia="Times New Roman" w:cs="Calibri"/>
          <w:lang w:eastAsia="en-GB"/>
        </w:rPr>
        <w:t>[to conduct an assessment]</w:t>
      </w:r>
      <w:r w:rsidRPr="00C05CC1" w:rsidR="007D41ED">
        <w:rPr>
          <w:rFonts w:ascii="Calibri" w:hAnsi="Calibri" w:eastAsia="Times New Roman" w:cs="Calibri"/>
          <w:lang w:eastAsia="en-GB"/>
        </w:rPr>
        <w:t> </w:t>
      </w:r>
    </w:p>
    <w:p w:rsidRPr="002D059C" w:rsidR="00642E42" w:rsidP="00642E42" w:rsidRDefault="00C458B1" w14:paraId="4F8D90B8" w14:textId="35F4CCD3">
      <w:pPr>
        <w:pStyle w:val="ListParagraph"/>
        <w:numPr>
          <w:ilvl w:val="1"/>
          <w:numId w:val="3"/>
        </w:numPr>
      </w:pPr>
      <w:r w:rsidRPr="00C05CC1">
        <w:rPr>
          <w:rFonts w:ascii="Calibri" w:hAnsi="Calibri" w:eastAsia="Times New Roman" w:cs="Calibri"/>
          <w:lang w:eastAsia="en-GB"/>
        </w:rPr>
        <w:t xml:space="preserve">With or without consent from </w:t>
      </w:r>
      <w:r w:rsidR="007D41ED">
        <w:rPr>
          <w:rFonts w:ascii="Calibri" w:hAnsi="Calibri" w:eastAsia="Times New Roman" w:cs="Calibri"/>
          <w:lang w:eastAsia="en-GB"/>
        </w:rPr>
        <w:t>the</w:t>
      </w:r>
      <w:r w:rsidRPr="00C05CC1" w:rsidR="007D41ED">
        <w:rPr>
          <w:rFonts w:ascii="Calibri" w:hAnsi="Calibri" w:eastAsia="Times New Roman" w:cs="Calibri"/>
          <w:lang w:eastAsia="en-GB"/>
        </w:rPr>
        <w:t xml:space="preserve"> specific individual </w:t>
      </w:r>
      <w:r w:rsidR="007D41ED">
        <w:rPr>
          <w:rFonts w:ascii="Calibri" w:hAnsi="Calibri" w:eastAsia="Times New Roman" w:cs="Calibri"/>
          <w:lang w:eastAsia="en-GB"/>
        </w:rPr>
        <w:t>being viewed</w:t>
      </w:r>
    </w:p>
    <w:p w:rsidRPr="00C05CC1" w:rsidR="002D059C" w:rsidP="002D059C" w:rsidRDefault="002D059C" w14:paraId="1D2617AE" w14:textId="77777777">
      <w:pPr>
        <w:pStyle w:val="ListParagraph"/>
        <w:ind w:left="1440"/>
      </w:pPr>
    </w:p>
    <w:p w:rsidRPr="002D059C" w:rsidR="002D059C" w:rsidP="002D059C" w:rsidRDefault="00642E42" w14:paraId="3875155E" w14:textId="50213E9E">
      <w:pPr>
        <w:pStyle w:val="ListParagraph"/>
        <w:numPr>
          <w:ilvl w:val="0"/>
          <w:numId w:val="15"/>
        </w:numPr>
        <w:rPr>
          <w:b/>
          <w:bCs/>
        </w:rPr>
      </w:pPr>
      <w:r w:rsidRPr="002D059C">
        <w:rPr>
          <w:b/>
          <w:bCs/>
        </w:rPr>
        <w:t>Using service involvement information</w:t>
      </w:r>
    </w:p>
    <w:p w:rsidRPr="00C05CC1" w:rsidR="000458A4" w:rsidP="000458A4" w:rsidRDefault="000458A4" w14:paraId="698F2442" w14:textId="584BAF6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C05CC1">
        <w:rPr>
          <w:rStyle w:val="normaltextrun"/>
          <w:rFonts w:ascii="Calibri" w:hAnsi="Calibri" w:cs="Calibri"/>
          <w:sz w:val="22"/>
          <w:szCs w:val="22"/>
        </w:rPr>
        <w:t>Which of the following activities do you expect social workers to do once they have viewed service involvement information in the tool:</w:t>
      </w:r>
    </w:p>
    <w:p w:rsidRPr="00C05CC1" w:rsidR="000458A4" w:rsidP="000458A4" w:rsidRDefault="000458A4" w14:paraId="35039B36" w14:textId="7777777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C05CC1">
        <w:rPr>
          <w:rStyle w:val="normaltextrun"/>
          <w:rFonts w:ascii="Calibri" w:hAnsi="Calibri" w:cs="Calibri"/>
          <w:sz w:val="22"/>
          <w:szCs w:val="22"/>
        </w:rPr>
        <w:t>Call services</w:t>
      </w:r>
      <w:r w:rsidRPr="00C05CC1">
        <w:rPr>
          <w:rStyle w:val="eop"/>
          <w:rFonts w:ascii="Calibri" w:hAnsi="Calibri" w:cs="Calibri"/>
          <w:sz w:val="22"/>
          <w:szCs w:val="22"/>
        </w:rPr>
        <w:t> </w:t>
      </w:r>
    </w:p>
    <w:p w:rsidRPr="00C05CC1" w:rsidR="000458A4" w:rsidP="000458A4" w:rsidRDefault="000458A4" w14:paraId="78ABAF85" w14:textId="7CB642B8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C05CC1">
        <w:rPr>
          <w:rStyle w:val="normaltextrun"/>
          <w:rFonts w:ascii="Calibri" w:hAnsi="Calibri" w:cs="Calibri"/>
          <w:sz w:val="22"/>
          <w:szCs w:val="22"/>
        </w:rPr>
        <w:t>Call relevant individuals</w:t>
      </w:r>
      <w:r w:rsidRPr="00C05CC1">
        <w:rPr>
          <w:rStyle w:val="eop"/>
          <w:rFonts w:ascii="Calibri" w:hAnsi="Calibri" w:cs="Calibri"/>
          <w:sz w:val="22"/>
          <w:szCs w:val="22"/>
        </w:rPr>
        <w:t> (e.g. those they have searched for or are linked to the child)</w:t>
      </w:r>
    </w:p>
    <w:p w:rsidRPr="00C05CC1" w:rsidR="000458A4" w:rsidP="000458A4" w:rsidRDefault="000458A4" w14:paraId="1B2F13EF" w14:textId="4C77F41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C05CC1">
        <w:rPr>
          <w:rStyle w:val="normaltextrun"/>
          <w:rFonts w:ascii="Calibri" w:hAnsi="Calibri" w:cs="Calibri"/>
          <w:sz w:val="22"/>
          <w:szCs w:val="22"/>
        </w:rPr>
        <w:t>Share information with other services working with family</w:t>
      </w:r>
      <w:r w:rsidRPr="00C05CC1">
        <w:rPr>
          <w:rStyle w:val="eop"/>
          <w:rFonts w:ascii="Calibri" w:hAnsi="Calibri" w:cs="Calibri"/>
          <w:sz w:val="22"/>
          <w:szCs w:val="22"/>
        </w:rPr>
        <w:t> </w:t>
      </w:r>
    </w:p>
    <w:p w:rsidR="00642E42" w:rsidP="000458A4" w:rsidRDefault="000458A4" w14:paraId="620F5A59" w14:textId="15173551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05CC1">
        <w:rPr>
          <w:rStyle w:val="normaltextrun"/>
          <w:rFonts w:ascii="Calibri" w:hAnsi="Calibri" w:cs="Calibri"/>
          <w:sz w:val="22"/>
          <w:szCs w:val="22"/>
        </w:rPr>
        <w:t>Record service involvement information in the Case Management System</w:t>
      </w:r>
    </w:p>
    <w:p w:rsidRPr="00C05CC1" w:rsidR="002D059C" w:rsidP="002D059C" w:rsidRDefault="002D059C" w14:paraId="0C89E044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:rsidRPr="002D059C" w:rsidR="00642E42" w:rsidP="002D059C" w:rsidRDefault="00642E42" w14:paraId="76388635" w14:textId="75744094">
      <w:pPr>
        <w:pStyle w:val="ListParagraph"/>
        <w:numPr>
          <w:ilvl w:val="0"/>
          <w:numId w:val="15"/>
        </w:numPr>
        <w:rPr>
          <w:b/>
          <w:bCs/>
        </w:rPr>
      </w:pPr>
      <w:r w:rsidRPr="002D059C">
        <w:rPr>
          <w:b/>
          <w:bCs/>
        </w:rPr>
        <w:t>Other</w:t>
      </w:r>
    </w:p>
    <w:p w:rsidRPr="002D059C" w:rsidR="002D059C" w:rsidP="002D059C" w:rsidRDefault="002D059C" w14:paraId="1A7E2C40" w14:textId="77777777">
      <w:pPr>
        <w:pStyle w:val="ListParagraph"/>
        <w:ind w:left="360"/>
        <w:rPr>
          <w:b/>
          <w:bCs/>
        </w:rPr>
      </w:pPr>
    </w:p>
    <w:p w:rsidRPr="00C05CC1" w:rsidR="000458A4" w:rsidP="000458A4" w:rsidRDefault="000458A4" w14:paraId="2D39E0D9" w14:textId="62C43DE7">
      <w:pPr>
        <w:pStyle w:val="ListParagraph"/>
        <w:numPr>
          <w:ilvl w:val="0"/>
          <w:numId w:val="3"/>
        </w:numPr>
      </w:pPr>
      <w:r w:rsidRPr="00C05CC1">
        <w:t xml:space="preserve">What access restrictions do you think are necessary for the tool?  </w:t>
      </w:r>
    </w:p>
    <w:p w:rsidRPr="00C05CC1" w:rsidR="000458A4" w:rsidP="00C458B1" w:rsidRDefault="008337AF" w14:paraId="02A188AA" w14:textId="7249B871">
      <w:pPr>
        <w:pStyle w:val="ListParagraph"/>
        <w:numPr>
          <w:ilvl w:val="0"/>
          <w:numId w:val="3"/>
        </w:numPr>
      </w:pPr>
      <w:r w:rsidRPr="00C05CC1">
        <w:t xml:space="preserve">Are </w:t>
      </w:r>
      <w:r w:rsidRPr="00C05CC1" w:rsidR="000458A4">
        <w:t>there specific circumstances w</w:t>
      </w:r>
      <w:r w:rsidRPr="00C05CC1">
        <w:t>here it would be in</w:t>
      </w:r>
      <w:r w:rsidRPr="00C05CC1" w:rsidR="000458A4">
        <w:t xml:space="preserve">appropriate for </w:t>
      </w:r>
      <w:r w:rsidRPr="00C05CC1">
        <w:t>social workers</w:t>
      </w:r>
      <w:r w:rsidRPr="00C05CC1" w:rsidR="000458A4">
        <w:t xml:space="preserve"> to use the tool</w:t>
      </w:r>
      <w:r w:rsidRPr="00C05CC1">
        <w:t xml:space="preserve">? </w:t>
      </w:r>
      <w:r w:rsidRPr="00C05CC1" w:rsidR="000458A4">
        <w:t>(e.g. adoption cases, cases wh</w:t>
      </w:r>
      <w:r w:rsidRPr="00C05CC1">
        <w:t>ere an individual is</w:t>
      </w:r>
      <w:r w:rsidRPr="00C05CC1" w:rsidR="000458A4">
        <w:t xml:space="preserve"> related to </w:t>
      </w:r>
      <w:r w:rsidRPr="00C05CC1">
        <w:t>a social worker</w:t>
      </w:r>
      <w:r w:rsidRPr="00C05CC1" w:rsidR="000458A4">
        <w:t>, once</w:t>
      </w:r>
      <w:r w:rsidRPr="00C05CC1">
        <w:t xml:space="preserve"> the</w:t>
      </w:r>
      <w:r w:rsidRPr="00C05CC1" w:rsidR="000458A4">
        <w:t xml:space="preserve"> assessment</w:t>
      </w:r>
      <w:r w:rsidRPr="00C05CC1">
        <w:t xml:space="preserve"> has been</w:t>
      </w:r>
      <w:r w:rsidRPr="00C05CC1" w:rsidR="000458A4">
        <w:t xml:space="preserve"> complete</w:t>
      </w:r>
      <w:r w:rsidRPr="00C05CC1">
        <w:t>d etc</w:t>
      </w:r>
      <w:r w:rsidRPr="00C05CC1" w:rsidR="000458A4">
        <w:t xml:space="preserve">) </w:t>
      </w:r>
      <w:bookmarkStart w:name="_GoBack" w:id="0"/>
      <w:bookmarkEnd w:id="0"/>
    </w:p>
    <w:p w:rsidRPr="00C05CC1" w:rsidR="000458A4" w:rsidP="00D21E50" w:rsidRDefault="000458A4" w14:paraId="33B12715" w14:textId="7626C0FF">
      <w:pPr>
        <w:pStyle w:val="ListParagraph"/>
        <w:numPr>
          <w:ilvl w:val="0"/>
          <w:numId w:val="3"/>
        </w:numPr>
      </w:pPr>
      <w:r w:rsidRPr="00C05CC1">
        <w:lastRenderedPageBreak/>
        <w:t xml:space="preserve">On what device do you expect Social Workers to be able to access the tool? Where do you expect social workers to be able to access the tool? </w:t>
      </w:r>
      <w:r w:rsidR="007B3D84">
        <w:t xml:space="preserve">(e.g. from </w:t>
      </w:r>
      <w:r w:rsidR="00F41625">
        <w:t xml:space="preserve">their tablet at </w:t>
      </w:r>
      <w:r w:rsidR="007B3D84">
        <w:t xml:space="preserve">home, from their mobile devices </w:t>
      </w:r>
      <w:r w:rsidR="00F41625">
        <w:t>in the car park of the school</w:t>
      </w:r>
      <w:r w:rsidR="00696717">
        <w:t xml:space="preserve"> etc</w:t>
      </w:r>
      <w:r w:rsidR="00F41625">
        <w:t>)</w:t>
      </w:r>
    </w:p>
    <w:sectPr w:rsidRPr="00C05CC1" w:rsidR="000458A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62A"/>
    <w:multiLevelType w:val="hybridMultilevel"/>
    <w:tmpl w:val="7414940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D40F9"/>
    <w:multiLevelType w:val="hybridMultilevel"/>
    <w:tmpl w:val="8640C71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8D1DDD"/>
    <w:multiLevelType w:val="multilevel"/>
    <w:tmpl w:val="B7524A9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2493E"/>
    <w:multiLevelType w:val="hybridMultilevel"/>
    <w:tmpl w:val="8A240EAA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76E0E"/>
    <w:multiLevelType w:val="hybridMultilevel"/>
    <w:tmpl w:val="BB9855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6D4474"/>
    <w:multiLevelType w:val="hybridMultilevel"/>
    <w:tmpl w:val="DE1C56FA"/>
    <w:lvl w:ilvl="0" w:tplc="8DD83D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6D03ADA"/>
    <w:multiLevelType w:val="multilevel"/>
    <w:tmpl w:val="138A174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C1F92"/>
    <w:multiLevelType w:val="hybridMultilevel"/>
    <w:tmpl w:val="D06C388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8DA27E3"/>
    <w:multiLevelType w:val="hybridMultilevel"/>
    <w:tmpl w:val="E616968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E8C2988"/>
    <w:multiLevelType w:val="multilevel"/>
    <w:tmpl w:val="079C51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52A71085"/>
    <w:multiLevelType w:val="multilevel"/>
    <w:tmpl w:val="3972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C1D61D6"/>
    <w:multiLevelType w:val="hybridMultilevel"/>
    <w:tmpl w:val="885CC3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ED65D19"/>
    <w:multiLevelType w:val="multilevel"/>
    <w:tmpl w:val="9ED870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3" w15:restartNumberingAfterBreak="0">
    <w:nsid w:val="732656E4"/>
    <w:multiLevelType w:val="multilevel"/>
    <w:tmpl w:val="4F26B3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807C91"/>
    <w:multiLevelType w:val="hybridMultilevel"/>
    <w:tmpl w:val="40FA3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13"/>
  </w:num>
  <w:num w:numId="8">
    <w:abstractNumId w:val="2"/>
  </w:num>
  <w:num w:numId="9">
    <w:abstractNumId w:val="6"/>
  </w:num>
  <w:num w:numId="10">
    <w:abstractNumId w:val="4"/>
  </w:num>
  <w:num w:numId="11">
    <w:abstractNumId w:val="8"/>
  </w:num>
  <w:num w:numId="12">
    <w:abstractNumId w:val="1"/>
  </w:num>
  <w:num w:numId="13">
    <w:abstractNumId w:val="7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42"/>
    <w:rsid w:val="000458A4"/>
    <w:rsid w:val="000B1BC1"/>
    <w:rsid w:val="000B7889"/>
    <w:rsid w:val="000D1B80"/>
    <w:rsid w:val="00117086"/>
    <w:rsid w:val="00171B5D"/>
    <w:rsid w:val="001962EF"/>
    <w:rsid w:val="00203164"/>
    <w:rsid w:val="00220385"/>
    <w:rsid w:val="00293A89"/>
    <w:rsid w:val="002D059C"/>
    <w:rsid w:val="0030775A"/>
    <w:rsid w:val="003A49F4"/>
    <w:rsid w:val="003B1866"/>
    <w:rsid w:val="003E735F"/>
    <w:rsid w:val="00475042"/>
    <w:rsid w:val="004C3BCC"/>
    <w:rsid w:val="00591392"/>
    <w:rsid w:val="005E072F"/>
    <w:rsid w:val="0061744A"/>
    <w:rsid w:val="00642E42"/>
    <w:rsid w:val="00647E7D"/>
    <w:rsid w:val="00696717"/>
    <w:rsid w:val="006D4652"/>
    <w:rsid w:val="007B20C1"/>
    <w:rsid w:val="007B3D84"/>
    <w:rsid w:val="007D41ED"/>
    <w:rsid w:val="008337AF"/>
    <w:rsid w:val="008665CE"/>
    <w:rsid w:val="008979EE"/>
    <w:rsid w:val="008B092A"/>
    <w:rsid w:val="008F0F8B"/>
    <w:rsid w:val="00A63A83"/>
    <w:rsid w:val="00B860EC"/>
    <w:rsid w:val="00BD2213"/>
    <w:rsid w:val="00BD7555"/>
    <w:rsid w:val="00C05CC1"/>
    <w:rsid w:val="00C458B1"/>
    <w:rsid w:val="00C7751A"/>
    <w:rsid w:val="00CB2601"/>
    <w:rsid w:val="00D64722"/>
    <w:rsid w:val="00E66699"/>
    <w:rsid w:val="00F01C2A"/>
    <w:rsid w:val="00F3240D"/>
    <w:rsid w:val="00F33CB2"/>
    <w:rsid w:val="00F41625"/>
    <w:rsid w:val="00F50F27"/>
    <w:rsid w:val="4D85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3402"/>
  <w15:chartTrackingRefBased/>
  <w15:docId w15:val="{B3CCAA89-5364-4B30-BF81-721FC3DF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E42"/>
    <w:pPr>
      <w:ind w:left="720"/>
      <w:contextualSpacing/>
    </w:pPr>
  </w:style>
  <w:style w:type="paragraph" w:styleId="paragraph" w:customStyle="1">
    <w:name w:val="paragraph"/>
    <w:basedOn w:val="Normal"/>
    <w:rsid w:val="000458A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0458A4"/>
  </w:style>
  <w:style w:type="character" w:styleId="eop" w:customStyle="1">
    <w:name w:val="eop"/>
    <w:basedOn w:val="DefaultParagraphFont"/>
    <w:rsid w:val="000458A4"/>
  </w:style>
  <w:style w:type="paragraph" w:styleId="BalloonText">
    <w:name w:val="Balloon Text"/>
    <w:basedOn w:val="Normal"/>
    <w:link w:val="BalloonTextChar"/>
    <w:uiPriority w:val="99"/>
    <w:semiHidden/>
    <w:unhideWhenUsed/>
    <w:rsid w:val="00220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03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ico.org.uk/for-organisations/guide-to-data-protection/guide-to-the-general-data-protection-regulation-gdpr/lawful-basis-for-processing/consent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s://ico.org.uk/for-organisations/guide-to-data-protection/guide-to-the-general-data-protection-regulation-gdpr/lawful-basis-for-processing/public-task/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ico.org.uk/for-organisations/guide-to-data-protection/guide-to-the-general-data-protection-regulation-gdpr/lawful-basis-for-processing/legal-obligation/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A9F31E65A6F4DB0E2A438BE642656" ma:contentTypeVersion="12" ma:contentTypeDescription="Create a new document." ma:contentTypeScope="" ma:versionID="d26d0440fcf88ac4433daa14376f1571">
  <xsd:schema xmlns:xsd="http://www.w3.org/2001/XMLSchema" xmlns:xs="http://www.w3.org/2001/XMLSchema" xmlns:p="http://schemas.microsoft.com/office/2006/metadata/properties" xmlns:ns2="9df4e4db-7b61-4837-8b5d-fb43ceece580" xmlns:ns3="42abb7ef-86f2-4e04-932e-a882865ea17c" targetNamespace="http://schemas.microsoft.com/office/2006/metadata/properties" ma:root="true" ma:fieldsID="d5e80acad5303e8a798f6b4e876855fb" ns2:_="" ns3:_="">
    <xsd:import namespace="9df4e4db-7b61-4837-8b5d-fb43ceece580"/>
    <xsd:import namespace="42abb7ef-86f2-4e04-932e-a882865ea1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4e4db-7b61-4837-8b5d-fb43ceece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bb7ef-86f2-4e04-932e-a882865ea1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7EB515-C079-43CC-9277-C31866D91C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51E34E-6D9C-4752-916B-17DD101C05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868AE1-C293-41D3-9A90-A224BDAE57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4e4db-7b61-4837-8b5d-fb43ceece580"/>
    <ds:schemaRef ds:uri="42abb7ef-86f2-4e04-932e-a882865ea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Victoria Walsh</dc:creator>
  <keywords/>
  <dc:description/>
  <lastModifiedBy>Victoria Walsh</lastModifiedBy>
  <revision>40</revision>
  <dcterms:created xsi:type="dcterms:W3CDTF">2020-03-30T11:33:00.0000000Z</dcterms:created>
  <dcterms:modified xsi:type="dcterms:W3CDTF">2020-03-30T20:34:12.8534546Z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0x01010084CA9F31E65A6F4DB0E2A438BE642656</vt:lpwstr>
  </property>
</Properties>
</file>