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k="http://schemas.microsoft.com/office/drawing/2018/sketchyshapes" mc:Ignorable="w14 w15 w16se w16cid wp14">
  <w:body>
    <w:p w:rsidRPr="00752EEF" w:rsidR="00752EEF" w:rsidP="00752EEF" w:rsidRDefault="00DB2BB6" w14:paraId="0F34FDDB" w14:textId="50A40194">
      <w:pPr>
        <w:spacing w:after="0"/>
        <w:jc w:val="center"/>
        <w:rPr>
          <w:rFonts w:ascii="Calibri" w:hAnsi="Calibri" w:eastAsia="Calibri" w:cs="Arial"/>
          <w:b w:val="1"/>
          <w:bCs w:val="1"/>
          <w:u w:val="single"/>
          <w:lang w:val="en-US"/>
        </w:rPr>
      </w:pPr>
      <w:r w:rsidRPr="79C72B4B" w:rsidR="00DB2BB6">
        <w:rPr>
          <w:rFonts w:ascii="Calibri" w:hAnsi="Calibri" w:eastAsia="Calibri" w:cs="Arial"/>
          <w:b w:val="1"/>
          <w:bCs w:val="1"/>
          <w:u w:val="single"/>
          <w:lang w:val="en-US"/>
        </w:rPr>
        <w:t>Skeleton</w:t>
      </w:r>
      <w:r w:rsidRPr="79C72B4B" w:rsidR="00752EEF">
        <w:rPr>
          <w:rFonts w:ascii="Calibri" w:hAnsi="Calibri" w:eastAsia="Calibri" w:cs="Arial"/>
          <w:b w:val="1"/>
          <w:bCs w:val="1"/>
          <w:u w:val="single"/>
          <w:lang w:val="en-US"/>
        </w:rPr>
        <w:t xml:space="preserve"> Guidance </w:t>
      </w:r>
      <w:r w:rsidRPr="79C72B4B" w:rsidR="16819425">
        <w:rPr>
          <w:rFonts w:ascii="Calibri" w:hAnsi="Calibri" w:eastAsia="Calibri" w:cs="Arial"/>
          <w:b w:val="1"/>
          <w:bCs w:val="1"/>
          <w:u w:val="single"/>
          <w:lang w:val="en-US"/>
        </w:rPr>
        <w:t>on Appropriate</w:t>
      </w:r>
      <w:r w:rsidRPr="79C72B4B" w:rsidR="00752EEF">
        <w:rPr>
          <w:rFonts w:ascii="Calibri" w:hAnsi="Calibri" w:eastAsia="Calibri" w:cs="Arial"/>
          <w:b w:val="1"/>
          <w:bCs w:val="1"/>
          <w:u w:val="single"/>
          <w:lang w:val="en-US"/>
        </w:rPr>
        <w:t xml:space="preserve"> Usage of Family Context</w:t>
      </w:r>
    </w:p>
    <w:p w:rsidRPr="00752EEF" w:rsidR="00752EEF" w:rsidP="00752EEF" w:rsidRDefault="00752EEF" w14:paraId="7EFB754D" w14:textId="77777777">
      <w:pPr>
        <w:spacing w:after="0"/>
        <w:rPr>
          <w:rFonts w:ascii="Calibri" w:hAnsi="Calibri" w:eastAsia="Calibri" w:cs="Arial"/>
          <w:lang w:val="en-US"/>
        </w:rPr>
      </w:pPr>
    </w:p>
    <w:p w:rsidRPr="00752EEF" w:rsidR="00752EEF" w:rsidP="00883305" w:rsidRDefault="00752EEF" w14:paraId="0FCFF466" w14:textId="77777777">
      <w:pPr>
        <w:rPr>
          <w:rFonts w:ascii="Calibri" w:hAnsi="Calibri" w:eastAsia="Calibri" w:cs="Arial"/>
          <w:b/>
          <w:bCs/>
          <w:u w:val="single"/>
          <w:lang w:val="en-US"/>
        </w:rPr>
      </w:pPr>
      <w:r w:rsidRPr="00752EEF">
        <w:rPr>
          <w:rFonts w:ascii="Calibri" w:hAnsi="Calibri" w:eastAsia="Calibri" w:cs="Arial"/>
          <w:b/>
          <w:bCs/>
          <w:u w:val="single"/>
          <w:lang w:val="en-US"/>
        </w:rPr>
        <w:t>Purpose</w:t>
      </w:r>
    </w:p>
    <w:p w:rsidRPr="00752EEF" w:rsidR="00752EEF" w:rsidP="00883305" w:rsidRDefault="00752EEF" w14:paraId="37DFB669" w14:textId="7F3A50D3">
      <w:pPr>
        <w:rPr>
          <w:rFonts w:ascii="Calibri" w:hAnsi="Calibri" w:eastAsia="Calibri" w:cs="Arial"/>
          <w:lang w:val="en-US"/>
        </w:rPr>
      </w:pPr>
      <w:r w:rsidRPr="00752EEF">
        <w:rPr>
          <w:rFonts w:ascii="Calibri" w:hAnsi="Calibri" w:eastAsia="Calibri" w:cs="Arial"/>
          <w:lang w:val="en-US"/>
        </w:rPr>
        <w:t xml:space="preserve">The purpose of this document is to propose the guidance to be provided to area social workers on the appropriate usage of the Family Context tool. This proposal </w:t>
      </w:r>
      <w:r w:rsidR="0028026D">
        <w:rPr>
          <w:rFonts w:ascii="Calibri" w:hAnsi="Calibri" w:eastAsia="Calibri" w:cs="Arial"/>
          <w:lang w:val="en-US"/>
        </w:rPr>
        <w:t xml:space="preserve">should be </w:t>
      </w:r>
      <w:r w:rsidRPr="00752EEF">
        <w:rPr>
          <w:rFonts w:ascii="Calibri" w:hAnsi="Calibri" w:eastAsia="Calibri" w:cs="Arial"/>
          <w:lang w:val="en-US"/>
        </w:rPr>
        <w:t xml:space="preserve">developed to align the usage of the tool with existing social work practice as much as possible. </w:t>
      </w:r>
    </w:p>
    <w:p w:rsidRPr="00752EEF" w:rsidR="00752EEF" w:rsidP="00752EEF" w:rsidRDefault="00752EEF" w14:paraId="1C65AD51" w14:textId="77777777">
      <w:pPr>
        <w:spacing w:after="0"/>
        <w:rPr>
          <w:rFonts w:ascii="Calibri" w:hAnsi="Calibri" w:eastAsia="Calibri" w:cs="Arial"/>
          <w:b/>
          <w:bCs/>
          <w:lang w:val="en-US"/>
        </w:rPr>
      </w:pPr>
    </w:p>
    <w:p w:rsidRPr="00752EEF" w:rsidR="00752EEF" w:rsidP="00883305" w:rsidRDefault="00752EEF" w14:paraId="03B6C7BC" w14:textId="77777777">
      <w:pPr>
        <w:rPr>
          <w:rFonts w:ascii="Calibri" w:hAnsi="Calibri" w:eastAsia="Calibri" w:cs="Arial"/>
          <w:b/>
          <w:bCs/>
          <w:u w:val="single"/>
          <w:lang w:val="en-US"/>
        </w:rPr>
      </w:pPr>
      <w:r w:rsidRPr="00752EEF">
        <w:rPr>
          <w:rFonts w:ascii="Calibri" w:hAnsi="Calibri" w:eastAsia="Calibri" w:cs="Arial"/>
          <w:b/>
          <w:bCs/>
          <w:u w:val="single"/>
          <w:lang w:val="en-US"/>
        </w:rPr>
        <w:t>Background</w:t>
      </w:r>
    </w:p>
    <w:p w:rsidRPr="00883305" w:rsidR="00752EEF" w:rsidP="00883305" w:rsidRDefault="00752EEF" w14:paraId="16191978" w14:textId="286B8256">
      <w:pPr>
        <w:rPr>
          <w:rFonts w:ascii="Calibri" w:hAnsi="Calibri" w:eastAsia="Calibri" w:cs="Arial"/>
          <w:color w:val="FF0000"/>
          <w:lang w:val="en-US"/>
        </w:rPr>
      </w:pPr>
      <w:r w:rsidRPr="00752EEF">
        <w:rPr>
          <w:rFonts w:ascii="Calibri" w:hAnsi="Calibri" w:eastAsia="Calibri" w:cs="Arial"/>
          <w:lang w:val="en-US"/>
        </w:rPr>
        <w:t xml:space="preserve">The guidance proposed in this document </w:t>
      </w:r>
      <w:r w:rsidR="0028026D">
        <w:rPr>
          <w:rFonts w:ascii="Calibri" w:hAnsi="Calibri" w:eastAsia="Calibri" w:cs="Arial"/>
          <w:lang w:val="en-US"/>
        </w:rPr>
        <w:t xml:space="preserve">should be </w:t>
      </w:r>
      <w:r w:rsidRPr="00752EEF">
        <w:rPr>
          <w:rFonts w:ascii="Calibri" w:hAnsi="Calibri" w:eastAsia="Calibri" w:cs="Arial"/>
          <w:lang w:val="en-US"/>
        </w:rPr>
        <w:t>shaped and approved by service lead</w:t>
      </w:r>
      <w:r w:rsidR="008025B1">
        <w:rPr>
          <w:rFonts w:ascii="Calibri" w:hAnsi="Calibri" w:eastAsia="Calibri" w:cs="Arial"/>
          <w:lang w:val="en-US"/>
        </w:rPr>
        <w:t>ership</w:t>
      </w:r>
      <w:r w:rsidRPr="00752EEF">
        <w:rPr>
          <w:rFonts w:ascii="Calibri" w:hAnsi="Calibri" w:eastAsia="Calibri" w:cs="Arial"/>
          <w:lang w:val="en-US"/>
        </w:rPr>
        <w:t xml:space="preserve"> and Information Governance in</w:t>
      </w:r>
      <w:r w:rsidR="0028026D">
        <w:rPr>
          <w:rFonts w:ascii="Calibri" w:hAnsi="Calibri" w:eastAsia="Calibri" w:cs="Arial"/>
          <w:lang w:val="en-US"/>
        </w:rPr>
        <w:t xml:space="preserve"> your local authority. </w:t>
      </w:r>
      <w:r w:rsidRPr="00883305" w:rsidR="0028026D">
        <w:rPr>
          <w:rFonts w:ascii="Calibri" w:hAnsi="Calibri" w:eastAsia="Calibri" w:cs="Arial"/>
          <w:color w:val="FF0000"/>
          <w:lang w:val="en-US"/>
        </w:rPr>
        <w:t xml:space="preserve">Please </w:t>
      </w:r>
      <w:r w:rsidR="004651B5">
        <w:rPr>
          <w:rFonts w:ascii="Calibri" w:hAnsi="Calibri" w:eastAsia="Calibri" w:cs="Arial"/>
          <w:color w:val="FF0000"/>
          <w:lang w:val="en-US"/>
        </w:rPr>
        <w:t xml:space="preserve">identify </w:t>
      </w:r>
      <w:r w:rsidRPr="00883305" w:rsidR="0028026D">
        <w:rPr>
          <w:rFonts w:ascii="Calibri" w:hAnsi="Calibri" w:eastAsia="Calibri" w:cs="Arial"/>
          <w:color w:val="FF0000"/>
          <w:lang w:val="en-US"/>
        </w:rPr>
        <w:t xml:space="preserve">the measures that </w:t>
      </w:r>
      <w:r w:rsidR="008B44D7">
        <w:rPr>
          <w:rFonts w:ascii="Calibri" w:hAnsi="Calibri" w:eastAsia="Calibri" w:cs="Arial"/>
          <w:color w:val="FF0000"/>
          <w:lang w:val="en-US"/>
        </w:rPr>
        <w:t xml:space="preserve">you will need to take </w:t>
      </w:r>
      <w:r w:rsidR="004651B5">
        <w:rPr>
          <w:rFonts w:ascii="Calibri" w:hAnsi="Calibri" w:eastAsia="Calibri" w:cs="Arial"/>
          <w:color w:val="FF0000"/>
          <w:lang w:val="en-US"/>
        </w:rPr>
        <w:t xml:space="preserve">in order </w:t>
      </w:r>
      <w:r w:rsidRPr="00883305" w:rsidR="0028026D">
        <w:rPr>
          <w:rFonts w:ascii="Calibri" w:hAnsi="Calibri" w:eastAsia="Calibri" w:cs="Arial"/>
          <w:color w:val="FF0000"/>
          <w:lang w:val="en-US"/>
        </w:rPr>
        <w:t>to</w:t>
      </w:r>
      <w:r w:rsidRPr="00883305" w:rsidR="009B3BAF">
        <w:rPr>
          <w:rFonts w:ascii="Calibri" w:hAnsi="Calibri" w:eastAsia="Calibri" w:cs="Arial"/>
          <w:color w:val="FF0000"/>
          <w:lang w:val="en-US"/>
        </w:rPr>
        <w:t xml:space="preserve"> do this</w:t>
      </w:r>
      <w:r w:rsidRPr="00883305" w:rsidR="0028026D">
        <w:rPr>
          <w:rFonts w:ascii="Calibri" w:hAnsi="Calibri" w:eastAsia="Calibri" w:cs="Arial"/>
          <w:color w:val="FF0000"/>
          <w:lang w:val="en-US"/>
        </w:rPr>
        <w:t>:</w:t>
      </w:r>
    </w:p>
    <w:p w:rsidR="0028026D" w:rsidP="0028026D" w:rsidRDefault="0028026D" w14:paraId="4DEB076A" w14:textId="29946707">
      <w:pPr>
        <w:spacing w:after="0" w:line="480" w:lineRule="auto"/>
        <w:rPr>
          <w:rFonts w:ascii="Calibri" w:hAnsi="Calibri" w:eastAsia="Calibri" w:cs="Arial"/>
          <w:lang w:val="en-US"/>
        </w:rPr>
      </w:pPr>
      <w:r>
        <w:rPr>
          <w:rFonts w:ascii="Calibri" w:hAnsi="Calibri" w:eastAsia="Calibri" w:cs="Arial"/>
          <w:lang w:val="en-US"/>
        </w:rPr>
        <w:t>__________________________________________________________________________________</w:t>
      </w:r>
    </w:p>
    <w:p w:rsidRPr="00752EEF" w:rsidR="0028026D" w:rsidP="0028026D" w:rsidRDefault="0028026D" w14:paraId="38C75ABA" w14:textId="77777777">
      <w:pPr>
        <w:spacing w:after="0" w:line="480" w:lineRule="auto"/>
        <w:rPr>
          <w:rFonts w:ascii="Calibri" w:hAnsi="Calibri" w:eastAsia="Calibri" w:cs="Arial"/>
          <w:lang w:val="en-US"/>
        </w:rPr>
      </w:pPr>
      <w:r>
        <w:rPr>
          <w:rFonts w:ascii="Calibri" w:hAnsi="Calibri" w:eastAsia="Calibri" w:cs="Arial"/>
          <w:lang w:val="en-US"/>
        </w:rPr>
        <w:t>______________________________________________________________________________________________________________________________________________________________________________________________________________________________________________________</w:t>
      </w:r>
    </w:p>
    <w:p w:rsidR="00D575C3" w:rsidP="00752EEF" w:rsidRDefault="00D575C3" w14:paraId="502B9C51" w14:textId="77777777">
      <w:pPr>
        <w:rPr>
          <w:b/>
          <w:bCs/>
          <w:u w:val="single"/>
          <w:lang w:val="en-US"/>
        </w:rPr>
      </w:pPr>
    </w:p>
    <w:p w:rsidRPr="009B3BAF" w:rsidR="009B3BAF" w:rsidP="00752EEF" w:rsidRDefault="008115AD" w14:paraId="57596782" w14:textId="773BE776">
      <w:pPr>
        <w:rPr>
          <w:b/>
          <w:bCs/>
          <w:u w:val="single"/>
          <w:lang w:val="en-US"/>
        </w:rPr>
      </w:pPr>
      <w:r w:rsidRPr="008115AD">
        <w:rPr>
          <w:b/>
          <w:bCs/>
          <w:u w:val="single"/>
          <w:lang w:val="en-US"/>
        </w:rPr>
        <w:t>Consent</w:t>
      </w:r>
    </w:p>
    <w:p w:rsidRPr="00883305" w:rsidR="00752EEF" w:rsidP="00752EEF" w:rsidRDefault="009B3BAF" w14:paraId="7D6B62A0" w14:textId="242BCACC">
      <w:pPr>
        <w:rPr>
          <w:color w:val="FF0000"/>
          <w:lang w:val="en-US"/>
        </w:rPr>
      </w:pPr>
      <w:r>
        <w:rPr>
          <w:lang w:val="en-US"/>
        </w:rPr>
        <w:t xml:space="preserve">From our experience working with different local authorities, we have learnt that </w:t>
      </w:r>
      <w:r w:rsidR="00752EEF">
        <w:rPr>
          <w:lang w:val="en-US"/>
        </w:rPr>
        <w:t>‘</w:t>
      </w:r>
      <w:r>
        <w:rPr>
          <w:lang w:val="en-US"/>
        </w:rPr>
        <w:t>c</w:t>
      </w:r>
      <w:r w:rsidRPr="00116BDA" w:rsidR="00752EEF">
        <w:rPr>
          <w:lang w:val="en-US"/>
        </w:rPr>
        <w:t>onsent</w:t>
      </w:r>
      <w:r w:rsidR="00752EEF">
        <w:rPr>
          <w:lang w:val="en-US"/>
        </w:rPr>
        <w:t>’</w:t>
      </w:r>
      <w:r w:rsidRPr="00116BDA" w:rsidR="00752EEF">
        <w:rPr>
          <w:lang w:val="en-US"/>
        </w:rPr>
        <w:t xml:space="preserve"> carries different meanings to social workers and information governance professionals. </w:t>
      </w:r>
      <w:r>
        <w:rPr>
          <w:lang w:val="en-US"/>
        </w:rPr>
        <w:t xml:space="preserve">Below is our understanding of how consent is defined by each party. </w:t>
      </w:r>
      <w:r w:rsidRPr="00883305">
        <w:rPr>
          <w:color w:val="FF0000"/>
          <w:lang w:val="en-US"/>
        </w:rPr>
        <w:t>Please ensure that these definitions apply to your local authority and make any necessary amendments.</w:t>
      </w:r>
    </w:p>
    <w:p w:rsidRPr="00116BDA" w:rsidR="00752EEF" w:rsidP="009B3BAF" w:rsidRDefault="00752EEF" w14:paraId="1BB38E1C" w14:textId="35F6F11B">
      <w:r w:rsidRPr="009B3BAF">
        <w:rPr>
          <w:lang w:val="en-US"/>
        </w:rPr>
        <w:t xml:space="preserve">To information governance professionals, </w:t>
      </w:r>
      <w:hyperlink w:history="1" r:id="rId8">
        <w:r w:rsidRPr="00116BDA">
          <w:rPr>
            <w:rStyle w:val="Hyperlink"/>
          </w:rPr>
          <w:t>consent</w:t>
        </w:r>
      </w:hyperlink>
      <w:r w:rsidRPr="00116BDA">
        <w:t xml:space="preserve"> is one of several possible lawful bases for processing personal data. Consent is</w:t>
      </w:r>
      <w:r w:rsidRPr="009B3BAF">
        <w:rPr>
          <w:b/>
          <w:bCs/>
        </w:rPr>
        <w:t xml:space="preserve"> </w:t>
      </w:r>
      <w:r w:rsidRPr="009B3BAF">
        <w:rPr>
          <w:b/>
          <w:bCs/>
          <w:u w:val="single"/>
        </w:rPr>
        <w:t>not</w:t>
      </w:r>
      <w:r w:rsidRPr="00116BDA">
        <w:t xml:space="preserve"> the lawful basis for the usage of Family Context</w:t>
      </w:r>
      <w:r>
        <w:t xml:space="preserve"> when conducting a child and family assessment</w:t>
      </w:r>
      <w:r w:rsidRPr="00116BDA">
        <w:t>. Rather, t</w:t>
      </w:r>
      <w:r w:rsidRPr="009B3BAF">
        <w:rPr>
          <w:lang w:val="en-US"/>
        </w:rPr>
        <w:t xml:space="preserve">he lawful basis for usage of Family Context is </w:t>
      </w:r>
      <w:hyperlink w:history="1" r:id="rId9">
        <w:r w:rsidRPr="00116BDA">
          <w:rPr>
            <w:rStyle w:val="Hyperlink"/>
          </w:rPr>
          <w:t>legal obligation</w:t>
        </w:r>
      </w:hyperlink>
      <w:r w:rsidRPr="00116BDA">
        <w:t xml:space="preserve"> and</w:t>
      </w:r>
      <w:r w:rsidRPr="009B3BAF">
        <w:rPr>
          <w:lang w:val="en-US"/>
        </w:rPr>
        <w:t xml:space="preserve"> </w:t>
      </w:r>
      <w:hyperlink w:history="1" r:id="rId10">
        <w:r w:rsidRPr="00116BDA">
          <w:rPr>
            <w:rStyle w:val="Hyperlink"/>
          </w:rPr>
          <w:t>public task</w:t>
        </w:r>
      </w:hyperlink>
      <w:r w:rsidRPr="00116BDA">
        <w:t>.</w:t>
      </w:r>
    </w:p>
    <w:p w:rsidR="00752EEF" w:rsidP="00752EEF" w:rsidRDefault="00752EEF" w14:paraId="525F96EC" w14:textId="77777777">
      <w:pPr>
        <w:rPr>
          <w:lang w:val="en-US"/>
        </w:rPr>
      </w:pPr>
      <w:r w:rsidRPr="00116BDA">
        <w:t xml:space="preserve">However, </w:t>
      </w:r>
      <w:r>
        <w:t xml:space="preserve">consent is important to have before starting a child and family assessment under section 17 of the Children’s Act and </w:t>
      </w:r>
      <w:r w:rsidRPr="00116BDA">
        <w:rPr>
          <w:lang w:val="en-US"/>
        </w:rPr>
        <w:t>is an important consideration for social workers when they think about appropriate usage of Family Context</w:t>
      </w:r>
      <w:r>
        <w:rPr>
          <w:lang w:val="en-US"/>
        </w:rPr>
        <w:t xml:space="preserve">. This is important as we </w:t>
      </w:r>
      <w:r w:rsidRPr="00116BDA">
        <w:rPr>
          <w:lang w:val="en-US"/>
        </w:rPr>
        <w:t>create guidelines</w:t>
      </w:r>
      <w:r>
        <w:rPr>
          <w:lang w:val="en-US"/>
        </w:rPr>
        <w:t>.</w:t>
      </w:r>
      <w:r w:rsidRPr="00116BDA">
        <w:rPr>
          <w:lang w:val="en-US"/>
        </w:rPr>
        <w:t xml:space="preserve"> </w:t>
      </w:r>
    </w:p>
    <w:p w:rsidRPr="000F3790" w:rsidR="00752EEF" w:rsidP="00752EEF" w:rsidRDefault="00752EEF" w14:paraId="382DB1E7" w14:textId="6783FEB7">
      <w:pPr>
        <w:spacing w:after="0"/>
        <w:rPr>
          <w:b/>
          <w:bCs/>
          <w:u w:val="single"/>
          <w:lang w:val="en-US"/>
        </w:rPr>
      </w:pPr>
      <w:r w:rsidRPr="000F3790">
        <w:rPr>
          <w:b/>
          <w:bCs/>
          <w:u w:val="single"/>
          <w:lang w:val="en-US"/>
        </w:rPr>
        <w:t>Summary of proposed guidance for using the Family Context tool</w:t>
      </w:r>
      <w:r>
        <w:rPr>
          <w:b/>
          <w:bCs/>
          <w:u w:val="single"/>
          <w:lang w:val="en-US"/>
        </w:rPr>
        <w:t xml:space="preserve"> </w:t>
      </w:r>
    </w:p>
    <w:p w:rsidR="00752EEF" w:rsidP="00752EEF" w:rsidRDefault="00752EEF" w14:paraId="4C0EC069" w14:textId="77777777">
      <w:pPr>
        <w:spacing w:after="0"/>
        <w:rPr>
          <w:b/>
          <w:bCs/>
          <w:lang w:val="en-US"/>
        </w:rPr>
      </w:pPr>
    </w:p>
    <w:p w:rsidRPr="0054394D" w:rsidR="00752EEF" w:rsidP="00752EEF" w:rsidRDefault="00752EEF" w14:paraId="6CF85FA6" w14:textId="77777777">
      <w:pPr>
        <w:spacing w:after="0"/>
        <w:rPr>
          <w:b/>
          <w:bCs/>
          <w:lang w:val="en-US"/>
        </w:rPr>
      </w:pPr>
      <w:r>
        <w:rPr>
          <w:b/>
          <w:bCs/>
          <w:lang w:val="en-US"/>
        </w:rPr>
        <w:t>When a social worker has been assigned to conduct a child and family assessment, d</w:t>
      </w:r>
      <w:r w:rsidRPr="0054394D">
        <w:rPr>
          <w:b/>
          <w:bCs/>
          <w:lang w:val="en-US"/>
        </w:rPr>
        <w:t>o social workers need to</w:t>
      </w:r>
      <w:r>
        <w:rPr>
          <w:b/>
          <w:bCs/>
          <w:lang w:val="en-US"/>
        </w:rPr>
        <w:t xml:space="preserve"> have a consent conversation with that family b</w:t>
      </w:r>
      <w:r w:rsidRPr="0054394D">
        <w:rPr>
          <w:b/>
          <w:bCs/>
          <w:lang w:val="en-US"/>
        </w:rPr>
        <w:t>efore they use Family Context</w:t>
      </w:r>
      <w:r>
        <w:rPr>
          <w:b/>
          <w:bCs/>
          <w:lang w:val="en-US"/>
        </w:rPr>
        <w:t>?</w:t>
      </w:r>
    </w:p>
    <w:p w:rsidRPr="00EC79AD" w:rsidR="00752EEF" w:rsidP="00752EEF" w:rsidRDefault="00F92203" w14:paraId="0F7A458A" w14:textId="0FB0AD51">
      <w:pPr>
        <w:pStyle w:val="ListParagraph"/>
        <w:numPr>
          <w:ilvl w:val="0"/>
          <w:numId w:val="2"/>
        </w:numPr>
        <w:spacing w:after="0"/>
        <w:rPr>
          <w:lang w:val="en-US"/>
        </w:rPr>
      </w:pPr>
      <w:r>
        <w:rPr>
          <w:lang w:val="en-US"/>
        </w:rPr>
        <w:t>We recommend that this is not required for section 47 cases.</w:t>
      </w:r>
    </w:p>
    <w:p w:rsidR="00752EEF" w:rsidP="009B3BAF" w:rsidRDefault="009B3BAF" w14:paraId="525F138C" w14:textId="44F0833A">
      <w:pPr>
        <w:pStyle w:val="ListParagraph"/>
        <w:numPr>
          <w:ilvl w:val="0"/>
          <w:numId w:val="2"/>
        </w:numPr>
        <w:spacing w:after="0" w:line="480" w:lineRule="auto"/>
        <w:rPr>
          <w:lang w:val="en-US"/>
        </w:rPr>
      </w:pPr>
      <w:r w:rsidRPr="00883305">
        <w:rPr>
          <w:color w:val="FF0000"/>
          <w:lang w:val="en-US"/>
        </w:rPr>
        <w:t>Please state the requirement for s</w:t>
      </w:r>
      <w:r w:rsidRPr="00883305" w:rsidR="00752EEF">
        <w:rPr>
          <w:color w:val="FF0000"/>
          <w:lang w:val="en-US"/>
        </w:rPr>
        <w:t>ection 17 cases</w:t>
      </w:r>
      <w:r w:rsidRPr="00883305">
        <w:rPr>
          <w:color w:val="FF0000"/>
          <w:lang w:val="en-US"/>
        </w:rPr>
        <w:t xml:space="preserve">: </w:t>
      </w:r>
      <w:r>
        <w:rPr>
          <w:lang w:val="en-US"/>
        </w:rPr>
        <w:t>_____________________________________</w:t>
      </w:r>
    </w:p>
    <w:p w:rsidR="009B3BAF" w:rsidP="009B3BAF" w:rsidRDefault="009B3BAF" w14:paraId="486873AF" w14:textId="114B1BEB">
      <w:pPr>
        <w:pStyle w:val="ListParagraph"/>
        <w:spacing w:after="0" w:line="480" w:lineRule="auto"/>
        <w:ind w:left="360"/>
        <w:rPr>
          <w:lang w:val="en-US"/>
        </w:rPr>
      </w:pPr>
      <w:r>
        <w:rPr>
          <w:lang w:val="en-US"/>
        </w:rPr>
        <w:t>______________________________________________________________________________________________________________________________________________________________</w:t>
      </w:r>
    </w:p>
    <w:p w:rsidRPr="0028026D" w:rsidR="0028026D" w:rsidP="0028026D" w:rsidRDefault="0028026D" w14:paraId="138FE2F3" w14:textId="77777777">
      <w:pPr>
        <w:pStyle w:val="ListParagraph"/>
        <w:spacing w:after="0"/>
        <w:ind w:left="360"/>
        <w:rPr>
          <w:lang w:val="en-US"/>
        </w:rPr>
      </w:pPr>
    </w:p>
    <w:p w:rsidRPr="0054394D" w:rsidR="00752EEF" w:rsidP="00752EEF" w:rsidRDefault="00752EEF" w14:paraId="247DD5ED" w14:textId="77777777">
      <w:pPr>
        <w:spacing w:after="0"/>
        <w:rPr>
          <w:b/>
          <w:bCs/>
          <w:lang w:val="en-US"/>
        </w:rPr>
      </w:pPr>
      <w:r w:rsidRPr="0054394D">
        <w:rPr>
          <w:b/>
          <w:bCs/>
          <w:lang w:val="en-US"/>
        </w:rPr>
        <w:lastRenderedPageBreak/>
        <w:t xml:space="preserve">In cases where they should </w:t>
      </w:r>
      <w:r>
        <w:rPr>
          <w:b/>
          <w:bCs/>
          <w:lang w:val="en-US"/>
        </w:rPr>
        <w:t>have a consent conversation, who should that be with</w:t>
      </w:r>
      <w:r w:rsidRPr="0054394D">
        <w:rPr>
          <w:b/>
          <w:bCs/>
          <w:lang w:val="en-US"/>
        </w:rPr>
        <w:t xml:space="preserve">? </w:t>
      </w:r>
    </w:p>
    <w:p w:rsidR="00752EEF" w:rsidP="003B08DC" w:rsidRDefault="003B08DC" w14:paraId="1DF1D927" w14:textId="7B860CBD">
      <w:pPr>
        <w:pStyle w:val="ListParagraph"/>
        <w:numPr>
          <w:ilvl w:val="0"/>
          <w:numId w:val="4"/>
        </w:numPr>
        <w:spacing w:after="0" w:line="480" w:lineRule="auto"/>
        <w:rPr>
          <w:lang w:val="en-US"/>
        </w:rPr>
      </w:pPr>
      <w:r w:rsidRPr="003B08DC">
        <w:rPr>
          <w:lang w:val="en-US"/>
        </w:rPr>
        <w:t>We recommend that c</w:t>
      </w:r>
      <w:r w:rsidRPr="003B08DC" w:rsidR="00752EEF">
        <w:rPr>
          <w:lang w:val="en-US"/>
        </w:rPr>
        <w:t>urrent practice maintained</w:t>
      </w:r>
      <w:r w:rsidRPr="003B08DC">
        <w:rPr>
          <w:lang w:val="en-US"/>
        </w:rPr>
        <w:t xml:space="preserve">. </w:t>
      </w:r>
      <w:r w:rsidRPr="00883305">
        <w:rPr>
          <w:color w:val="FF0000"/>
          <w:lang w:val="en-US"/>
        </w:rPr>
        <w:t>Please state what current practice stipulates:</w:t>
      </w:r>
      <w:r w:rsidRPr="00883305" w:rsidR="00752EEF">
        <w:rPr>
          <w:color w:val="FF0000"/>
          <w:lang w:val="en-US"/>
        </w:rPr>
        <w:t xml:space="preserve"> </w:t>
      </w:r>
      <w:r>
        <w:rPr>
          <w:lang w:val="en-US"/>
        </w:rPr>
        <w:t>_____________________________________________________________________________________________________________________________________________________________________________________________________________________________________________</w:t>
      </w:r>
    </w:p>
    <w:p w:rsidRPr="003B08DC" w:rsidR="003B08DC" w:rsidP="003B08DC" w:rsidRDefault="003B08DC" w14:paraId="4CA1E9F4" w14:textId="77777777">
      <w:pPr>
        <w:pStyle w:val="ListParagraph"/>
        <w:spacing w:after="0"/>
        <w:ind w:left="360"/>
        <w:rPr>
          <w:lang w:val="en-US"/>
        </w:rPr>
      </w:pPr>
    </w:p>
    <w:p w:rsidRPr="0054394D" w:rsidR="00752EEF" w:rsidP="00752EEF" w:rsidRDefault="00752EEF" w14:paraId="62246510" w14:textId="25A28A32">
      <w:pPr>
        <w:spacing w:after="0"/>
        <w:rPr>
          <w:b/>
          <w:bCs/>
          <w:lang w:val="en-US"/>
        </w:rPr>
      </w:pPr>
      <w:r w:rsidRPr="0054394D">
        <w:rPr>
          <w:b/>
          <w:bCs/>
          <w:lang w:val="en-US"/>
        </w:rPr>
        <w:t xml:space="preserve">How should social workers </w:t>
      </w:r>
      <w:r>
        <w:rPr>
          <w:b/>
          <w:bCs/>
          <w:lang w:val="en-US"/>
        </w:rPr>
        <w:t>have that consent conversation</w:t>
      </w:r>
      <w:r w:rsidR="00457611">
        <w:rPr>
          <w:b/>
          <w:bCs/>
          <w:lang w:val="en-US"/>
        </w:rPr>
        <w:t>, what should parents</w:t>
      </w:r>
      <w:r w:rsidR="001A1DE2">
        <w:rPr>
          <w:b/>
          <w:bCs/>
          <w:lang w:val="en-US"/>
        </w:rPr>
        <w:t>/</w:t>
      </w:r>
      <w:proofErr w:type="spellStart"/>
      <w:r w:rsidR="001A1DE2">
        <w:rPr>
          <w:b/>
          <w:bCs/>
          <w:lang w:val="en-US"/>
        </w:rPr>
        <w:t>carers</w:t>
      </w:r>
      <w:proofErr w:type="spellEnd"/>
      <w:r w:rsidR="001A1DE2">
        <w:rPr>
          <w:b/>
          <w:bCs/>
          <w:lang w:val="en-US"/>
        </w:rPr>
        <w:t xml:space="preserve"> be told</w:t>
      </w:r>
      <w:r w:rsidRPr="0054394D">
        <w:rPr>
          <w:b/>
          <w:bCs/>
          <w:lang w:val="en-US"/>
        </w:rPr>
        <w:t xml:space="preserve">? </w:t>
      </w:r>
    </w:p>
    <w:p w:rsidRPr="003B08DC" w:rsidR="003B08DC" w:rsidP="003B08DC" w:rsidRDefault="003B08DC" w14:paraId="030D9F50" w14:textId="19E88F81">
      <w:pPr>
        <w:pStyle w:val="ListParagraph"/>
        <w:numPr>
          <w:ilvl w:val="0"/>
          <w:numId w:val="3"/>
        </w:numPr>
        <w:spacing w:after="0" w:line="480" w:lineRule="auto"/>
        <w:rPr>
          <w:lang w:val="en-US"/>
        </w:rPr>
      </w:pPr>
      <w:r w:rsidRPr="003B08DC">
        <w:rPr>
          <w:lang w:val="en-US"/>
        </w:rPr>
        <w:t xml:space="preserve">We recommend that current practice maintained. </w:t>
      </w:r>
      <w:r w:rsidRPr="00883305">
        <w:rPr>
          <w:color w:val="FF0000"/>
          <w:lang w:val="en-US"/>
        </w:rPr>
        <w:t xml:space="preserve">Please state what current practice stipulates: </w:t>
      </w:r>
      <w:r>
        <w:rPr>
          <w:lang w:val="en-US"/>
        </w:rPr>
        <w:t>_____________________________________________________________________________________________________________________________________________________________________________________________________________________________________________</w:t>
      </w:r>
    </w:p>
    <w:p w:rsidRPr="004C2770" w:rsidR="004C2770" w:rsidP="004C2770" w:rsidRDefault="004C2770" w14:paraId="44A613B4" w14:textId="77777777">
      <w:pPr>
        <w:spacing w:after="0"/>
        <w:rPr>
          <w:lang w:val="en-US"/>
        </w:rPr>
      </w:pPr>
    </w:p>
    <w:p w:rsidRPr="0054394D" w:rsidR="00752EEF" w:rsidP="00752EEF" w:rsidRDefault="00752EEF" w14:paraId="10DD91A3" w14:textId="77777777">
      <w:pPr>
        <w:spacing w:after="0"/>
        <w:rPr>
          <w:b/>
          <w:bCs/>
          <w:lang w:val="en-US"/>
        </w:rPr>
      </w:pPr>
      <w:r>
        <w:rPr>
          <w:b/>
          <w:bCs/>
          <w:lang w:val="en-US"/>
        </w:rPr>
        <w:t>W</w:t>
      </w:r>
      <w:r w:rsidRPr="0054394D">
        <w:rPr>
          <w:b/>
          <w:bCs/>
          <w:lang w:val="en-US"/>
        </w:rPr>
        <w:t xml:space="preserve">hich individuals can a social worker </w:t>
      </w:r>
      <w:r>
        <w:rPr>
          <w:b/>
          <w:bCs/>
          <w:lang w:val="en-US"/>
        </w:rPr>
        <w:t>view information on in Family Context</w:t>
      </w:r>
      <w:r w:rsidRPr="0054394D">
        <w:rPr>
          <w:b/>
          <w:bCs/>
          <w:lang w:val="en-US"/>
        </w:rPr>
        <w:t xml:space="preserve">?  </w:t>
      </w:r>
    </w:p>
    <w:p w:rsidRPr="008115AD" w:rsidR="00752EEF" w:rsidP="00752EEF" w:rsidRDefault="00D74FB2" w14:paraId="1F28E033" w14:textId="416C0801">
      <w:pPr>
        <w:pStyle w:val="ListParagraph"/>
        <w:numPr>
          <w:ilvl w:val="0"/>
          <w:numId w:val="3"/>
        </w:numPr>
        <w:spacing w:after="0"/>
        <w:rPr>
          <w:lang w:val="en-US"/>
        </w:rPr>
      </w:pPr>
      <w:r>
        <w:rPr>
          <w:lang w:val="en-US"/>
        </w:rPr>
        <w:t xml:space="preserve">This will depend on </w:t>
      </w:r>
      <w:r w:rsidR="00220F18">
        <w:rPr>
          <w:lang w:val="en-US"/>
        </w:rPr>
        <w:t xml:space="preserve">the user journey selected. </w:t>
      </w:r>
      <w:r w:rsidR="00281F11">
        <w:rPr>
          <w:lang w:val="en-US"/>
        </w:rPr>
        <w:t xml:space="preserve">In user journey 1, </w:t>
      </w:r>
      <w:r w:rsidR="00A60DF8">
        <w:rPr>
          <w:lang w:val="en-US"/>
        </w:rPr>
        <w:t>you may wish to define this as ‘a</w:t>
      </w:r>
      <w:r w:rsidRPr="008115AD" w:rsidR="00752EEF">
        <w:rPr>
          <w:lang w:val="en-US"/>
        </w:rPr>
        <w:t>ny individual the social worker believes is relevant to the assessment they are conducting</w:t>
      </w:r>
      <w:r w:rsidR="00A60DF8">
        <w:rPr>
          <w:lang w:val="en-US"/>
        </w:rPr>
        <w:t>’</w:t>
      </w:r>
      <w:r w:rsidRPr="008115AD" w:rsidR="00752EEF">
        <w:rPr>
          <w:lang w:val="en-US"/>
        </w:rPr>
        <w:t xml:space="preserve">. </w:t>
      </w:r>
      <w:r w:rsidR="00A60DF8">
        <w:rPr>
          <w:lang w:val="en-US"/>
        </w:rPr>
        <w:t xml:space="preserve">In user journey 2, </w:t>
      </w:r>
      <w:r w:rsidR="00032E57">
        <w:rPr>
          <w:lang w:val="en-US"/>
        </w:rPr>
        <w:t>the social worker can view information on any individuals which are recorded as linked to the child on the Case Management System.</w:t>
      </w:r>
    </w:p>
    <w:p w:rsidR="00752EEF" w:rsidP="00752EEF" w:rsidRDefault="00752EEF" w14:paraId="7E2DD107" w14:textId="6614A507">
      <w:pPr>
        <w:pStyle w:val="ListParagraph"/>
        <w:spacing w:after="0"/>
        <w:ind w:left="360"/>
        <w:rPr>
          <w:lang w:val="en-US"/>
        </w:rPr>
      </w:pPr>
    </w:p>
    <w:p w:rsidRPr="004F21D4" w:rsidR="00D575C3" w:rsidP="00752EEF" w:rsidRDefault="00D575C3" w14:paraId="410BEBB0" w14:textId="77777777">
      <w:pPr>
        <w:pStyle w:val="ListParagraph"/>
        <w:spacing w:after="0"/>
        <w:ind w:left="360"/>
        <w:rPr>
          <w:lang w:val="en-US"/>
        </w:rPr>
      </w:pPr>
    </w:p>
    <w:p w:rsidRPr="00410505" w:rsidR="00752EEF" w:rsidP="00752EEF" w:rsidRDefault="00752EEF" w14:paraId="3EB8E4D7" w14:textId="77777777">
      <w:pPr>
        <w:spacing w:after="0"/>
        <w:rPr>
          <w:b/>
          <w:bCs/>
          <w:lang w:val="en-US"/>
        </w:rPr>
      </w:pPr>
      <w:r w:rsidRPr="00410505">
        <w:rPr>
          <w:b/>
          <w:bCs/>
          <w:lang w:val="en-US"/>
        </w:rPr>
        <w:t>How can social workers use th</w:t>
      </w:r>
      <w:r>
        <w:rPr>
          <w:b/>
          <w:bCs/>
          <w:lang w:val="en-US"/>
        </w:rPr>
        <w:t>e</w:t>
      </w:r>
      <w:r w:rsidRPr="00410505">
        <w:rPr>
          <w:b/>
          <w:bCs/>
          <w:lang w:val="en-US"/>
        </w:rPr>
        <w:t xml:space="preserve"> information</w:t>
      </w:r>
      <w:r>
        <w:rPr>
          <w:b/>
          <w:bCs/>
          <w:lang w:val="en-US"/>
        </w:rPr>
        <w:t xml:space="preserve"> presented in Family Context</w:t>
      </w:r>
      <w:r w:rsidRPr="00410505">
        <w:rPr>
          <w:b/>
          <w:bCs/>
          <w:lang w:val="en-US"/>
        </w:rPr>
        <w:t>?</w:t>
      </w:r>
    </w:p>
    <w:p w:rsidRPr="007C6513" w:rsidR="00752EEF" w:rsidP="00752EEF" w:rsidRDefault="003B08DC" w14:paraId="562FEA24" w14:textId="04D8725C">
      <w:pPr>
        <w:pStyle w:val="ListParagraph"/>
        <w:numPr>
          <w:ilvl w:val="0"/>
          <w:numId w:val="3"/>
        </w:numPr>
        <w:rPr>
          <w:lang w:val="en-US"/>
        </w:rPr>
      </w:pPr>
      <w:r>
        <w:rPr>
          <w:lang w:val="en-US"/>
        </w:rPr>
        <w:t>We recommend social workers use the information to</w:t>
      </w:r>
      <w:r w:rsidRPr="007C6513" w:rsidR="00752EEF">
        <w:rPr>
          <w:lang w:val="en-US"/>
        </w:rPr>
        <w:t xml:space="preserve"> assist them as they conduct the assessment</w:t>
      </w:r>
      <w:r>
        <w:rPr>
          <w:lang w:val="en-US"/>
        </w:rPr>
        <w:t>. This includes the following activities:</w:t>
      </w:r>
    </w:p>
    <w:p w:rsidR="00752EEF" w:rsidP="004C2770" w:rsidRDefault="00752EEF" w14:paraId="07363F59" w14:textId="77777777">
      <w:pPr>
        <w:pStyle w:val="ListParagraph"/>
        <w:numPr>
          <w:ilvl w:val="0"/>
          <w:numId w:val="7"/>
        </w:numPr>
        <w:rPr>
          <w:lang w:val="en-US"/>
        </w:rPr>
      </w:pPr>
      <w:r>
        <w:rPr>
          <w:lang w:val="en-US"/>
        </w:rPr>
        <w:t>Call services and speak to practitioners</w:t>
      </w:r>
    </w:p>
    <w:p w:rsidR="00752EEF" w:rsidP="004C2770" w:rsidRDefault="00752EEF" w14:paraId="4728EBC2" w14:textId="77777777">
      <w:pPr>
        <w:pStyle w:val="ListParagraph"/>
        <w:numPr>
          <w:ilvl w:val="0"/>
          <w:numId w:val="7"/>
        </w:numPr>
        <w:rPr>
          <w:lang w:val="en-US"/>
        </w:rPr>
      </w:pPr>
      <w:r>
        <w:rPr>
          <w:lang w:val="en-US"/>
        </w:rPr>
        <w:t>S</w:t>
      </w:r>
      <w:r w:rsidRPr="00622860">
        <w:rPr>
          <w:lang w:val="en-US"/>
        </w:rPr>
        <w:t>peak</w:t>
      </w:r>
      <w:r>
        <w:rPr>
          <w:lang w:val="en-US"/>
        </w:rPr>
        <w:t xml:space="preserve"> to other individuals relevant to the case</w:t>
      </w:r>
    </w:p>
    <w:p w:rsidR="00752EEF" w:rsidP="004C2770" w:rsidRDefault="00752EEF" w14:paraId="07E954AF" w14:textId="77777777">
      <w:pPr>
        <w:pStyle w:val="ListParagraph"/>
        <w:numPr>
          <w:ilvl w:val="0"/>
          <w:numId w:val="7"/>
        </w:numPr>
        <w:rPr>
          <w:lang w:val="en-US"/>
        </w:rPr>
      </w:pPr>
      <w:r>
        <w:rPr>
          <w:lang w:val="en-US"/>
        </w:rPr>
        <w:t>Shar</w:t>
      </w:r>
      <w:r w:rsidRPr="00622860">
        <w:rPr>
          <w:lang w:val="en-US"/>
        </w:rPr>
        <w:t>e</w:t>
      </w:r>
      <w:r>
        <w:rPr>
          <w:lang w:val="en-US"/>
        </w:rPr>
        <w:t xml:space="preserve"> </w:t>
      </w:r>
      <w:r w:rsidRPr="00622860">
        <w:rPr>
          <w:lang w:val="en-US"/>
        </w:rPr>
        <w:t>information</w:t>
      </w:r>
      <w:r>
        <w:rPr>
          <w:lang w:val="en-US"/>
        </w:rPr>
        <w:t xml:space="preserve"> with other services</w:t>
      </w:r>
    </w:p>
    <w:p w:rsidR="003B08DC" w:rsidP="004C2770" w:rsidRDefault="00752EEF" w14:paraId="71DAF85C" w14:textId="6D3B1F20">
      <w:pPr>
        <w:pStyle w:val="ListParagraph"/>
        <w:numPr>
          <w:ilvl w:val="0"/>
          <w:numId w:val="7"/>
        </w:numPr>
        <w:spacing w:after="0"/>
        <w:rPr>
          <w:lang w:val="en-US"/>
        </w:rPr>
      </w:pPr>
      <w:r>
        <w:rPr>
          <w:lang w:val="en-US"/>
        </w:rPr>
        <w:t>R</w:t>
      </w:r>
      <w:r w:rsidRPr="00622860">
        <w:rPr>
          <w:lang w:val="en-US"/>
        </w:rPr>
        <w:t xml:space="preserve">ecord </w:t>
      </w:r>
      <w:r>
        <w:rPr>
          <w:lang w:val="en-US"/>
        </w:rPr>
        <w:t xml:space="preserve">any information from the tool or from the resulting conversations </w:t>
      </w:r>
      <w:r w:rsidRPr="00622860">
        <w:rPr>
          <w:lang w:val="en-US"/>
        </w:rPr>
        <w:t xml:space="preserve">in </w:t>
      </w:r>
      <w:r w:rsidR="003B08DC">
        <w:rPr>
          <w:lang w:val="en-US"/>
        </w:rPr>
        <w:t>the Case Management System</w:t>
      </w:r>
    </w:p>
    <w:p w:rsidRPr="004C2770" w:rsidR="004C2770" w:rsidP="004C2770" w:rsidRDefault="004C2770" w14:paraId="7B3F5D72" w14:textId="3742ABF4">
      <w:pPr>
        <w:spacing w:after="0"/>
        <w:rPr>
          <w:lang w:val="en-US"/>
        </w:rPr>
      </w:pPr>
      <w:bookmarkStart w:name="_Hlk36461833" w:id="0"/>
      <w:r w:rsidRPr="00883305">
        <w:rPr>
          <w:color w:val="FF0000"/>
          <w:lang w:val="en-US"/>
        </w:rPr>
        <w:t>Please ensure this applies to you</w:t>
      </w:r>
      <w:r w:rsidRPr="00883305" w:rsidR="00F92203">
        <w:rPr>
          <w:color w:val="FF0000"/>
          <w:lang w:val="en-US"/>
        </w:rPr>
        <w:t>r</w:t>
      </w:r>
      <w:r w:rsidRPr="00883305">
        <w:rPr>
          <w:color w:val="FF0000"/>
          <w:lang w:val="en-US"/>
        </w:rPr>
        <w:t xml:space="preserve"> local authority and make any necessary amendments.</w:t>
      </w:r>
      <w:bookmarkEnd w:id="0"/>
    </w:p>
    <w:p w:rsidR="004C2770" w:rsidP="004C2770" w:rsidRDefault="004C2770" w14:paraId="10260085" w14:textId="015D993B">
      <w:pPr>
        <w:rPr>
          <w:lang w:val="en-US"/>
        </w:rPr>
      </w:pPr>
    </w:p>
    <w:p w:rsidRPr="004C2770" w:rsidR="00D575C3" w:rsidP="004C2770" w:rsidRDefault="00D575C3" w14:paraId="7ECC1B2F" w14:textId="77777777">
      <w:pPr>
        <w:rPr>
          <w:lang w:val="en-US"/>
        </w:rPr>
      </w:pPr>
    </w:p>
    <w:p w:rsidRPr="00883305" w:rsidR="00883305" w:rsidP="003B08DC" w:rsidRDefault="00883305" w14:paraId="67615726" w14:textId="511F6807">
      <w:pPr>
        <w:rPr>
          <w:b/>
          <w:bCs/>
          <w:u w:val="single"/>
          <w:lang w:val="en-US"/>
        </w:rPr>
      </w:pPr>
      <w:r>
        <w:rPr>
          <w:b/>
          <w:bCs/>
          <w:u w:val="single"/>
          <w:lang w:val="en-US"/>
        </w:rPr>
        <w:t>Guidance according to the screens shown in the tool</w:t>
      </w:r>
    </w:p>
    <w:p w:rsidR="004C2770" w:rsidP="003B08DC" w:rsidRDefault="00752EEF" w14:paraId="18AC96F5" w14:textId="34532C36">
      <w:pPr>
        <w:rPr>
          <w:lang w:val="en-US"/>
        </w:rPr>
      </w:pPr>
      <w:r w:rsidRPr="003B08DC">
        <w:rPr>
          <w:lang w:val="en-US"/>
        </w:rPr>
        <w:t>The</w:t>
      </w:r>
      <w:r w:rsidR="004C2770">
        <w:rPr>
          <w:lang w:val="en-US"/>
        </w:rPr>
        <w:t xml:space="preserve"> following part of th</w:t>
      </w:r>
      <w:r w:rsidR="00F92203">
        <w:rPr>
          <w:lang w:val="en-US"/>
        </w:rPr>
        <w:t>is</w:t>
      </w:r>
      <w:r w:rsidR="004C2770">
        <w:rPr>
          <w:lang w:val="en-US"/>
        </w:rPr>
        <w:t xml:space="preserve"> guidance should show the</w:t>
      </w:r>
      <w:r w:rsidRPr="003B08DC">
        <w:rPr>
          <w:lang w:val="en-US"/>
        </w:rPr>
        <w:t xml:space="preserve"> screens a social worker sees in</w:t>
      </w:r>
      <w:r w:rsidR="00883305">
        <w:rPr>
          <w:lang w:val="en-US"/>
        </w:rPr>
        <w:t xml:space="preserve"> the</w:t>
      </w:r>
      <w:r w:rsidRPr="003B08DC">
        <w:rPr>
          <w:lang w:val="en-US"/>
        </w:rPr>
        <w:t xml:space="preserve"> Family Context </w:t>
      </w:r>
      <w:r w:rsidR="00883305">
        <w:rPr>
          <w:lang w:val="en-US"/>
        </w:rPr>
        <w:t xml:space="preserve">tool </w:t>
      </w:r>
      <w:r w:rsidR="004C2770">
        <w:rPr>
          <w:lang w:val="en-US"/>
        </w:rPr>
        <w:t>according to</w:t>
      </w:r>
      <w:r w:rsidR="00883305">
        <w:rPr>
          <w:lang w:val="en-US"/>
        </w:rPr>
        <w:t xml:space="preserve"> a local authority’s</w:t>
      </w:r>
      <w:r w:rsidR="004C2770">
        <w:rPr>
          <w:lang w:val="en-US"/>
        </w:rPr>
        <w:t xml:space="preserve"> </w:t>
      </w:r>
      <w:r w:rsidR="00883305">
        <w:rPr>
          <w:lang w:val="en-US"/>
        </w:rPr>
        <w:t xml:space="preserve">chosen </w:t>
      </w:r>
      <w:r w:rsidR="004C2770">
        <w:rPr>
          <w:lang w:val="en-US"/>
        </w:rPr>
        <w:t xml:space="preserve">user journey </w:t>
      </w:r>
      <w:r w:rsidR="00883305">
        <w:rPr>
          <w:lang w:val="en-US"/>
        </w:rPr>
        <w:t xml:space="preserve">and development of the tool. </w:t>
      </w:r>
      <w:r w:rsidR="004C2770">
        <w:rPr>
          <w:lang w:val="en-US"/>
        </w:rPr>
        <w:t>Alongside each screen, there should be clear guidance on whether a social worker is required to have had the consent conversation before viewing it.</w:t>
      </w:r>
      <w:r w:rsidR="00883305">
        <w:rPr>
          <w:lang w:val="en-US"/>
        </w:rPr>
        <w:t xml:space="preserve"> Screens 1 and 2 are shown as an example. </w:t>
      </w:r>
      <w:r w:rsidRPr="00883305" w:rsidR="00883305">
        <w:rPr>
          <w:color w:val="FF0000"/>
          <w:lang w:val="en-US"/>
        </w:rPr>
        <w:t xml:space="preserve">Please </w:t>
      </w:r>
      <w:r w:rsidR="00883305">
        <w:rPr>
          <w:color w:val="FF0000"/>
          <w:lang w:val="en-US"/>
        </w:rPr>
        <w:t xml:space="preserve">update these screens and </w:t>
      </w:r>
      <w:r w:rsidRPr="00883305" w:rsidR="00883305">
        <w:rPr>
          <w:color w:val="FF0000"/>
          <w:lang w:val="en-US"/>
        </w:rPr>
        <w:t>complete the guidance for any subsequent screens.</w:t>
      </w:r>
    </w:p>
    <w:p w:rsidR="00752EEF" w:rsidP="00752EEF" w:rsidRDefault="00752EEF" w14:paraId="3C992587" w14:textId="77777777"/>
    <w:p w:rsidR="00D575C3" w:rsidRDefault="00D575C3" w14:paraId="423A5684" w14:textId="77777777">
      <w:pPr>
        <w:rPr>
          <w:b/>
          <w:bCs/>
          <w:lang w:val="en-US"/>
        </w:rPr>
      </w:pPr>
      <w:r>
        <w:rPr>
          <w:b/>
          <w:bCs/>
          <w:lang w:val="en-US"/>
        </w:rPr>
        <w:br w:type="page"/>
      </w:r>
    </w:p>
    <w:p w:rsidR="00BF11C2" w:rsidP="001B234E" w:rsidRDefault="001B234E" w14:paraId="4E130BB6" w14:textId="13FA62BC">
      <w:pPr>
        <w:spacing w:after="0"/>
        <w:rPr>
          <w:lang w:val="en-US"/>
        </w:rPr>
      </w:pPr>
      <w:r w:rsidRPr="00BA374A">
        <w:rPr>
          <w:b/>
          <w:bCs/>
          <w:lang w:val="en-US"/>
        </w:rPr>
        <w:lastRenderedPageBreak/>
        <w:t xml:space="preserve">Screen 1: </w:t>
      </w:r>
      <w:r>
        <w:rPr>
          <w:lang w:val="en-US"/>
        </w:rPr>
        <w:t xml:space="preserve">Social workers search for </w:t>
      </w:r>
      <w:r w:rsidRPr="004F21D4">
        <w:rPr>
          <w:lang w:val="en-US"/>
        </w:rPr>
        <w:t>a</w:t>
      </w:r>
      <w:r w:rsidR="00BF11C2">
        <w:rPr>
          <w:lang w:val="en-US"/>
        </w:rPr>
        <w:t xml:space="preserve"> child/</w:t>
      </w:r>
      <w:r w:rsidRPr="004F21D4">
        <w:rPr>
          <w:lang w:val="en-US"/>
        </w:rPr>
        <w:t>individual</w:t>
      </w:r>
      <w:r w:rsidR="00BF11C2">
        <w:rPr>
          <w:lang w:val="en-US"/>
        </w:rPr>
        <w:t xml:space="preserve"> </w:t>
      </w:r>
      <w:r w:rsidRPr="0072644F" w:rsidR="00BF11C2">
        <w:rPr>
          <w:color w:val="FF0000"/>
          <w:lang w:val="en-US"/>
        </w:rPr>
        <w:t xml:space="preserve">(delete </w:t>
      </w:r>
      <w:r w:rsidR="0072644F">
        <w:rPr>
          <w:color w:val="FF0000"/>
          <w:lang w:val="en-US"/>
        </w:rPr>
        <w:t>as</w:t>
      </w:r>
      <w:r w:rsidRPr="0072644F" w:rsidR="00BF11C2">
        <w:rPr>
          <w:color w:val="FF0000"/>
          <w:lang w:val="en-US"/>
        </w:rPr>
        <w:t xml:space="preserve"> appropriate)</w:t>
      </w:r>
      <w:r w:rsidRPr="0072644F">
        <w:rPr>
          <w:color w:val="FF0000"/>
          <w:lang w:val="en-US"/>
        </w:rPr>
        <w:t xml:space="preserve"> </w:t>
      </w:r>
      <w:r w:rsidRPr="004F21D4">
        <w:rPr>
          <w:lang w:val="en-US"/>
        </w:rPr>
        <w:t>who is, or is relevant to, the subject of a referral</w:t>
      </w:r>
      <w:r w:rsidR="00BF11C2">
        <w:rPr>
          <w:lang w:val="en-US"/>
        </w:rPr>
        <w:t xml:space="preserve">. </w:t>
      </w:r>
    </w:p>
    <w:p w:rsidR="00F92203" w:rsidP="001B234E" w:rsidRDefault="001B234E" w14:paraId="4CD9A586" w14:textId="77777777">
      <w:pPr>
        <w:spacing w:after="0"/>
        <w:rPr>
          <w:b/>
          <w:bCs/>
          <w:lang w:val="en-US"/>
        </w:rPr>
      </w:pPr>
      <w:r w:rsidRPr="00F56EC5">
        <w:rPr>
          <w:b/>
          <w:bCs/>
          <w:lang w:val="en-US"/>
        </w:rPr>
        <w:t xml:space="preserve">Consent conversation required to view this </w:t>
      </w:r>
      <w:proofErr w:type="gramStart"/>
      <w:r w:rsidRPr="00F56EC5">
        <w:rPr>
          <w:b/>
          <w:bCs/>
          <w:lang w:val="en-US"/>
        </w:rPr>
        <w:t>screen?</w:t>
      </w:r>
      <w:proofErr w:type="gramEnd"/>
    </w:p>
    <w:p w:rsidRPr="00F92203" w:rsidR="00F92203" w:rsidP="00F92203" w:rsidRDefault="00F92203" w14:paraId="20D62B5E" w14:textId="0CF9A6B4">
      <w:pPr>
        <w:pStyle w:val="ListParagraph"/>
        <w:numPr>
          <w:ilvl w:val="0"/>
          <w:numId w:val="8"/>
        </w:numPr>
        <w:spacing w:after="0"/>
        <w:rPr>
          <w:lang w:val="en-US"/>
        </w:rPr>
      </w:pPr>
      <w:r>
        <w:rPr>
          <w:lang w:val="en-US"/>
        </w:rPr>
        <w:t>We recommend that this is not required for section 47 cases.</w:t>
      </w:r>
    </w:p>
    <w:p w:rsidR="00F92203" w:rsidP="00F92203" w:rsidRDefault="00F92203" w14:paraId="74FA6B52" w14:textId="417999BE">
      <w:pPr>
        <w:pStyle w:val="ListParagraph"/>
        <w:numPr>
          <w:ilvl w:val="0"/>
          <w:numId w:val="2"/>
        </w:numPr>
        <w:spacing w:after="0" w:line="480" w:lineRule="auto"/>
        <w:rPr>
          <w:lang w:val="en-US"/>
        </w:rPr>
      </w:pPr>
      <w:r w:rsidRPr="0072644F">
        <w:rPr>
          <w:color w:val="FF0000"/>
          <w:lang w:val="en-US"/>
        </w:rPr>
        <w:t xml:space="preserve">Please state the requirement for section 17 cases: </w:t>
      </w:r>
      <w:r>
        <w:rPr>
          <w:lang w:val="en-US"/>
        </w:rPr>
        <w:t>_____________________________________</w:t>
      </w:r>
    </w:p>
    <w:p w:rsidRPr="00F92203" w:rsidR="001B234E" w:rsidP="00F92203" w:rsidRDefault="00BF11C2" w14:paraId="1FA2D64D" w14:textId="25F25B2C">
      <w:pPr>
        <w:pStyle w:val="ListParagraph"/>
        <w:spacing w:after="0" w:line="480" w:lineRule="auto"/>
        <w:ind w:left="360"/>
        <w:rPr>
          <w:lang w:val="en-US"/>
        </w:rPr>
      </w:pPr>
      <w:r>
        <w:rPr>
          <w:noProof/>
        </w:rPr>
        <w:drawing>
          <wp:anchor distT="0" distB="0" distL="114300" distR="114300" simplePos="0" relativeHeight="251672576" behindDoc="0" locked="0" layoutInCell="1" allowOverlap="1" wp14:anchorId="7797FBCC" wp14:editId="6998C51A">
            <wp:simplePos x="0" y="0"/>
            <wp:positionH relativeFrom="column">
              <wp:posOffset>152693</wp:posOffset>
            </wp:positionH>
            <wp:positionV relativeFrom="paragraph">
              <wp:posOffset>757555</wp:posOffset>
            </wp:positionV>
            <wp:extent cx="5642610" cy="3971290"/>
            <wp:effectExtent l="19050" t="19050" r="15240" b="1016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a:stretch/>
                  </pic:blipFill>
                  <pic:spPr bwMode="auto">
                    <a:xfrm>
                      <a:off x="0" y="0"/>
                      <a:ext cx="5642610" cy="3971290"/>
                    </a:xfrm>
                    <a:prstGeom prst="rect">
                      <a:avLst/>
                    </a:prstGeom>
                    <a:ln w="1905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2203">
        <w:rPr>
          <w:lang w:val="en-US"/>
        </w:rPr>
        <w:t>______________________________________________________________________________________________________________________________________________________________</w:t>
      </w:r>
    </w:p>
    <w:p w:rsidR="00F92203" w:rsidP="001B234E" w:rsidRDefault="00F92203" w14:paraId="5905343B" w14:textId="21F3EDB1">
      <w:pPr>
        <w:spacing w:after="0"/>
        <w:rPr>
          <w:lang w:val="en-US"/>
        </w:rPr>
      </w:pPr>
    </w:p>
    <w:p w:rsidR="001B234E" w:rsidP="001B234E" w:rsidRDefault="001B234E" w14:paraId="45040676" w14:textId="5AFE9529">
      <w:pPr>
        <w:spacing w:after="0"/>
        <w:rPr>
          <w:lang w:val="en-US"/>
        </w:rPr>
      </w:pPr>
    </w:p>
    <w:p w:rsidR="001B234E" w:rsidP="001B234E" w:rsidRDefault="001B234E" w14:paraId="4678C970" w14:textId="0968272C">
      <w:pPr>
        <w:spacing w:after="0"/>
        <w:rPr>
          <w:lang w:val="en-US"/>
        </w:rPr>
      </w:pPr>
    </w:p>
    <w:p w:rsidR="001B234E" w:rsidP="001B234E" w:rsidRDefault="001B234E" w14:paraId="22D4AF19" w14:textId="507A98C4">
      <w:pPr>
        <w:spacing w:after="0"/>
        <w:rPr>
          <w:lang w:val="en-US"/>
        </w:rPr>
      </w:pPr>
    </w:p>
    <w:p w:rsidR="001B234E" w:rsidP="001B234E" w:rsidRDefault="001B234E" w14:paraId="544E0AA7" w14:textId="77777777">
      <w:pPr>
        <w:spacing w:after="0"/>
        <w:rPr>
          <w:lang w:val="en-US"/>
        </w:rPr>
      </w:pPr>
    </w:p>
    <w:p w:rsidR="001B234E" w:rsidP="001B234E" w:rsidRDefault="001B234E" w14:paraId="50FB87D4" w14:textId="77777777">
      <w:pPr>
        <w:spacing w:after="0"/>
        <w:rPr>
          <w:lang w:val="en-US"/>
        </w:rPr>
      </w:pPr>
    </w:p>
    <w:p w:rsidR="0072644F" w:rsidRDefault="0072644F" w14:paraId="31481B87" w14:textId="77777777">
      <w:pPr>
        <w:rPr>
          <w:b/>
          <w:bCs/>
          <w:lang w:val="en-US"/>
        </w:rPr>
      </w:pPr>
      <w:r>
        <w:rPr>
          <w:b/>
          <w:bCs/>
          <w:lang w:val="en-US"/>
        </w:rPr>
        <w:br w:type="page"/>
      </w:r>
    </w:p>
    <w:p w:rsidRPr="00BF11C2" w:rsidR="00BF11C2" w:rsidP="001B234E" w:rsidRDefault="001B234E" w14:paraId="0AA79E5F" w14:textId="07AA749B">
      <w:pPr>
        <w:spacing w:after="0"/>
        <w:rPr>
          <w:lang w:val="en-US"/>
        </w:rPr>
      </w:pPr>
      <w:r w:rsidRPr="000A515E">
        <w:rPr>
          <w:b/>
          <w:bCs/>
          <w:lang w:val="en-US"/>
        </w:rPr>
        <w:lastRenderedPageBreak/>
        <w:t>Screen 2:</w:t>
      </w:r>
      <w:r>
        <w:rPr>
          <w:lang w:val="en-US"/>
        </w:rPr>
        <w:t xml:space="preserve"> </w:t>
      </w:r>
      <w:r w:rsidRPr="0042000A">
        <w:rPr>
          <w:lang w:val="en-US"/>
        </w:rPr>
        <w:t>Social workers select the appropriate individual from a list of matches</w:t>
      </w:r>
      <w:r w:rsidR="00BF11C2">
        <w:rPr>
          <w:lang w:val="en-US"/>
        </w:rPr>
        <w:t xml:space="preserve">. </w:t>
      </w:r>
      <w:r w:rsidRPr="0072644F" w:rsidR="00BF11C2">
        <w:rPr>
          <w:color w:val="FF0000"/>
          <w:lang w:val="en-US"/>
        </w:rPr>
        <w:t>Please update the screen according to the chosen user journey in your local authority.</w:t>
      </w:r>
    </w:p>
    <w:p w:rsidR="001B234E" w:rsidP="001B234E" w:rsidRDefault="001B234E" w14:paraId="54C3CDDD" w14:textId="7D51AF07">
      <w:pPr>
        <w:spacing w:after="0"/>
        <w:rPr>
          <w:lang w:val="en-US"/>
        </w:rPr>
      </w:pPr>
      <w:r w:rsidRPr="00F56EC5">
        <w:rPr>
          <w:b/>
          <w:bCs/>
          <w:lang w:val="en-US"/>
        </w:rPr>
        <w:t xml:space="preserve">Consent conversation required to view this </w:t>
      </w:r>
      <w:proofErr w:type="gramStart"/>
      <w:r w:rsidRPr="00F56EC5">
        <w:rPr>
          <w:b/>
          <w:bCs/>
          <w:lang w:val="en-US"/>
        </w:rPr>
        <w:t>screen?</w:t>
      </w:r>
      <w:proofErr w:type="gramEnd"/>
      <w:r>
        <w:rPr>
          <w:lang w:val="en-US"/>
        </w:rPr>
        <w:t xml:space="preserve"> </w:t>
      </w:r>
    </w:p>
    <w:p w:rsidRPr="00EC79AD" w:rsidR="00BF11C2" w:rsidP="00BF11C2" w:rsidRDefault="00BF11C2" w14:paraId="4775AA2C" w14:textId="77777777">
      <w:pPr>
        <w:pStyle w:val="ListParagraph"/>
        <w:numPr>
          <w:ilvl w:val="0"/>
          <w:numId w:val="2"/>
        </w:numPr>
        <w:spacing w:after="0"/>
        <w:rPr>
          <w:lang w:val="en-US"/>
        </w:rPr>
      </w:pPr>
      <w:r>
        <w:rPr>
          <w:lang w:val="en-US"/>
        </w:rPr>
        <w:t>We recommend that this is not required for section 47 cases.</w:t>
      </w:r>
    </w:p>
    <w:p w:rsidR="00BF11C2" w:rsidP="00BF11C2" w:rsidRDefault="00BF11C2" w14:paraId="080E418A" w14:textId="77777777">
      <w:pPr>
        <w:pStyle w:val="ListParagraph"/>
        <w:numPr>
          <w:ilvl w:val="0"/>
          <w:numId w:val="2"/>
        </w:numPr>
        <w:spacing w:after="0" w:line="480" w:lineRule="auto"/>
        <w:rPr>
          <w:lang w:val="en-US"/>
        </w:rPr>
      </w:pPr>
      <w:r w:rsidRPr="0072644F">
        <w:rPr>
          <w:color w:val="FF0000"/>
          <w:lang w:val="en-US"/>
        </w:rPr>
        <w:t xml:space="preserve">Please state the requirement for section 17 cases: </w:t>
      </w:r>
      <w:r>
        <w:rPr>
          <w:lang w:val="en-US"/>
        </w:rPr>
        <w:t>_____________________________________</w:t>
      </w:r>
    </w:p>
    <w:p w:rsidR="00BF11C2" w:rsidP="00BF11C2" w:rsidRDefault="00BF11C2" w14:paraId="25F4FFA9" w14:textId="3364E175">
      <w:pPr>
        <w:pStyle w:val="ListParagraph"/>
        <w:spacing w:after="0" w:line="480" w:lineRule="auto"/>
        <w:ind w:left="360"/>
        <w:rPr>
          <w:lang w:val="en-US"/>
        </w:rPr>
      </w:pPr>
      <w:r>
        <w:rPr>
          <w:noProof/>
        </w:rPr>
        <w:drawing>
          <wp:anchor distT="0" distB="0" distL="114300" distR="114300" simplePos="0" relativeHeight="251673600" behindDoc="0" locked="0" layoutInCell="1" allowOverlap="1" wp14:anchorId="6C43B6BF" wp14:editId="3E96ED26">
            <wp:simplePos x="0" y="0"/>
            <wp:positionH relativeFrom="column">
              <wp:posOffset>46990</wp:posOffset>
            </wp:positionH>
            <wp:positionV relativeFrom="paragraph">
              <wp:posOffset>797560</wp:posOffset>
            </wp:positionV>
            <wp:extent cx="5731510" cy="4060190"/>
            <wp:effectExtent l="19050" t="19050" r="21590" b="165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5712"/>
                    <a:stretch/>
                  </pic:blipFill>
                  <pic:spPr bwMode="auto">
                    <a:xfrm>
                      <a:off x="0" y="0"/>
                      <a:ext cx="5731510" cy="4060190"/>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F11C2">
        <w:rPr>
          <w:lang w:val="en-US"/>
        </w:rPr>
        <w:t>______________________________________________________________________________________________________________________________________________________________</w:t>
      </w:r>
    </w:p>
    <w:p w:rsidR="00D73EEB" w:rsidP="004471F1" w:rsidRDefault="00D73EEB" w14:paraId="5BF0F12E" w14:textId="77777777">
      <w:pPr>
        <w:rPr>
          <w:noProof/>
          <w:lang w:eastAsia="en-GB"/>
        </w:rPr>
      </w:pPr>
    </w:p>
    <w:p w:rsidR="007240FF" w:rsidRDefault="007240FF" w14:paraId="3F489366" w14:textId="77777777">
      <w:pPr>
        <w:rPr>
          <w:bCs/>
          <w:lang w:val="en-US"/>
        </w:rPr>
      </w:pPr>
      <w:r>
        <w:rPr>
          <w:bCs/>
          <w:lang w:val="en-US"/>
        </w:rPr>
        <w:br w:type="page"/>
      </w:r>
    </w:p>
    <w:p w:rsidRPr="007240FF" w:rsidR="007240FF" w:rsidP="004471F1" w:rsidRDefault="007240FF" w14:paraId="00430DCB" w14:textId="77777777">
      <w:pPr>
        <w:rPr>
          <w:b/>
          <w:bCs/>
          <w:lang w:val="en-US"/>
        </w:rPr>
      </w:pPr>
      <w:r w:rsidRPr="007240FF">
        <w:rPr>
          <w:b/>
          <w:bCs/>
          <w:lang w:val="en-US"/>
        </w:rPr>
        <w:lastRenderedPageBreak/>
        <w:t xml:space="preserve">Subsequent screens </w:t>
      </w:r>
    </w:p>
    <w:p w:rsidR="008042B7" w:rsidP="004471F1" w:rsidRDefault="007240FF" w14:paraId="7091E9F5" w14:textId="77777777">
      <w:pPr>
        <w:rPr>
          <w:bCs/>
          <w:lang w:val="en-US"/>
        </w:rPr>
      </w:pPr>
      <w:r>
        <w:rPr>
          <w:bCs/>
          <w:lang w:val="en-US"/>
        </w:rPr>
        <w:t xml:space="preserve">We suggest mirroring the format shown for screens 1 and 2 for the additional screens. We do not include these here because the screens will differ depending on the user journey selected. </w:t>
      </w:r>
    </w:p>
    <w:p w:rsidR="00883305" w:rsidP="004471F1" w:rsidRDefault="008042B7" w14:paraId="65124A51" w14:textId="121297CE">
      <w:pPr>
        <w:rPr>
          <w:bCs/>
          <w:lang w:val="en-US"/>
        </w:rPr>
      </w:pPr>
      <w:r>
        <w:rPr>
          <w:bCs/>
          <w:lang w:val="en-US"/>
        </w:rPr>
        <w:t>Irrespective of the user journey selected, t</w:t>
      </w:r>
      <w:r w:rsidR="00883305">
        <w:rPr>
          <w:bCs/>
          <w:lang w:val="en-US"/>
        </w:rPr>
        <w:t xml:space="preserve">he screens showing an individual’s service involvement should be separated </w:t>
      </w:r>
      <w:r w:rsidR="00E52E9F">
        <w:rPr>
          <w:bCs/>
          <w:lang w:val="en-US"/>
        </w:rPr>
        <w:t>into</w:t>
      </w:r>
      <w:r w:rsidR="00883305">
        <w:rPr>
          <w:bCs/>
          <w:lang w:val="en-US"/>
        </w:rPr>
        <w:t xml:space="preserve"> th</w:t>
      </w:r>
      <w:r w:rsidR="00D73EEB">
        <w:rPr>
          <w:bCs/>
          <w:lang w:val="en-US"/>
        </w:rPr>
        <w:t>ose showing</w:t>
      </w:r>
      <w:r w:rsidR="00883305">
        <w:rPr>
          <w:bCs/>
          <w:lang w:val="en-US"/>
        </w:rPr>
        <w:t xml:space="preserve"> service involvement </w:t>
      </w:r>
      <w:r w:rsidRPr="00883305" w:rsidR="00883305">
        <w:rPr>
          <w:bCs/>
          <w:i/>
          <w:iCs/>
          <w:lang w:val="en-US"/>
        </w:rPr>
        <w:t xml:space="preserve">flags </w:t>
      </w:r>
      <w:r w:rsidR="00883305">
        <w:rPr>
          <w:bCs/>
          <w:lang w:val="en-US"/>
        </w:rPr>
        <w:t xml:space="preserve">and service involvement </w:t>
      </w:r>
      <w:r w:rsidRPr="00883305" w:rsidR="00883305">
        <w:rPr>
          <w:bCs/>
          <w:i/>
          <w:iCs/>
          <w:lang w:val="en-US"/>
        </w:rPr>
        <w:t>details</w:t>
      </w:r>
      <w:r w:rsidR="00883305">
        <w:rPr>
          <w:bCs/>
          <w:lang w:val="en-US"/>
        </w:rPr>
        <w:t xml:space="preserve">. </w:t>
      </w:r>
    </w:p>
    <w:p w:rsidRPr="00883305" w:rsidR="00D73EEB" w:rsidP="004471F1" w:rsidRDefault="00D73EEB" w14:paraId="7DDD6A06" w14:textId="3B38564B">
      <w:pPr>
        <w:rPr>
          <w:bCs/>
          <w:lang w:val="en-US"/>
        </w:rPr>
      </w:pPr>
      <w:r>
        <w:rPr>
          <w:bCs/>
          <w:lang w:val="en-US"/>
        </w:rPr>
        <w:t>As part of the guidance on these screens, it is important to list the ages which determine if the service involvement information for a given service appears. For example</w:t>
      </w:r>
      <w:r w:rsidR="004471F1">
        <w:rPr>
          <w:lang w:val="en-US"/>
        </w:rPr>
        <w:t>:</w:t>
      </w:r>
    </w:p>
    <w:tbl>
      <w:tblPr>
        <w:tblStyle w:val="TableGrid"/>
        <w:tblW w:w="0" w:type="auto"/>
        <w:jc w:val="center"/>
        <w:tblLook w:val="04A0" w:firstRow="1" w:lastRow="0" w:firstColumn="1" w:lastColumn="0" w:noHBand="0" w:noVBand="1"/>
      </w:tblPr>
      <w:tblGrid>
        <w:gridCol w:w="1838"/>
        <w:gridCol w:w="6237"/>
      </w:tblGrid>
      <w:tr w:rsidR="004471F1" w:rsidTr="00D73EEB" w14:paraId="6AE6108E" w14:textId="77777777">
        <w:trPr>
          <w:jc w:val="center"/>
        </w:trPr>
        <w:tc>
          <w:tcPr>
            <w:tcW w:w="1838" w:type="dxa"/>
            <w:shd w:val="clear" w:color="auto" w:fill="000000" w:themeFill="text1"/>
          </w:tcPr>
          <w:p w:rsidRPr="00615137" w:rsidR="004471F1" w:rsidP="008445EF" w:rsidRDefault="004471F1" w14:paraId="1C00B9E1" w14:textId="77777777">
            <w:pPr>
              <w:rPr>
                <w:color w:val="FFFFFF" w:themeColor="background1"/>
                <w:lang w:val="en-US"/>
              </w:rPr>
            </w:pPr>
            <w:r w:rsidRPr="00615137">
              <w:rPr>
                <w:color w:val="FFFFFF" w:themeColor="background1"/>
                <w:lang w:val="en-US"/>
              </w:rPr>
              <w:t>Service</w:t>
            </w:r>
          </w:p>
        </w:tc>
        <w:tc>
          <w:tcPr>
            <w:tcW w:w="6237" w:type="dxa"/>
            <w:shd w:val="clear" w:color="auto" w:fill="000000" w:themeFill="text1"/>
          </w:tcPr>
          <w:p w:rsidRPr="00615137" w:rsidR="004471F1" w:rsidP="008445EF" w:rsidRDefault="004471F1" w14:paraId="62E79FB0" w14:textId="77777777">
            <w:pPr>
              <w:rPr>
                <w:color w:val="FFFFFF" w:themeColor="background1"/>
                <w:lang w:val="en-US"/>
              </w:rPr>
            </w:pPr>
            <w:r>
              <w:rPr>
                <w:color w:val="FFFFFF" w:themeColor="background1"/>
                <w:lang w:val="en-US"/>
              </w:rPr>
              <w:t>Service section is shown for individuals aged</w:t>
            </w:r>
          </w:p>
        </w:tc>
      </w:tr>
      <w:tr w:rsidR="004471F1" w:rsidTr="00D73EEB" w14:paraId="2CE418C3" w14:textId="77777777">
        <w:trPr>
          <w:jc w:val="center"/>
        </w:trPr>
        <w:tc>
          <w:tcPr>
            <w:tcW w:w="1838" w:type="dxa"/>
          </w:tcPr>
          <w:p w:rsidR="004471F1" w:rsidP="008445EF" w:rsidRDefault="004471F1" w14:paraId="17160DD3" w14:textId="77777777">
            <w:pPr>
              <w:rPr>
                <w:lang w:val="en-US"/>
              </w:rPr>
            </w:pPr>
            <w:r>
              <w:rPr>
                <w:lang w:val="en-US"/>
              </w:rPr>
              <w:t>School</w:t>
            </w:r>
          </w:p>
        </w:tc>
        <w:tc>
          <w:tcPr>
            <w:tcW w:w="6237" w:type="dxa"/>
          </w:tcPr>
          <w:p w:rsidR="004471F1" w:rsidP="008445EF" w:rsidRDefault="004471F1" w14:paraId="441D2368" w14:textId="77777777">
            <w:pPr>
              <w:rPr>
                <w:lang w:val="en-US"/>
              </w:rPr>
            </w:pPr>
            <w:r>
              <w:rPr>
                <w:lang w:val="en-US"/>
              </w:rPr>
              <w:t>4 - 20 years old</w:t>
            </w:r>
          </w:p>
        </w:tc>
      </w:tr>
      <w:tr w:rsidR="004471F1" w:rsidTr="00D73EEB" w14:paraId="5BB53F31" w14:textId="77777777">
        <w:trPr>
          <w:jc w:val="center"/>
        </w:trPr>
        <w:tc>
          <w:tcPr>
            <w:tcW w:w="1838" w:type="dxa"/>
          </w:tcPr>
          <w:p w:rsidR="004471F1" w:rsidP="008445EF" w:rsidRDefault="004471F1" w14:paraId="4596AB5C" w14:textId="77777777">
            <w:pPr>
              <w:rPr>
                <w:lang w:val="en-US"/>
              </w:rPr>
            </w:pPr>
            <w:r>
              <w:rPr>
                <w:lang w:val="en-US"/>
              </w:rPr>
              <w:t>Adult Social Care</w:t>
            </w:r>
          </w:p>
        </w:tc>
        <w:tc>
          <w:tcPr>
            <w:tcW w:w="6237" w:type="dxa"/>
          </w:tcPr>
          <w:p w:rsidRPr="00805143" w:rsidR="004471F1" w:rsidP="008445EF" w:rsidRDefault="004471F1" w14:paraId="4038BCF1" w14:textId="2EA88680">
            <w:pPr>
              <w:rPr>
                <w:b/>
                <w:bCs/>
                <w:lang w:val="en-US"/>
              </w:rPr>
            </w:pPr>
            <w:r w:rsidRPr="00615137">
              <w:rPr>
                <w:lang w:val="en-US"/>
              </w:rPr>
              <w:t>1</w:t>
            </w:r>
            <w:r>
              <w:rPr>
                <w:lang w:val="en-US"/>
              </w:rPr>
              <w:t>6</w:t>
            </w:r>
            <w:r w:rsidRPr="00615137">
              <w:rPr>
                <w:lang w:val="en-US"/>
              </w:rPr>
              <w:t xml:space="preserve"> </w:t>
            </w:r>
            <w:r>
              <w:rPr>
                <w:lang w:val="en-US"/>
              </w:rPr>
              <w:t xml:space="preserve">years old </w:t>
            </w:r>
            <w:r w:rsidRPr="00615137">
              <w:rPr>
                <w:lang w:val="en-US"/>
              </w:rPr>
              <w:t>and over</w:t>
            </w:r>
            <w:r w:rsidR="00D73EEB">
              <w:rPr>
                <w:lang w:val="en-US"/>
              </w:rPr>
              <w:t xml:space="preserve"> </w:t>
            </w:r>
            <w:r w:rsidRPr="00D73EEB" w:rsidR="00D73EEB">
              <w:rPr>
                <w:color w:val="FF0000"/>
                <w:lang w:val="en-US"/>
              </w:rPr>
              <w:t>(update according to your local authority)</w:t>
            </w:r>
          </w:p>
        </w:tc>
      </w:tr>
      <w:tr w:rsidR="004471F1" w:rsidTr="00D73EEB" w14:paraId="40182133" w14:textId="77777777">
        <w:trPr>
          <w:jc w:val="center"/>
        </w:trPr>
        <w:tc>
          <w:tcPr>
            <w:tcW w:w="1838" w:type="dxa"/>
          </w:tcPr>
          <w:p w:rsidR="004471F1" w:rsidP="008445EF" w:rsidRDefault="004471F1" w14:paraId="53462C3E" w14:textId="77777777">
            <w:pPr>
              <w:rPr>
                <w:lang w:val="en-US"/>
              </w:rPr>
            </w:pPr>
            <w:r>
              <w:rPr>
                <w:lang w:val="en-US"/>
              </w:rPr>
              <w:t>Housing</w:t>
            </w:r>
          </w:p>
        </w:tc>
        <w:tc>
          <w:tcPr>
            <w:tcW w:w="6237" w:type="dxa"/>
          </w:tcPr>
          <w:p w:rsidRPr="002951ED" w:rsidR="004471F1" w:rsidP="008445EF" w:rsidRDefault="004471F1" w14:paraId="461C2083" w14:textId="6D0C4AFE">
            <w:pPr>
              <w:rPr>
                <w:b/>
                <w:bCs/>
                <w:lang w:val="en-US"/>
              </w:rPr>
            </w:pPr>
            <w:r w:rsidRPr="00615137">
              <w:rPr>
                <w:lang w:val="en-US"/>
              </w:rPr>
              <w:t>1</w:t>
            </w:r>
            <w:r>
              <w:rPr>
                <w:lang w:val="en-US"/>
              </w:rPr>
              <w:t>6</w:t>
            </w:r>
            <w:r w:rsidRPr="00615137">
              <w:rPr>
                <w:lang w:val="en-US"/>
              </w:rPr>
              <w:t xml:space="preserve"> </w:t>
            </w:r>
            <w:r>
              <w:rPr>
                <w:lang w:val="en-US"/>
              </w:rPr>
              <w:t xml:space="preserve">years old </w:t>
            </w:r>
            <w:r w:rsidRPr="00615137">
              <w:rPr>
                <w:lang w:val="en-US"/>
              </w:rPr>
              <w:t>and over</w:t>
            </w:r>
            <w:r>
              <w:rPr>
                <w:lang w:val="en-US"/>
              </w:rPr>
              <w:t xml:space="preserve"> </w:t>
            </w:r>
            <w:r w:rsidRPr="00D73EEB" w:rsidR="00D73EEB">
              <w:rPr>
                <w:color w:val="FF0000"/>
                <w:lang w:val="en-US"/>
              </w:rPr>
              <w:t>(update according to your local authority)</w:t>
            </w:r>
          </w:p>
        </w:tc>
      </w:tr>
      <w:tr w:rsidR="004471F1" w:rsidTr="00D73EEB" w14:paraId="2DB1D483" w14:textId="77777777">
        <w:trPr>
          <w:jc w:val="center"/>
        </w:trPr>
        <w:tc>
          <w:tcPr>
            <w:tcW w:w="1838" w:type="dxa"/>
          </w:tcPr>
          <w:p w:rsidR="004471F1" w:rsidP="008445EF" w:rsidRDefault="004471F1" w14:paraId="78BE72AC" w14:textId="77777777">
            <w:pPr>
              <w:rPr>
                <w:lang w:val="en-US"/>
              </w:rPr>
            </w:pPr>
            <w:r>
              <w:rPr>
                <w:lang w:val="en-US"/>
              </w:rPr>
              <w:t>Police</w:t>
            </w:r>
          </w:p>
        </w:tc>
        <w:tc>
          <w:tcPr>
            <w:tcW w:w="6237" w:type="dxa"/>
          </w:tcPr>
          <w:p w:rsidRPr="00805143" w:rsidR="004471F1" w:rsidP="008445EF" w:rsidRDefault="004471F1" w14:paraId="3D4225D3" w14:textId="77777777">
            <w:pPr>
              <w:rPr>
                <w:b/>
                <w:bCs/>
                <w:lang w:val="en-US"/>
              </w:rPr>
            </w:pPr>
            <w:r w:rsidRPr="00615137">
              <w:rPr>
                <w:lang w:val="en-US"/>
              </w:rPr>
              <w:t xml:space="preserve">18 </w:t>
            </w:r>
            <w:r>
              <w:rPr>
                <w:lang w:val="en-US"/>
              </w:rPr>
              <w:t xml:space="preserve">years old </w:t>
            </w:r>
            <w:r w:rsidRPr="00615137">
              <w:rPr>
                <w:lang w:val="en-US"/>
              </w:rPr>
              <w:t>and over</w:t>
            </w:r>
          </w:p>
        </w:tc>
      </w:tr>
    </w:tbl>
    <w:p w:rsidR="000F654E" w:rsidP="004471F1" w:rsidRDefault="000F654E" w14:paraId="7FB7732D" w14:textId="77777777">
      <w:pPr>
        <w:rPr>
          <w:rFonts w:ascii="Calibri" w:hAnsi="Calibri" w:eastAsia="Calibri" w:cs="Calibri"/>
          <w:b/>
          <w:bCs/>
          <w:u w:val="single"/>
        </w:rPr>
      </w:pPr>
    </w:p>
    <w:p w:rsidR="000F654E" w:rsidP="004471F1" w:rsidRDefault="000F654E" w14:paraId="40B70E49" w14:textId="77777777">
      <w:pPr>
        <w:rPr>
          <w:rFonts w:ascii="Calibri" w:hAnsi="Calibri" w:eastAsia="Calibri" w:cs="Calibri"/>
          <w:b/>
          <w:bCs/>
          <w:u w:val="single"/>
        </w:rPr>
      </w:pPr>
    </w:p>
    <w:p w:rsidR="000F654E" w:rsidP="004471F1" w:rsidRDefault="000F654E" w14:paraId="63C4E455" w14:textId="77777777">
      <w:pPr>
        <w:rPr>
          <w:rFonts w:ascii="Calibri" w:hAnsi="Calibri" w:eastAsia="Calibri" w:cs="Calibri"/>
          <w:b/>
          <w:bCs/>
          <w:u w:val="single"/>
        </w:rPr>
      </w:pPr>
    </w:p>
    <w:p w:rsidRPr="000F654E" w:rsidR="004471F1" w:rsidP="004471F1" w:rsidRDefault="004471F1" w14:paraId="7B3E52A9" w14:textId="49ABED8C">
      <w:pPr>
        <w:rPr>
          <w:rFonts w:ascii="Calibri" w:hAnsi="Calibri" w:eastAsia="Calibri" w:cs="Calibri"/>
          <w:b/>
          <w:bCs/>
          <w:u w:val="single"/>
        </w:rPr>
      </w:pPr>
      <w:r w:rsidRPr="00D73EEB">
        <w:rPr>
          <w:rFonts w:ascii="Calibri" w:hAnsi="Calibri" w:eastAsia="Calibri" w:cs="Calibri"/>
          <w:b/>
          <w:bCs/>
          <w:u w:val="single"/>
        </w:rPr>
        <w:t>Proposal for audit log</w:t>
      </w:r>
    </w:p>
    <w:p w:rsidR="004471F1" w:rsidP="004471F1" w:rsidRDefault="004471F1" w14:paraId="20F6234B" w14:textId="77777777">
      <w:pPr>
        <w:rPr>
          <w:rFonts w:ascii="Calibri" w:hAnsi="Calibri" w:eastAsia="Calibri" w:cs="Calibri"/>
          <w:lang w:val="en-US"/>
        </w:rPr>
      </w:pPr>
      <w:r>
        <w:rPr>
          <w:rFonts w:ascii="Calibri" w:hAnsi="Calibri" w:eastAsia="Calibri" w:cs="Calibri"/>
        </w:rPr>
        <w:t>The intention is for the</w:t>
      </w:r>
      <w:r w:rsidRPr="10EA1540">
        <w:rPr>
          <w:rFonts w:ascii="Calibri" w:hAnsi="Calibri" w:eastAsia="Calibri" w:cs="Calibri"/>
        </w:rPr>
        <w:t xml:space="preserve"> tool to have an audit log that enables team managers and service leads to able to audit Family Context tool and investigate any misuse of tool by social workers.</w:t>
      </w:r>
    </w:p>
    <w:p w:rsidR="004471F1" w:rsidP="004471F1" w:rsidRDefault="004471F1" w14:paraId="1DB4BE81" w14:textId="77777777">
      <w:pPr>
        <w:rPr>
          <w:rFonts w:ascii="Calibri" w:hAnsi="Calibri" w:eastAsia="Calibri" w:cs="Calibri"/>
          <w:lang w:val="en-US"/>
        </w:rPr>
      </w:pPr>
      <w:r w:rsidRPr="10EA1540">
        <w:rPr>
          <w:rFonts w:ascii="Calibri" w:hAnsi="Calibri" w:eastAsia="Calibri" w:cs="Calibri"/>
        </w:rPr>
        <w:t>We propose that team managers and service leads can audit the tool at four different levels:</w:t>
      </w:r>
    </w:p>
    <w:p w:rsidR="004471F1" w:rsidP="004471F1" w:rsidRDefault="004471F1" w14:paraId="39FD0E91" w14:textId="77777777">
      <w:pPr>
        <w:pStyle w:val="ListParagraph"/>
        <w:numPr>
          <w:ilvl w:val="0"/>
          <w:numId w:val="5"/>
        </w:numPr>
        <w:rPr>
          <w:rFonts w:eastAsiaTheme="minorEastAsia"/>
        </w:rPr>
      </w:pPr>
      <w:r w:rsidRPr="10EA1540">
        <w:rPr>
          <w:rFonts w:ascii="Calibri" w:hAnsi="Calibri" w:eastAsia="Calibri" w:cs="Calibri"/>
          <w:b/>
          <w:bCs/>
        </w:rPr>
        <w:t xml:space="preserve">Audit searches performed by Social Worker. </w:t>
      </w:r>
      <w:r w:rsidRPr="10EA1540">
        <w:rPr>
          <w:rFonts w:ascii="Calibri" w:hAnsi="Calibri" w:eastAsia="Calibri" w:cs="Calibri"/>
        </w:rPr>
        <w:t>Team managers and service leads should be able to track searches performed by Social Workers including the date and time of the search, search details and name and ID of the social worker.</w:t>
      </w:r>
      <w:r>
        <w:br/>
      </w:r>
    </w:p>
    <w:p w:rsidR="004471F1" w:rsidP="004471F1" w:rsidRDefault="004471F1" w14:paraId="3C2490E4" w14:textId="77777777">
      <w:pPr>
        <w:pStyle w:val="ListParagraph"/>
        <w:numPr>
          <w:ilvl w:val="0"/>
          <w:numId w:val="5"/>
        </w:numPr>
        <w:rPr>
          <w:rFonts w:eastAsiaTheme="minorEastAsia"/>
          <w:b/>
          <w:bCs/>
        </w:rPr>
      </w:pPr>
      <w:r w:rsidRPr="10EA1540">
        <w:rPr>
          <w:rFonts w:ascii="Calibri" w:hAnsi="Calibri" w:eastAsia="Calibri" w:cs="Calibri"/>
          <w:b/>
          <w:bCs/>
        </w:rPr>
        <w:t xml:space="preserve">Audit search results presented to Social Worker. </w:t>
      </w:r>
      <w:r w:rsidRPr="10EA1540">
        <w:rPr>
          <w:rFonts w:ascii="Calibri" w:hAnsi="Calibri" w:eastAsia="Calibri" w:cs="Calibri"/>
        </w:rPr>
        <w:t>Team managers and service leads should be able to track the search results presented to Social Workers including the date and time of in which search results were presented, individual details of people presented to SWs and name and ID of the social worker.</w:t>
      </w:r>
      <w:r>
        <w:br/>
      </w:r>
    </w:p>
    <w:p w:rsidR="004471F1" w:rsidP="004471F1" w:rsidRDefault="004471F1" w14:paraId="61D747DA" w14:textId="7688D79D">
      <w:pPr>
        <w:pStyle w:val="ListParagraph"/>
        <w:numPr>
          <w:ilvl w:val="0"/>
          <w:numId w:val="5"/>
        </w:numPr>
        <w:rPr>
          <w:rFonts w:eastAsiaTheme="minorEastAsia"/>
          <w:b/>
          <w:bCs/>
          <w:lang w:val="en-US"/>
        </w:rPr>
      </w:pPr>
      <w:r w:rsidRPr="10EA1540">
        <w:rPr>
          <w:rFonts w:ascii="Calibri" w:hAnsi="Calibri" w:eastAsia="Calibri" w:cs="Calibri"/>
          <w:b/>
          <w:bCs/>
        </w:rPr>
        <w:t xml:space="preserve">Audit access to </w:t>
      </w:r>
      <w:r>
        <w:rPr>
          <w:rFonts w:ascii="Calibri" w:hAnsi="Calibri" w:eastAsia="Calibri" w:cs="Calibri"/>
          <w:b/>
          <w:bCs/>
        </w:rPr>
        <w:t xml:space="preserve">details of </w:t>
      </w:r>
      <w:r w:rsidRPr="10EA1540">
        <w:rPr>
          <w:rFonts w:ascii="Calibri" w:hAnsi="Calibri" w:eastAsia="Calibri" w:cs="Calibri"/>
          <w:b/>
          <w:bCs/>
        </w:rPr>
        <w:t xml:space="preserve">individual </w:t>
      </w:r>
      <w:r>
        <w:rPr>
          <w:rFonts w:ascii="Calibri" w:hAnsi="Calibri" w:eastAsia="Calibri" w:cs="Calibri"/>
          <w:b/>
          <w:bCs/>
        </w:rPr>
        <w:t>and service involvement flags</w:t>
      </w:r>
      <w:r w:rsidRPr="10EA1540">
        <w:rPr>
          <w:rFonts w:ascii="Calibri" w:hAnsi="Calibri" w:eastAsia="Calibri" w:cs="Calibri"/>
        </w:rPr>
        <w:t xml:space="preserve">. </w:t>
      </w:r>
      <w:r w:rsidRPr="00D73EEB">
        <w:rPr>
          <w:rFonts w:ascii="Calibri" w:hAnsi="Calibri" w:eastAsia="Calibri" w:cs="Calibri"/>
          <w:color w:val="FF0000"/>
        </w:rPr>
        <w:t xml:space="preserve">Screen </w:t>
      </w:r>
      <w:r w:rsidRPr="00D73EEB" w:rsidR="00D73EEB">
        <w:rPr>
          <w:rFonts w:ascii="Calibri" w:hAnsi="Calibri" w:eastAsia="Calibri" w:cs="Calibri"/>
          <w:color w:val="FF0000"/>
        </w:rPr>
        <w:t>X</w:t>
      </w:r>
      <w:r w:rsidRPr="00D73EEB">
        <w:rPr>
          <w:rFonts w:ascii="Calibri" w:hAnsi="Calibri" w:eastAsia="Calibri" w:cs="Calibri"/>
          <w:color w:val="FF0000"/>
        </w:rPr>
        <w:t xml:space="preserve"> </w:t>
      </w:r>
      <w:r>
        <w:rPr>
          <w:rFonts w:ascii="Calibri" w:hAnsi="Calibri" w:eastAsia="Calibri" w:cs="Calibri"/>
        </w:rPr>
        <w:t xml:space="preserve">contains personal details of the individual, as well as service involvement flags. </w:t>
      </w:r>
      <w:r w:rsidRPr="10EA1540">
        <w:rPr>
          <w:rFonts w:ascii="Calibri" w:hAnsi="Calibri" w:eastAsia="Calibri" w:cs="Calibri"/>
        </w:rPr>
        <w:t xml:space="preserve">Team managers and service leads should </w:t>
      </w:r>
      <w:r>
        <w:rPr>
          <w:rFonts w:ascii="Calibri" w:hAnsi="Calibri" w:eastAsia="Calibri" w:cs="Calibri"/>
        </w:rPr>
        <w:t xml:space="preserve">therefore </w:t>
      </w:r>
      <w:r w:rsidRPr="10EA1540">
        <w:rPr>
          <w:rFonts w:ascii="Calibri" w:hAnsi="Calibri" w:eastAsia="Calibri" w:cs="Calibri"/>
        </w:rPr>
        <w:t xml:space="preserve">be able to understand </w:t>
      </w:r>
      <w:r>
        <w:rPr>
          <w:rFonts w:ascii="Calibri" w:hAnsi="Calibri" w:eastAsia="Calibri" w:cs="Calibri"/>
        </w:rPr>
        <w:t xml:space="preserve">when </w:t>
      </w:r>
      <w:r w:rsidRPr="00D73EEB">
        <w:rPr>
          <w:rFonts w:ascii="Calibri" w:hAnsi="Calibri" w:eastAsia="Calibri" w:cs="Calibri"/>
          <w:color w:val="FF0000"/>
        </w:rPr>
        <w:t xml:space="preserve">screen </w:t>
      </w:r>
      <w:r w:rsidRPr="00D73EEB" w:rsidR="00D73EEB">
        <w:rPr>
          <w:rFonts w:ascii="Calibri" w:hAnsi="Calibri" w:eastAsia="Calibri" w:cs="Calibri"/>
          <w:color w:val="FF0000"/>
        </w:rPr>
        <w:t>X</w:t>
      </w:r>
      <w:r w:rsidRPr="00D73EEB">
        <w:rPr>
          <w:rFonts w:ascii="Calibri" w:hAnsi="Calibri" w:eastAsia="Calibri" w:cs="Calibri"/>
          <w:color w:val="FF0000"/>
        </w:rPr>
        <w:t xml:space="preserve"> </w:t>
      </w:r>
      <w:r w:rsidRPr="10EA1540">
        <w:rPr>
          <w:rFonts w:ascii="Calibri" w:hAnsi="Calibri" w:eastAsia="Calibri" w:cs="Calibri"/>
        </w:rPr>
        <w:t>ha</w:t>
      </w:r>
      <w:r>
        <w:rPr>
          <w:rFonts w:ascii="Calibri" w:hAnsi="Calibri" w:eastAsia="Calibri" w:cs="Calibri"/>
        </w:rPr>
        <w:t>s</w:t>
      </w:r>
      <w:r w:rsidRPr="10EA1540">
        <w:rPr>
          <w:rFonts w:ascii="Calibri" w:hAnsi="Calibri" w:eastAsia="Calibri" w:cs="Calibri"/>
        </w:rPr>
        <w:t xml:space="preserve"> been seen by social workers</w:t>
      </w:r>
      <w:r>
        <w:rPr>
          <w:rFonts w:ascii="Calibri" w:hAnsi="Calibri" w:eastAsia="Calibri" w:cs="Calibri"/>
        </w:rPr>
        <w:t>,</w:t>
      </w:r>
      <w:r w:rsidRPr="10EA1540">
        <w:rPr>
          <w:rFonts w:ascii="Calibri" w:hAnsi="Calibri" w:eastAsia="Calibri" w:cs="Calibri"/>
        </w:rPr>
        <w:t xml:space="preserve"> including the date and time in which the information was presented as well as the name and ID of the social worker.</w:t>
      </w:r>
      <w:r>
        <w:br/>
      </w:r>
    </w:p>
    <w:p w:rsidRPr="00D73EEB" w:rsidR="00D73EEB" w:rsidP="00D73EEB" w:rsidRDefault="004471F1" w14:paraId="533F6D7D" w14:textId="71C69721">
      <w:pPr>
        <w:pStyle w:val="ListParagraph"/>
        <w:numPr>
          <w:ilvl w:val="0"/>
          <w:numId w:val="5"/>
        </w:numPr>
        <w:rPr>
          <w:rFonts w:eastAsiaTheme="minorEastAsia"/>
          <w:b/>
          <w:bCs/>
          <w:lang w:val="en-US"/>
        </w:rPr>
      </w:pPr>
      <w:r w:rsidRPr="10EA1540">
        <w:rPr>
          <w:rFonts w:ascii="Calibri" w:hAnsi="Calibri" w:eastAsia="Calibri" w:cs="Calibri"/>
          <w:b/>
          <w:bCs/>
        </w:rPr>
        <w:t xml:space="preserve">Audit access to service involvement details. </w:t>
      </w:r>
      <w:r w:rsidRPr="10EA1540">
        <w:rPr>
          <w:rFonts w:ascii="Calibri" w:hAnsi="Calibri" w:eastAsia="Calibri" w:cs="Calibri"/>
        </w:rPr>
        <w:t xml:space="preserve">Team managers and service leads should be able to understand which service involvement details </w:t>
      </w:r>
      <w:r w:rsidR="00D73EEB">
        <w:rPr>
          <w:rFonts w:ascii="Calibri" w:hAnsi="Calibri" w:eastAsia="Calibri" w:cs="Calibri"/>
        </w:rPr>
        <w:t xml:space="preserve">on </w:t>
      </w:r>
      <w:r w:rsidRPr="00D73EEB" w:rsidR="00D73EEB">
        <w:rPr>
          <w:rFonts w:ascii="Calibri" w:hAnsi="Calibri" w:eastAsia="Calibri" w:cs="Calibri"/>
          <w:color w:val="FF0000"/>
        </w:rPr>
        <w:t>screen X</w:t>
      </w:r>
      <w:r w:rsidRPr="00D73EEB">
        <w:rPr>
          <w:rFonts w:ascii="Calibri" w:hAnsi="Calibri" w:eastAsia="Calibri" w:cs="Calibri"/>
          <w:color w:val="FF0000"/>
        </w:rPr>
        <w:t xml:space="preserve"> </w:t>
      </w:r>
      <w:r w:rsidRPr="10EA1540">
        <w:rPr>
          <w:rFonts w:ascii="Calibri" w:hAnsi="Calibri" w:eastAsia="Calibri" w:cs="Calibri"/>
        </w:rPr>
        <w:t>have been seen by social workers including the date and time in which the information was presented as well as the name and ID of the social worker.</w:t>
      </w:r>
    </w:p>
    <w:p w:rsidR="00900D37" w:rsidP="00900D37" w:rsidRDefault="00D73EEB" w14:paraId="26D2BC03" w14:textId="77777777">
      <w:pPr>
        <w:rPr>
          <w:color w:val="FF0000"/>
          <w:lang w:val="en-US"/>
        </w:rPr>
      </w:pPr>
      <w:r w:rsidRPr="00883305">
        <w:rPr>
          <w:color w:val="FF0000"/>
          <w:lang w:val="en-US"/>
        </w:rPr>
        <w:t>Please ensure this applies to your local authority and make any necessary amendments</w:t>
      </w:r>
      <w:r w:rsidR="00900D37">
        <w:rPr>
          <w:color w:val="FF0000"/>
          <w:lang w:val="en-US"/>
        </w:rPr>
        <w:t>.</w:t>
      </w:r>
    </w:p>
    <w:p w:rsidR="00900D37" w:rsidP="00900D37" w:rsidRDefault="00900D37" w14:paraId="3AF0C6C2" w14:textId="77777777">
      <w:pPr>
        <w:rPr>
          <w:color w:val="FF0000"/>
          <w:lang w:val="en-US"/>
        </w:rPr>
      </w:pPr>
    </w:p>
    <w:p w:rsidR="000F654E" w:rsidRDefault="000F654E" w14:paraId="0EE539E4" w14:textId="77777777">
      <w:pPr>
        <w:rPr>
          <w:color w:val="FF0000"/>
          <w:lang w:val="en-US"/>
        </w:rPr>
      </w:pPr>
      <w:r>
        <w:rPr>
          <w:color w:val="FF0000"/>
          <w:lang w:val="en-US"/>
        </w:rPr>
        <w:br w:type="page"/>
      </w:r>
    </w:p>
    <w:p w:rsidRPr="00900D37" w:rsidR="004471F1" w:rsidP="00900D37" w:rsidRDefault="00900D37" w14:paraId="79BE6B24" w14:textId="4D0D3634">
      <w:pPr>
        <w:rPr>
          <w:rFonts w:eastAsiaTheme="minorEastAsia"/>
          <w:b/>
          <w:bCs/>
          <w:color w:val="FF0000"/>
          <w:lang w:val="en-US"/>
        </w:rPr>
      </w:pPr>
      <w:bookmarkStart w:name="_GoBack" w:id="1"/>
      <w:bookmarkEnd w:id="1"/>
      <w:r>
        <w:rPr>
          <w:noProof/>
        </w:rPr>
        <w:lastRenderedPageBreak/>
        <w:drawing>
          <wp:anchor distT="0" distB="0" distL="114300" distR="114300" simplePos="0" relativeHeight="251674624" behindDoc="0" locked="0" layoutInCell="1" allowOverlap="1" wp14:anchorId="1A759552" wp14:editId="60E818C5">
            <wp:simplePos x="0" y="0"/>
            <wp:positionH relativeFrom="column">
              <wp:posOffset>19050</wp:posOffset>
            </wp:positionH>
            <wp:positionV relativeFrom="paragraph">
              <wp:posOffset>764540</wp:posOffset>
            </wp:positionV>
            <wp:extent cx="5731510" cy="5915660"/>
            <wp:effectExtent l="19050" t="19050" r="21590" b="279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5915660"/>
                    </a:xfrm>
                    <a:prstGeom prst="rect">
                      <a:avLst/>
                    </a:prstGeom>
                    <a:ln w="19050">
                      <a:solidFill>
                        <a:schemeClr val="tx1"/>
                      </a:solidFill>
                    </a:ln>
                  </pic:spPr>
                </pic:pic>
              </a:graphicData>
            </a:graphic>
          </wp:anchor>
        </w:drawing>
      </w:r>
      <w:r w:rsidR="00900D37">
        <w:rPr>
          <w:lang w:val="en-US"/>
        </w:rPr>
        <w:t xml:space="preserve">It is also helpful to demonstrate what the audit screen will look like in your local authority and list the actions that it captures. </w:t>
      </w:r>
      <w:r w:rsidRPr="00900D37" w:rsidR="00900D37">
        <w:rPr>
          <w:color w:val="FF0000"/>
          <w:lang w:val="en-US"/>
        </w:rPr>
        <w:t>Please see the example below and update this according to your local authority.</w:t>
      </w:r>
    </w:p>
    <w:p w:rsidR="00900D37" w:rsidP="001B234E" w:rsidRDefault="00900D37" w14:paraId="22768160" w14:textId="32F5E788">
      <w:pPr>
        <w:spacing w:after="0"/>
        <w:rPr>
          <w:lang w:val="en-US"/>
        </w:rPr>
      </w:pPr>
    </w:p>
    <w:p w:rsidRPr="00900D37" w:rsidR="004471F1" w:rsidP="004471F1" w:rsidRDefault="004471F1" w14:paraId="19213047" w14:textId="57224E0F">
      <w:pPr>
        <w:rPr>
          <w:rFonts w:ascii="Calibri" w:hAnsi="Calibri" w:eastAsia="Calibri" w:cs="Calibri"/>
          <w:lang w:val="en-US"/>
        </w:rPr>
      </w:pPr>
      <w:r w:rsidRPr="00900D37">
        <w:rPr>
          <w:rFonts w:ascii="Calibri" w:hAnsi="Calibri" w:eastAsia="Calibri" w:cs="Calibri"/>
          <w:b/>
          <w:bCs/>
        </w:rPr>
        <w:t>Types of actions captured in</w:t>
      </w:r>
      <w:r w:rsidR="00900D37">
        <w:rPr>
          <w:rFonts w:ascii="Calibri" w:hAnsi="Calibri" w:eastAsia="Calibri" w:cs="Calibri"/>
          <w:b/>
          <w:bCs/>
        </w:rPr>
        <w:t xml:space="preserve"> the</w:t>
      </w:r>
      <w:r w:rsidRPr="00900D37">
        <w:rPr>
          <w:rFonts w:ascii="Calibri" w:hAnsi="Calibri" w:eastAsia="Calibri" w:cs="Calibri"/>
          <w:b/>
          <w:bCs/>
        </w:rPr>
        <w:t xml:space="preserve"> audit log</w:t>
      </w:r>
    </w:p>
    <w:p w:rsidRPr="00900D37" w:rsidR="004471F1" w:rsidP="00D73EEB" w:rsidRDefault="004471F1" w14:paraId="76A3E098" w14:textId="292C9C56">
      <w:pPr>
        <w:rPr>
          <w:rFonts w:ascii="Calibri" w:hAnsi="Calibri" w:eastAsia="Calibri" w:cs="Calibri"/>
          <w:lang w:val="en-US"/>
        </w:rPr>
      </w:pPr>
      <w:r w:rsidRPr="00900D37">
        <w:rPr>
          <w:rFonts w:ascii="Calibri" w:hAnsi="Calibri" w:eastAsia="Calibri" w:cs="Calibri"/>
        </w:rPr>
        <w:t>1) SW searched for individual</w:t>
      </w:r>
      <w:r w:rsidRPr="00900D37">
        <w:br/>
      </w:r>
      <w:r w:rsidRPr="00900D37">
        <w:rPr>
          <w:rFonts w:ascii="Calibri" w:hAnsi="Calibri" w:eastAsia="Calibri" w:cs="Calibri"/>
        </w:rPr>
        <w:t>2) SW viewed individual as part of search results</w:t>
      </w:r>
      <w:r w:rsidRPr="00900D37">
        <w:br/>
      </w:r>
      <w:r w:rsidRPr="00900D37">
        <w:rPr>
          <w:rFonts w:ascii="Calibri" w:hAnsi="Calibri" w:eastAsia="Calibri" w:cs="Calibri"/>
        </w:rPr>
        <w:t>3) SW viewed basic details about that individual, and service involvement flags</w:t>
      </w:r>
      <w:r w:rsidRPr="00900D37">
        <w:br/>
      </w:r>
      <w:r w:rsidRPr="00900D37">
        <w:rPr>
          <w:rFonts w:ascii="Calibri" w:hAnsi="Calibri" w:eastAsia="Calibri" w:cs="Calibri"/>
        </w:rPr>
        <w:t>4) SW viewed School service involvement details</w:t>
      </w:r>
      <w:r w:rsidRPr="00900D37">
        <w:br/>
      </w:r>
      <w:r w:rsidRPr="00900D37">
        <w:rPr>
          <w:rFonts w:ascii="Calibri" w:hAnsi="Calibri" w:eastAsia="Calibri" w:cs="Calibri"/>
        </w:rPr>
        <w:t>5) SW viewed Adult Social Care service involvement details</w:t>
      </w:r>
      <w:r w:rsidRPr="00900D37">
        <w:br/>
      </w:r>
      <w:r w:rsidRPr="00900D37">
        <w:rPr>
          <w:rFonts w:ascii="Calibri" w:hAnsi="Calibri" w:eastAsia="Calibri" w:cs="Calibri"/>
        </w:rPr>
        <w:t>6) SW viewed Housing service involvement details</w:t>
      </w:r>
      <w:r w:rsidRPr="00900D37">
        <w:br/>
      </w:r>
      <w:r w:rsidRPr="00900D37">
        <w:rPr>
          <w:rFonts w:ascii="Calibri" w:hAnsi="Calibri" w:eastAsia="Calibri" w:cs="Calibri"/>
        </w:rPr>
        <w:t>7) SW viewed Police service involvement detail</w:t>
      </w:r>
    </w:p>
    <w:sectPr w:rsidRPr="00900D37" w:rsidR="004471F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E1F51"/>
    <w:multiLevelType w:val="hybridMultilevel"/>
    <w:tmpl w:val="5442CCFA"/>
    <w:lvl w:ilvl="0" w:tplc="325EC058">
      <w:start w:val="1"/>
      <w:numFmt w:val="decimal"/>
      <w:lvlText w:val="%1."/>
      <w:lvlJc w:val="left"/>
      <w:pPr>
        <w:ind w:left="720" w:hanging="360"/>
      </w:pPr>
    </w:lvl>
    <w:lvl w:ilvl="1" w:tplc="81260612">
      <w:start w:val="1"/>
      <w:numFmt w:val="lowerLetter"/>
      <w:lvlText w:val="%2."/>
      <w:lvlJc w:val="left"/>
      <w:pPr>
        <w:ind w:left="1440" w:hanging="360"/>
      </w:pPr>
    </w:lvl>
    <w:lvl w:ilvl="2" w:tplc="2952B4B8">
      <w:start w:val="1"/>
      <w:numFmt w:val="lowerRoman"/>
      <w:lvlText w:val="%3."/>
      <w:lvlJc w:val="right"/>
      <w:pPr>
        <w:ind w:left="2160" w:hanging="180"/>
      </w:pPr>
    </w:lvl>
    <w:lvl w:ilvl="3" w:tplc="9D1E112C">
      <w:start w:val="1"/>
      <w:numFmt w:val="decimal"/>
      <w:lvlText w:val="%4."/>
      <w:lvlJc w:val="left"/>
      <w:pPr>
        <w:ind w:left="2880" w:hanging="360"/>
      </w:pPr>
    </w:lvl>
    <w:lvl w:ilvl="4" w:tplc="36A0E754">
      <w:start w:val="1"/>
      <w:numFmt w:val="lowerLetter"/>
      <w:lvlText w:val="%5."/>
      <w:lvlJc w:val="left"/>
      <w:pPr>
        <w:ind w:left="3600" w:hanging="360"/>
      </w:pPr>
    </w:lvl>
    <w:lvl w:ilvl="5" w:tplc="4686E110">
      <w:start w:val="1"/>
      <w:numFmt w:val="lowerRoman"/>
      <w:lvlText w:val="%6."/>
      <w:lvlJc w:val="right"/>
      <w:pPr>
        <w:ind w:left="4320" w:hanging="180"/>
      </w:pPr>
    </w:lvl>
    <w:lvl w:ilvl="6" w:tplc="B3147DC8">
      <w:start w:val="1"/>
      <w:numFmt w:val="decimal"/>
      <w:lvlText w:val="%7."/>
      <w:lvlJc w:val="left"/>
      <w:pPr>
        <w:ind w:left="5040" w:hanging="360"/>
      </w:pPr>
    </w:lvl>
    <w:lvl w:ilvl="7" w:tplc="C2548B62">
      <w:start w:val="1"/>
      <w:numFmt w:val="lowerLetter"/>
      <w:lvlText w:val="%8."/>
      <w:lvlJc w:val="left"/>
      <w:pPr>
        <w:ind w:left="5760" w:hanging="360"/>
      </w:pPr>
    </w:lvl>
    <w:lvl w:ilvl="8" w:tplc="9DA8AEF0">
      <w:start w:val="1"/>
      <w:numFmt w:val="lowerRoman"/>
      <w:lvlText w:val="%9."/>
      <w:lvlJc w:val="right"/>
      <w:pPr>
        <w:ind w:left="6480" w:hanging="180"/>
      </w:pPr>
    </w:lvl>
  </w:abstractNum>
  <w:abstractNum w:abstractNumId="1" w15:restartNumberingAfterBreak="0">
    <w:nsid w:val="39B91CC0"/>
    <w:multiLevelType w:val="hybridMultilevel"/>
    <w:tmpl w:val="43742EE4"/>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 w15:restartNumberingAfterBreak="0">
    <w:nsid w:val="3D9C530C"/>
    <w:multiLevelType w:val="hybridMultilevel"/>
    <w:tmpl w:val="8DDCB8FC"/>
    <w:lvl w:ilvl="0" w:tplc="08090001">
      <w:start w:val="1"/>
      <w:numFmt w:val="bullet"/>
      <w:lvlText w:val=""/>
      <w:lvlJc w:val="left"/>
      <w:pPr>
        <w:ind w:left="360" w:hanging="360"/>
      </w:pPr>
      <w:rPr>
        <w:rFonts w:hint="default" w:ascii="Symbol" w:hAnsi="Symbol"/>
      </w:rPr>
    </w:lvl>
    <w:lvl w:ilvl="1" w:tplc="08090003">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 w15:restartNumberingAfterBreak="0">
    <w:nsid w:val="428F2E89"/>
    <w:multiLevelType w:val="hybridMultilevel"/>
    <w:tmpl w:val="EA94BB56"/>
    <w:lvl w:ilvl="0" w:tplc="08090001">
      <w:start w:val="1"/>
      <w:numFmt w:val="bullet"/>
      <w:lvlText w:val=""/>
      <w:lvlJc w:val="left"/>
      <w:pPr>
        <w:ind w:left="770" w:hanging="360"/>
      </w:pPr>
      <w:rPr>
        <w:rFonts w:hint="default" w:ascii="Symbol" w:hAnsi="Symbol"/>
      </w:rPr>
    </w:lvl>
    <w:lvl w:ilvl="1" w:tplc="08090003" w:tentative="1">
      <w:start w:val="1"/>
      <w:numFmt w:val="bullet"/>
      <w:lvlText w:val="o"/>
      <w:lvlJc w:val="left"/>
      <w:pPr>
        <w:ind w:left="1490" w:hanging="360"/>
      </w:pPr>
      <w:rPr>
        <w:rFonts w:hint="default" w:ascii="Courier New" w:hAnsi="Courier New" w:cs="Courier New"/>
      </w:rPr>
    </w:lvl>
    <w:lvl w:ilvl="2" w:tplc="08090005" w:tentative="1">
      <w:start w:val="1"/>
      <w:numFmt w:val="bullet"/>
      <w:lvlText w:val=""/>
      <w:lvlJc w:val="left"/>
      <w:pPr>
        <w:ind w:left="2210" w:hanging="360"/>
      </w:pPr>
      <w:rPr>
        <w:rFonts w:hint="default" w:ascii="Wingdings" w:hAnsi="Wingdings"/>
      </w:rPr>
    </w:lvl>
    <w:lvl w:ilvl="3" w:tplc="08090001" w:tentative="1">
      <w:start w:val="1"/>
      <w:numFmt w:val="bullet"/>
      <w:lvlText w:val=""/>
      <w:lvlJc w:val="left"/>
      <w:pPr>
        <w:ind w:left="2930" w:hanging="360"/>
      </w:pPr>
      <w:rPr>
        <w:rFonts w:hint="default" w:ascii="Symbol" w:hAnsi="Symbol"/>
      </w:rPr>
    </w:lvl>
    <w:lvl w:ilvl="4" w:tplc="08090003" w:tentative="1">
      <w:start w:val="1"/>
      <w:numFmt w:val="bullet"/>
      <w:lvlText w:val="o"/>
      <w:lvlJc w:val="left"/>
      <w:pPr>
        <w:ind w:left="3650" w:hanging="360"/>
      </w:pPr>
      <w:rPr>
        <w:rFonts w:hint="default" w:ascii="Courier New" w:hAnsi="Courier New" w:cs="Courier New"/>
      </w:rPr>
    </w:lvl>
    <w:lvl w:ilvl="5" w:tplc="08090005" w:tentative="1">
      <w:start w:val="1"/>
      <w:numFmt w:val="bullet"/>
      <w:lvlText w:val=""/>
      <w:lvlJc w:val="left"/>
      <w:pPr>
        <w:ind w:left="4370" w:hanging="360"/>
      </w:pPr>
      <w:rPr>
        <w:rFonts w:hint="default" w:ascii="Wingdings" w:hAnsi="Wingdings"/>
      </w:rPr>
    </w:lvl>
    <w:lvl w:ilvl="6" w:tplc="08090001" w:tentative="1">
      <w:start w:val="1"/>
      <w:numFmt w:val="bullet"/>
      <w:lvlText w:val=""/>
      <w:lvlJc w:val="left"/>
      <w:pPr>
        <w:ind w:left="5090" w:hanging="360"/>
      </w:pPr>
      <w:rPr>
        <w:rFonts w:hint="default" w:ascii="Symbol" w:hAnsi="Symbol"/>
      </w:rPr>
    </w:lvl>
    <w:lvl w:ilvl="7" w:tplc="08090003" w:tentative="1">
      <w:start w:val="1"/>
      <w:numFmt w:val="bullet"/>
      <w:lvlText w:val="o"/>
      <w:lvlJc w:val="left"/>
      <w:pPr>
        <w:ind w:left="5810" w:hanging="360"/>
      </w:pPr>
      <w:rPr>
        <w:rFonts w:hint="default" w:ascii="Courier New" w:hAnsi="Courier New" w:cs="Courier New"/>
      </w:rPr>
    </w:lvl>
    <w:lvl w:ilvl="8" w:tplc="08090005" w:tentative="1">
      <w:start w:val="1"/>
      <w:numFmt w:val="bullet"/>
      <w:lvlText w:val=""/>
      <w:lvlJc w:val="left"/>
      <w:pPr>
        <w:ind w:left="6530" w:hanging="360"/>
      </w:pPr>
      <w:rPr>
        <w:rFonts w:hint="default" w:ascii="Wingdings" w:hAnsi="Wingdings"/>
      </w:rPr>
    </w:lvl>
  </w:abstractNum>
  <w:abstractNum w:abstractNumId="4" w15:restartNumberingAfterBreak="0">
    <w:nsid w:val="4F802AA6"/>
    <w:multiLevelType w:val="hybridMultilevel"/>
    <w:tmpl w:val="B8C60670"/>
    <w:lvl w:ilvl="0" w:tplc="08090003">
      <w:start w:val="1"/>
      <w:numFmt w:val="bullet"/>
      <w:lvlText w:val="o"/>
      <w:lvlJc w:val="left"/>
      <w:pPr>
        <w:ind w:left="1069" w:hanging="360"/>
      </w:pPr>
      <w:rPr>
        <w:rFonts w:hint="default" w:ascii="Courier New" w:hAnsi="Courier New" w:cs="Courier New"/>
      </w:rPr>
    </w:lvl>
    <w:lvl w:ilvl="1" w:tplc="08090003" w:tentative="1">
      <w:start w:val="1"/>
      <w:numFmt w:val="bullet"/>
      <w:lvlText w:val="o"/>
      <w:lvlJc w:val="left"/>
      <w:pPr>
        <w:ind w:left="1789" w:hanging="360"/>
      </w:pPr>
      <w:rPr>
        <w:rFonts w:hint="default" w:ascii="Courier New" w:hAnsi="Courier New" w:cs="Courier New"/>
      </w:rPr>
    </w:lvl>
    <w:lvl w:ilvl="2" w:tplc="08090005" w:tentative="1">
      <w:start w:val="1"/>
      <w:numFmt w:val="bullet"/>
      <w:lvlText w:val=""/>
      <w:lvlJc w:val="left"/>
      <w:pPr>
        <w:ind w:left="2509" w:hanging="360"/>
      </w:pPr>
      <w:rPr>
        <w:rFonts w:hint="default" w:ascii="Wingdings" w:hAnsi="Wingdings"/>
      </w:rPr>
    </w:lvl>
    <w:lvl w:ilvl="3" w:tplc="08090001" w:tentative="1">
      <w:start w:val="1"/>
      <w:numFmt w:val="bullet"/>
      <w:lvlText w:val=""/>
      <w:lvlJc w:val="left"/>
      <w:pPr>
        <w:ind w:left="3229" w:hanging="360"/>
      </w:pPr>
      <w:rPr>
        <w:rFonts w:hint="default" w:ascii="Symbol" w:hAnsi="Symbol"/>
      </w:rPr>
    </w:lvl>
    <w:lvl w:ilvl="4" w:tplc="08090003" w:tentative="1">
      <w:start w:val="1"/>
      <w:numFmt w:val="bullet"/>
      <w:lvlText w:val="o"/>
      <w:lvlJc w:val="left"/>
      <w:pPr>
        <w:ind w:left="3949" w:hanging="360"/>
      </w:pPr>
      <w:rPr>
        <w:rFonts w:hint="default" w:ascii="Courier New" w:hAnsi="Courier New" w:cs="Courier New"/>
      </w:rPr>
    </w:lvl>
    <w:lvl w:ilvl="5" w:tplc="08090005" w:tentative="1">
      <w:start w:val="1"/>
      <w:numFmt w:val="bullet"/>
      <w:lvlText w:val=""/>
      <w:lvlJc w:val="left"/>
      <w:pPr>
        <w:ind w:left="4669" w:hanging="360"/>
      </w:pPr>
      <w:rPr>
        <w:rFonts w:hint="default" w:ascii="Wingdings" w:hAnsi="Wingdings"/>
      </w:rPr>
    </w:lvl>
    <w:lvl w:ilvl="6" w:tplc="08090001" w:tentative="1">
      <w:start w:val="1"/>
      <w:numFmt w:val="bullet"/>
      <w:lvlText w:val=""/>
      <w:lvlJc w:val="left"/>
      <w:pPr>
        <w:ind w:left="5389" w:hanging="360"/>
      </w:pPr>
      <w:rPr>
        <w:rFonts w:hint="default" w:ascii="Symbol" w:hAnsi="Symbol"/>
      </w:rPr>
    </w:lvl>
    <w:lvl w:ilvl="7" w:tplc="08090003" w:tentative="1">
      <w:start w:val="1"/>
      <w:numFmt w:val="bullet"/>
      <w:lvlText w:val="o"/>
      <w:lvlJc w:val="left"/>
      <w:pPr>
        <w:ind w:left="6109" w:hanging="360"/>
      </w:pPr>
      <w:rPr>
        <w:rFonts w:hint="default" w:ascii="Courier New" w:hAnsi="Courier New" w:cs="Courier New"/>
      </w:rPr>
    </w:lvl>
    <w:lvl w:ilvl="8" w:tplc="08090005" w:tentative="1">
      <w:start w:val="1"/>
      <w:numFmt w:val="bullet"/>
      <w:lvlText w:val=""/>
      <w:lvlJc w:val="left"/>
      <w:pPr>
        <w:ind w:left="6829" w:hanging="360"/>
      </w:pPr>
      <w:rPr>
        <w:rFonts w:hint="default" w:ascii="Wingdings" w:hAnsi="Wingdings"/>
      </w:rPr>
    </w:lvl>
  </w:abstractNum>
  <w:abstractNum w:abstractNumId="5" w15:restartNumberingAfterBreak="0">
    <w:nsid w:val="54AF7B8D"/>
    <w:multiLevelType w:val="hybridMultilevel"/>
    <w:tmpl w:val="EC10C210"/>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6" w15:restartNumberingAfterBreak="0">
    <w:nsid w:val="54E1712B"/>
    <w:multiLevelType w:val="hybridMultilevel"/>
    <w:tmpl w:val="3A2AAB88"/>
    <w:lvl w:ilvl="0" w:tplc="08090001">
      <w:start w:val="1"/>
      <w:numFmt w:val="bullet"/>
      <w:lvlText w:val=""/>
      <w:lvlJc w:val="left"/>
      <w:pPr>
        <w:ind w:left="360" w:hanging="360"/>
      </w:pPr>
      <w:rPr>
        <w:rFonts w:hint="default" w:ascii="Symbol" w:hAnsi="Symbol"/>
      </w:rPr>
    </w:lvl>
    <w:lvl w:ilvl="1" w:tplc="08090003">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7" w15:restartNumberingAfterBreak="0">
    <w:nsid w:val="748F7376"/>
    <w:multiLevelType w:val="hybridMultilevel"/>
    <w:tmpl w:val="7AD2256A"/>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num w:numId="1">
    <w:abstractNumId w:val="3"/>
  </w:num>
  <w:num w:numId="2">
    <w:abstractNumId w:val="6"/>
  </w:num>
  <w:num w:numId="3">
    <w:abstractNumId w:val="2"/>
  </w:num>
  <w:num w:numId="4">
    <w:abstractNumId w:val="1"/>
  </w:num>
  <w:num w:numId="5">
    <w:abstractNumId w:val="0"/>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EEF"/>
    <w:rsid w:val="00003E8E"/>
    <w:rsid w:val="00032E57"/>
    <w:rsid w:val="000F654E"/>
    <w:rsid w:val="00176E86"/>
    <w:rsid w:val="001A1DE2"/>
    <w:rsid w:val="001B234E"/>
    <w:rsid w:val="00220F18"/>
    <w:rsid w:val="002549C6"/>
    <w:rsid w:val="0028026D"/>
    <w:rsid w:val="00281F11"/>
    <w:rsid w:val="003B08DC"/>
    <w:rsid w:val="004056E0"/>
    <w:rsid w:val="004471F1"/>
    <w:rsid w:val="00457611"/>
    <w:rsid w:val="004651B5"/>
    <w:rsid w:val="004C2770"/>
    <w:rsid w:val="004D7604"/>
    <w:rsid w:val="006765E3"/>
    <w:rsid w:val="007240FF"/>
    <w:rsid w:val="0072644F"/>
    <w:rsid w:val="00752EEF"/>
    <w:rsid w:val="008015A3"/>
    <w:rsid w:val="008025B1"/>
    <w:rsid w:val="008042B7"/>
    <w:rsid w:val="008115AD"/>
    <w:rsid w:val="00883305"/>
    <w:rsid w:val="008B44D7"/>
    <w:rsid w:val="00900D37"/>
    <w:rsid w:val="009B3BAF"/>
    <w:rsid w:val="009C6789"/>
    <w:rsid w:val="00A60DF8"/>
    <w:rsid w:val="00A760B5"/>
    <w:rsid w:val="00BF11C2"/>
    <w:rsid w:val="00CA3EC1"/>
    <w:rsid w:val="00CC021D"/>
    <w:rsid w:val="00CF0A70"/>
    <w:rsid w:val="00D575C3"/>
    <w:rsid w:val="00D73EEB"/>
    <w:rsid w:val="00D74FB2"/>
    <w:rsid w:val="00DB2BB6"/>
    <w:rsid w:val="00E52E9F"/>
    <w:rsid w:val="00F31A4E"/>
    <w:rsid w:val="00F92203"/>
    <w:rsid w:val="16819425"/>
    <w:rsid w:val="79C72B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79CE0"/>
  <w15:chartTrackingRefBased/>
  <w15:docId w15:val="{EB2E7405-96BD-44E7-899F-1C3E9F2AD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752EE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semiHidden/>
    <w:unhideWhenUsed/>
    <w:rsid w:val="00752EEF"/>
    <w:rPr>
      <w:color w:val="0000FF"/>
      <w:u w:val="single"/>
    </w:rPr>
  </w:style>
  <w:style w:type="paragraph" w:styleId="ListParagraph">
    <w:name w:val="List Paragraph"/>
    <w:basedOn w:val="Normal"/>
    <w:uiPriority w:val="34"/>
    <w:qFormat/>
    <w:rsid w:val="00752EEF"/>
    <w:pPr>
      <w:ind w:left="720"/>
      <w:contextualSpacing/>
    </w:pPr>
  </w:style>
  <w:style w:type="character" w:styleId="CommentReference">
    <w:name w:val="annotation reference"/>
    <w:basedOn w:val="DefaultParagraphFont"/>
    <w:uiPriority w:val="99"/>
    <w:semiHidden/>
    <w:unhideWhenUsed/>
    <w:rsid w:val="00752EEF"/>
    <w:rPr>
      <w:sz w:val="16"/>
      <w:szCs w:val="16"/>
    </w:rPr>
  </w:style>
  <w:style w:type="paragraph" w:styleId="CommentText">
    <w:name w:val="annotation text"/>
    <w:basedOn w:val="Normal"/>
    <w:link w:val="CommentTextChar"/>
    <w:uiPriority w:val="99"/>
    <w:semiHidden/>
    <w:unhideWhenUsed/>
    <w:rsid w:val="00752EEF"/>
    <w:pPr>
      <w:spacing w:line="240" w:lineRule="auto"/>
    </w:pPr>
    <w:rPr>
      <w:sz w:val="20"/>
      <w:szCs w:val="20"/>
    </w:rPr>
  </w:style>
  <w:style w:type="character" w:styleId="CommentTextChar" w:customStyle="1">
    <w:name w:val="Comment Text Char"/>
    <w:basedOn w:val="DefaultParagraphFont"/>
    <w:link w:val="CommentText"/>
    <w:uiPriority w:val="99"/>
    <w:semiHidden/>
    <w:rsid w:val="00752EEF"/>
    <w:rPr>
      <w:sz w:val="20"/>
      <w:szCs w:val="20"/>
    </w:rPr>
  </w:style>
  <w:style w:type="paragraph" w:styleId="BalloonText">
    <w:name w:val="Balloon Text"/>
    <w:basedOn w:val="Normal"/>
    <w:link w:val="BalloonTextChar"/>
    <w:uiPriority w:val="99"/>
    <w:semiHidden/>
    <w:unhideWhenUsed/>
    <w:rsid w:val="00752EEF"/>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752EEF"/>
    <w:rPr>
      <w:rFonts w:ascii="Segoe UI" w:hAnsi="Segoe UI" w:cs="Segoe UI"/>
      <w:sz w:val="18"/>
      <w:szCs w:val="18"/>
    </w:rPr>
  </w:style>
  <w:style w:type="character" w:styleId="contextualspellingandgrammarerror" w:customStyle="1">
    <w:name w:val="contextualspellingandgrammarerror"/>
    <w:basedOn w:val="DefaultParagraphFont"/>
    <w:rsid w:val="004471F1"/>
  </w:style>
  <w:style w:type="character" w:styleId="normaltextrun" w:customStyle="1">
    <w:name w:val="normaltextrun"/>
    <w:basedOn w:val="DefaultParagraphFont"/>
    <w:rsid w:val="004471F1"/>
  </w:style>
  <w:style w:type="paragraph" w:styleId="CommentSubject">
    <w:name w:val="annotation subject"/>
    <w:basedOn w:val="CommentText"/>
    <w:next w:val="CommentText"/>
    <w:link w:val="CommentSubjectChar"/>
    <w:uiPriority w:val="99"/>
    <w:semiHidden/>
    <w:unhideWhenUsed/>
    <w:rsid w:val="004D7604"/>
    <w:rPr>
      <w:b/>
      <w:bCs/>
    </w:rPr>
  </w:style>
  <w:style w:type="character" w:styleId="CommentSubjectChar" w:customStyle="1">
    <w:name w:val="Comment Subject Char"/>
    <w:basedOn w:val="CommentTextChar"/>
    <w:link w:val="CommentSubject"/>
    <w:uiPriority w:val="99"/>
    <w:semiHidden/>
    <w:rsid w:val="004D760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ico.org.uk/for-organisations/guide-to-data-protection/guide-to-the-general-data-protection-regulation-gdpr/lawful-basis-for-processing/consent/" TargetMode="External" Id="rId8" /><Relationship Type="http://schemas.openxmlformats.org/officeDocument/2006/relationships/image" Target="media/image3.png"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2.pn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1.pn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hyperlink" Target="https://ico.org.uk/for-organisations/guide-to-data-protection/guide-to-the-general-data-protection-regulation-gdpr/lawful-basis-for-processing/public-task/" TargetMode="External" Id="rId10" /><Relationship Type="http://schemas.openxmlformats.org/officeDocument/2006/relationships/numbering" Target="numbering.xml" Id="rId4" /><Relationship Type="http://schemas.openxmlformats.org/officeDocument/2006/relationships/hyperlink" Target="https://ico.org.uk/for-organisations/guide-to-data-protection/guide-to-the-general-data-protection-regulation-gdpr/lawful-basis-for-processing/legal-obligation/" TargetMode="Externa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4CA9F31E65A6F4DB0E2A438BE642656" ma:contentTypeVersion="12" ma:contentTypeDescription="Create a new document." ma:contentTypeScope="" ma:versionID="d26d0440fcf88ac4433daa14376f1571">
  <xsd:schema xmlns:xsd="http://www.w3.org/2001/XMLSchema" xmlns:xs="http://www.w3.org/2001/XMLSchema" xmlns:p="http://schemas.microsoft.com/office/2006/metadata/properties" xmlns:ns2="9df4e4db-7b61-4837-8b5d-fb43ceece580" xmlns:ns3="42abb7ef-86f2-4e04-932e-a882865ea17c" targetNamespace="http://schemas.microsoft.com/office/2006/metadata/properties" ma:root="true" ma:fieldsID="d5e80acad5303e8a798f6b4e876855fb" ns2:_="" ns3:_="">
    <xsd:import namespace="9df4e4db-7b61-4837-8b5d-fb43ceece580"/>
    <xsd:import namespace="42abb7ef-86f2-4e04-932e-a882865ea17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Locatio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f4e4db-7b61-4837-8b5d-fb43ceece5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abb7ef-86f2-4e04-932e-a882865ea17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CD8FFD-C059-4BA0-A56C-1184C0A729C5}">
  <ds:schemaRefs>
    <ds:schemaRef ds:uri="http://schemas.microsoft.com/sharepoint/v3/contenttype/forms"/>
  </ds:schemaRefs>
</ds:datastoreItem>
</file>

<file path=customXml/itemProps2.xml><?xml version="1.0" encoding="utf-8"?>
<ds:datastoreItem xmlns:ds="http://schemas.openxmlformats.org/officeDocument/2006/customXml" ds:itemID="{13231947-95D2-4A98-B712-86079C4054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f4e4db-7b61-4837-8b5d-fb43ceece580"/>
    <ds:schemaRef ds:uri="42abb7ef-86f2-4e04-932e-a882865ea1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BBBC29-7AE9-4072-89EB-720C510E5C01}">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Stockport Metropolitan Borough Council</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Sally Roy</dc:creator>
  <keywords/>
  <dc:description/>
  <lastModifiedBy>Victoria Walsh</lastModifiedBy>
  <revision>27</revision>
  <dcterms:created xsi:type="dcterms:W3CDTF">2020-03-30T09:02:00.0000000Z</dcterms:created>
  <dcterms:modified xsi:type="dcterms:W3CDTF">2020-03-30T20:34:39.2158284Z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0x01010084CA9F31E65A6F4DB0E2A438BE642656</vt:lpwstr>
  </property>
</Properties>
</file>