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Neea Rusch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 past and present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Laura Austin, Denise Coleman, Markus Bacha,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3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were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40" name="Picture"/>
              <a:graphic>
                <a:graphicData uri="http://schemas.openxmlformats.org/drawingml/2006/picture">
                  <pic:pic>
                    <pic:nvPicPr>
                      <pic:cNvPr descr="./img/ALG_Logo_hires.png" id="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2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3"/>
    <w:bookmarkStart w:id="5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9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pStyle w:val="Compact"/>
        <w:numPr>
          <w:ilvl w:val="0"/>
          <w:numId w:val="1002"/>
        </w:numPr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4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6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source code is highlighted thanks to</w:t>
      </w:r>
      <w:r>
        <w:t xml:space="preserve"> </w:t>
      </w:r>
      <w:hyperlink r:id="rId47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8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9"/>
    <w:bookmarkStart w:id="53" w:name="fonts"/>
    <w:p>
      <w:pPr>
        <w:pStyle w:val="Heading2"/>
      </w:pPr>
      <w:r>
        <w:t xml:space="preserve">Fonts</w:t>
      </w:r>
    </w:p>
    <w:p>
      <w:pPr>
        <w:pStyle w:val="FirstParagraph"/>
      </w:pPr>
      <w:r>
        <w:t xml:space="preserve">We use the</w:t>
      </w:r>
      <w:r>
        <w:t xml:space="preserve"> </w:t>
      </w:r>
      <w:hyperlink r:id="rId50">
        <w:r>
          <w:rPr>
            <w:rStyle w:val="Hyperlink"/>
          </w:rPr>
          <w:t xml:space="preserve">URW Gothic</w:t>
        </w:r>
      </w:hyperlink>
      <w:r>
        <w:t xml:space="preserve"> </w:t>
      </w:r>
      <w:r>
        <w:t xml:space="preserve">and</w:t>
      </w:r>
      <w:r>
        <w:t xml:space="preserve"> </w:t>
      </w:r>
      <w:hyperlink r:id="rId51">
        <w:r>
          <w:rPr>
            <w:rStyle w:val="Hyperlink"/>
          </w:rPr>
          <w:t xml:space="preserve">Hack</w:t>
        </w:r>
      </w:hyperlink>
      <w:r>
        <w:t xml:space="preserve"> </w:t>
      </w:r>
      <w:r>
        <w:t xml:space="preserve">(inspired by the</w:t>
      </w:r>
      <w:r>
        <w:t xml:space="preserve"> </w:t>
      </w:r>
      <w:hyperlink r:id="rId51">
        <w:r>
          <w:rPr>
            <w:rStyle w:val="Hyperlink"/>
          </w:rPr>
          <w:t xml:space="preserve">DejaVu</w:t>
        </w:r>
      </w:hyperlink>
      <w:r>
        <w:t xml:space="preserve"> </w:t>
      </w:r>
      <w:r>
        <w:t xml:space="preserve">font) fonts.</w:t>
      </w:r>
      <w:r>
        <w:t xml:space="preserve"> </w:t>
      </w:r>
      <w:r>
        <w:t xml:space="preserve">Those fonts have been specially selected for their legibility and</w:t>
      </w:r>
      <w:r>
        <w:t xml:space="preserve"> </w:t>
      </w:r>
      <w:hyperlink r:id="rId52">
        <w:r>
          <w:rPr>
            <w:rStyle w:val="Hyperlink"/>
          </w:rPr>
          <w:t xml:space="preserve">lower impact on environment</w:t>
        </w:r>
      </w:hyperlink>
      <w:r>
        <w:t xml:space="preserve">.</w:t>
      </w:r>
    </w:p>
    <w:bookmarkEnd w:id="53"/>
    <w:bookmarkStart w:id="55" w:name="services"/>
    <w:p>
      <w:pPr>
        <w:pStyle w:val="Heading2"/>
      </w:pPr>
      <w:r>
        <w:t xml:space="preserve">Services</w:t>
      </w:r>
    </w:p>
    <w:p>
      <w:pPr>
        <w:pStyle w:val="Compact"/>
        <w:numPr>
          <w:ilvl w:val="0"/>
          <w:numId w:val="1003"/>
        </w:numPr>
      </w:pPr>
      <w:r>
        <w:t xml:space="preserve">The source code and the website are graciously hosted and built by</w:t>
      </w:r>
      <w:r>
        <w:t xml:space="preserve"> </w:t>
      </w:r>
      <w:hyperlink r:id="rId5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55"/>
    <w:bookmarkEnd w:id="56"/>
    <w:bookmarkStart w:id="5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pStyle w:val="Compact"/>
        <w:numPr>
          <w:ilvl w:val="0"/>
          <w:numId w:val="1004"/>
        </w:numPr>
      </w:pPr>
      <w:r>
        <w:t xml:space="preserve">Save, print, copy and redistribute the entirety of the resources presented here,</w:t>
      </w:r>
    </w:p>
    <w:p>
      <w:pPr>
        <w:pStyle w:val="Compact"/>
        <w:numPr>
          <w:ilvl w:val="0"/>
          <w:numId w:val="1004"/>
        </w:numPr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52" Target="https://en.wikipedia.org/wiki/Century_Gothic#Printer_ink_usage" TargetMode="External" /><Relationship Type="http://schemas.openxmlformats.org/officeDocument/2006/relationships/hyperlink" Id="rId50" Target="https://fontesk.com/gothic-typeface/" TargetMode="External" /><Relationship Type="http://schemas.openxmlformats.org/officeDocument/2006/relationships/hyperlink" Id="rId54" Target="https://github.com/" TargetMode="External" /><Relationship Type="http://schemas.openxmlformats.org/officeDocument/2006/relationships/hyperlink" Id="rId45" Target="https://github.com/DCsunset/pandoc-include" TargetMode="External" /><Relationship Type="http://schemas.openxmlformats.org/officeDocument/2006/relationships/hyperlink" Id="rId58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4" Target="https://pandoc.org/" TargetMode="External" /><Relationship Type="http://schemas.openxmlformats.org/officeDocument/2006/relationships/hyperlink" Id="rId47" Target="https://pygments.org/" TargetMode="External" /><Relationship Type="http://schemas.openxmlformats.org/officeDocument/2006/relationships/hyperlink" Id="rId51" Target="https://sourcefoundry.org/hack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6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37" Target="https://www.affordablelearninggeorgia.org/grants/overview/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2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8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52" Target="https://en.wikipedia.org/wiki/Century_Gothic#Printer_ink_usage" TargetMode="External" /><Relationship Type="http://schemas.openxmlformats.org/officeDocument/2006/relationships/hyperlink" Id="rId50" Target="https://fontesk.com/gothic-typeface/" TargetMode="External" /><Relationship Type="http://schemas.openxmlformats.org/officeDocument/2006/relationships/hyperlink" Id="rId54" Target="https://github.com/" TargetMode="External" /><Relationship Type="http://schemas.openxmlformats.org/officeDocument/2006/relationships/hyperlink" Id="rId45" Target="https://github.com/DCsunset/pandoc-include" TargetMode="External" /><Relationship Type="http://schemas.openxmlformats.org/officeDocument/2006/relationships/hyperlink" Id="rId58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4" Target="https://pandoc.org/" TargetMode="External" /><Relationship Type="http://schemas.openxmlformats.org/officeDocument/2006/relationships/hyperlink" Id="rId47" Target="https://pygments.org/" TargetMode="External" /><Relationship Type="http://schemas.openxmlformats.org/officeDocument/2006/relationships/hyperlink" Id="rId51" Target="https://sourcefoundry.org/hack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6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37" Target="https://www.affordablelearninggeorgia.org/grants/overview/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2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8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2024-05-22T17:30:48Z</dcterms:created>
  <dcterms:modified xsi:type="dcterms:W3CDTF">2024-05-22T17:30:48Z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