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29"/>
        <w:gridCol w:w="3261"/>
        <w:gridCol w:w="2329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30</w:t>
            </w:r>
            <w:r>
              <w:rPr>
                <w:rStyle w:val="NormalTok"/>
              </w:rPr>
              <w:t xml:space="preserve">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p>
      <w:pPr>
        <w:pStyle w:val="FirstParagraph"/>
      </w:pPr>
      <w:r>
        <w:t xml:space="preserve">This table is to be read as</w:t>
      </w:r>
    </w:p>
    <w:p>
      <w:pPr>
        <w:pStyle w:val="BlockText"/>
      </w:pPr>
      <m:oMath>
        <m:r>
          <m:rPr>
            <m:sty m:val="p"/>
          </m:rPr>
          <m:t>✓</m:t>
        </m:r>
      </m:oMath>
      <w:r>
        <w:t xml:space="preserve"> </w:t>
      </w:r>
      <w:r>
        <w:t xml:space="preserve">means that those values or variables from the datatypes in the row and column can be</w:t>
      </w:r>
      <w:r>
        <w:t xml:space="preserve"> </w:t>
      </w:r>
      <w:r>
        <w:t xml:space="preserve">“</w:t>
      </w:r>
      <w:r>
        <w:t xml:space="preserve">operated together</w:t>
      </w:r>
      <w:r>
        <w:t xml:space="preserve">”</w:t>
      </w:r>
      <w:r>
        <w:t xml:space="preserve"> </w:t>
      </w:r>
      <w:r>
        <w:t xml:space="preserve">(meaning, you can for instance multiply them),</w:t>
      </w:r>
      <w:r>
        <w:t xml:space="preserve"> </w:t>
      </w:r>
      <w:r>
        <w:t xml:space="preserve">✘ means that those values or variables from the datatypes in the row and column can</w:t>
      </w:r>
      <w:r>
        <w:rPr>
          <w:i/>
          <w:iCs/>
        </w:rPr>
        <w:t xml:space="preserve">not</w:t>
      </w:r>
      <w:r>
        <w:t xml:space="preserve"> </w:t>
      </w:r>
      <w:r>
        <w:t xml:space="preserve">be</w:t>
      </w:r>
      <w:r>
        <w:t xml:space="preserve"> </w:t>
      </w:r>
      <w:r>
        <w:t xml:space="preserve">“</w:t>
      </w:r>
      <w:r>
        <w:t xml:space="preserve">operated together</w:t>
      </w:r>
      <w:r>
        <w:t xml:space="preserve">”</w:t>
      </w:r>
      <w:r>
        <w:t xml:space="preserve"> </w:t>
      </w:r>
      <w:r>
        <w:t xml:space="preserve">(meaning, you can</w:t>
      </w:r>
      <w:r>
        <w:rPr>
          <w:i/>
          <w:iCs/>
        </w:rPr>
        <w:t xml:space="preserve">not</w:t>
      </w:r>
      <w:r>
        <w:t xml:space="preserve"> </w:t>
      </w:r>
      <w:r>
        <w:t xml:space="preserve">for instance multiply them).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650"/>
        <w:gridCol w:w="1650"/>
        <w:gridCol w:w="1650"/>
        <w:gridCol w:w="165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p>
      <w:pPr>
        <w:pStyle w:val="FirstParagraph"/>
      </w:pPr>
      <w:r>
        <w:t xml:space="preserve">This table is to be read as</w:t>
      </w:r>
    </w:p>
    <w:p>
      <w:pPr>
        <w:pStyle w:val="BlockText"/>
      </w:pPr>
      <w:r>
        <w:t xml:space="preserve">Values or variables from the datatypes in the row and column can be</w:t>
      </w:r>
      <w:r>
        <w:t xml:space="preserve"> </w:t>
      </w:r>
      <w:r>
        <w:t xml:space="preserve">“</w:t>
      </w:r>
      <w:r>
        <w:t xml:space="preserve">operated together</w:t>
      </w:r>
      <w:r>
        <w:t xml:space="preserve">”</w:t>
      </w:r>
      <w:r>
        <w:t xml:space="preserve"> </w:t>
      </w:r>
      <w:r>
        <w:t xml:space="preserve">and will produce the datatype indicated in the cell, or cannot be</w:t>
      </w:r>
      <w:r>
        <w:t xml:space="preserve"> </w:t>
      </w:r>
      <w:r>
        <w:t xml:space="preserve">“</w:t>
      </w:r>
      <w:r>
        <w:t xml:space="preserve">operated together</w:t>
      </w:r>
      <w:r>
        <w:t xml:space="preserve">”</w:t>
      </w:r>
      <w:r>
        <w:t xml:space="preserve"> </w:t>
      </w:r>
      <w:r>
        <w:t xml:space="preserve">if the value in the cell is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.s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2024-05-22T17:30:39Z</dcterms:created>
  <dcterms:modified xsi:type="dcterms:W3CDTF">2024-05-22T17:30:39Z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