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datatypes-in-c"/>
    <w:p>
      <w:pPr>
        <w:pStyle w:val="Heading1"/>
      </w:pPr>
      <w:r>
        <w:t xml:space="preserve">Datatypes in C</w:t>
      </w:r>
    </w:p>
    <w:bookmarkStart w:id="26" w:name="value-types"/>
    <w:p>
      <w:pPr>
        <w:pStyle w:val="Heading2"/>
      </w:pPr>
      <w:r>
        <w:t xml:space="preserve">Value Types</w:t>
      </w:r>
    </w:p>
    <w:bookmarkStart w:id="23" w:name="numeric"/>
    <w:p>
      <w:pPr>
        <w:pStyle w:val="Heading3"/>
      </w:pPr>
      <w:r>
        <w:t xml:space="preserve">Numeric</w:t>
      </w:r>
    </w:p>
    <w:bookmarkStart w:id="20" w:name="signed-integer"/>
    <w:p>
      <w:pPr>
        <w:pStyle w:val="Heading4"/>
      </w:pPr>
      <w:r>
        <w:t xml:space="preserve">Signed Integer</w:t>
      </w:r>
    </w:p>
    <w:p>
      <w:pPr>
        <w:pStyle w:val="FirstParagraph"/>
      </w:pPr>
      <w:r>
        <w:t xml:space="preserve">Type | Range | Size |</w:t>
      </w:r>
      <w:r>
        <w:br/>
      </w:r>
      <w:r>
        <w:t xml:space="preserve">:: | :–: | :: |</w:t>
      </w:r>
      <w:r>
        <w:br/>
      </w:r>
      <w:r>
        <w:rPr>
          <w:rStyle w:val="VerbatimChar"/>
        </w:rPr>
        <w:t xml:space="preserve">sbyte</w:t>
      </w:r>
      <w:r>
        <w:t xml:space="preserve"> </w:t>
      </w:r>
      <w:r>
        <w:t xml:space="preserve">| -128 to 127 | Signed 8-bit integer |</w:t>
      </w:r>
      <w:r>
        <w:br/>
      </w:r>
      <w:r>
        <w:rPr>
          <w:rStyle w:val="VerbatimChar"/>
        </w:rPr>
        <w:t xml:space="preserve">short</w:t>
      </w:r>
      <w:r>
        <w:t xml:space="preserve"> </w:t>
      </w:r>
      <w:r>
        <w:t xml:space="preserve">| -32,768 to 32,767 | Signed 16-bit integer |</w:t>
      </w:r>
      <w:r>
        <w:br/>
      </w:r>
      <w:r>
        <w:rPr>
          <w:rStyle w:val="VerbatimChar"/>
        </w:rPr>
        <w:t xml:space="preserve">int</w:t>
      </w:r>
      <w:r>
        <w:t xml:space="preserve"> </w:t>
      </w:r>
      <w:r>
        <w:t xml:space="preserve">| -2,147,483,648 to 2,147,483,647 | Signed 32-bit integer |</w:t>
      </w:r>
      <w:r>
        <w:br/>
      </w:r>
      <w:r>
        <w:rPr>
          <w:rStyle w:val="VerbatimChar"/>
        </w:rPr>
        <w:t xml:space="preserve">long</w:t>
      </w:r>
      <w:r>
        <w:t xml:space="preserve"> </w:t>
      </w:r>
      <w:r>
        <w:t xml:space="preserve">| -9,223,372,036,854,775,808 to 9,223,372,036,854,775,807 | Signed 64-bit integer |</w:t>
      </w:r>
    </w:p>
    <w:bookmarkEnd w:id="20"/>
    <w:bookmarkStart w:id="21" w:name="unsigned-integer"/>
    <w:p>
      <w:pPr>
        <w:pStyle w:val="Heading4"/>
      </w:pPr>
      <w:r>
        <w:t xml:space="preserve">Unsigned Integer</w:t>
      </w:r>
    </w:p>
    <w:p>
      <w:pPr>
        <w:pStyle w:val="FirstParagraph"/>
      </w:pPr>
      <w:r>
        <w:t xml:space="preserve">|Type | Range | Size |</w:t>
      </w:r>
      <w:r>
        <w:t xml:space="preserve"> </w:t>
      </w:r>
      <w:r>
        <w:t xml:space="preserve">| :: | :: | :: |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byte</w:t>
      </w:r>
      <w:r>
        <w:t xml:space="preserve"> </w:t>
      </w:r>
      <w:r>
        <w:t xml:space="preserve">| 0 to 255 | Unsigned 8-bit integer |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ushort</w:t>
      </w:r>
      <w:r>
        <w:t xml:space="preserve"> </w:t>
      </w:r>
      <w:r>
        <w:t xml:space="preserve">| 0 to 65,535 | Unsigned 16-bit integer |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uint</w:t>
      </w:r>
      <w:r>
        <w:t xml:space="preserve"> </w:t>
      </w:r>
      <w:r>
        <w:t xml:space="preserve">| 0 to 4,294,967,295 | Unsigned 32-bit integer |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ulong</w:t>
      </w:r>
      <w:r>
        <w:t xml:space="preserve"> </w:t>
      </w:r>
      <w:r>
        <w:t xml:space="preserve">| 0 to 18,446,744,073,709,551,615 | Unsigned 64-bit integer |</w:t>
      </w:r>
    </w:p>
    <w:bookmarkEnd w:id="21"/>
    <w:bookmarkStart w:id="22" w:name="floating-point-numbers"/>
    <w:p>
      <w:pPr>
        <w:pStyle w:val="Heading4"/>
      </w:pPr>
      <w:r>
        <w:t xml:space="preserve">Floating-point Numbers</w:t>
      </w:r>
    </w:p>
    <w:p>
      <w:pPr>
        <w:pStyle w:val="FirstParagraph"/>
      </w:pPr>
      <w:r>
        <w:t xml:space="preserve">Type | Approximate Range | Precision |</w:t>
      </w:r>
      <w:r>
        <w:br/>
      </w:r>
      <w:r>
        <w:t xml:space="preserve">:: | :–: | :: |</w:t>
      </w:r>
      <w:r>
        <w:br/>
      </w:r>
      <w:r>
        <w:rPr>
          <w:rStyle w:val="VerbatimChar"/>
        </w:rPr>
        <w:t xml:space="preserve">float</w:t>
      </w:r>
      <w:r>
        <w:t xml:space="preserve"> </w:t>
      </w:r>
      <w:r>
        <w:t xml:space="preserve">| ±1.5e−45 to ±3.4e38 | 7 digits|</w:t>
      </w:r>
      <w:r>
        <w:br/>
      </w:r>
      <w:r>
        <w:rPr>
          <w:rStyle w:val="VerbatimChar"/>
        </w:rPr>
        <w:t xml:space="preserve">double</w:t>
      </w:r>
      <w:r>
        <w:t xml:space="preserve"> </w:t>
      </w:r>
      <w:r>
        <w:t xml:space="preserve">| ±5.0e−324 to ±1.7e308 | 15–16 digits|</w:t>
      </w:r>
      <w:r>
        <w:br/>
      </w:r>
      <w:r>
        <w:rPr>
          <w:rStyle w:val="VerbatimChar"/>
        </w:rPr>
        <w:t xml:space="preserve">decimal</w:t>
      </w:r>
      <w:r>
        <w:t xml:space="preserve"> </w:t>
      </w:r>
      <w:r>
        <w:t xml:space="preserve">| (-7.9 x 1028 to 7.9 x 1028)/(100 to 1028) | 28–29 significant digits |</w:t>
      </w:r>
    </w:p>
    <w:bookmarkEnd w:id="22"/>
    <w:bookmarkEnd w:id="23"/>
    <w:bookmarkStart w:id="24" w:name="logical"/>
    <w:p>
      <w:pPr>
        <w:pStyle w:val="Heading3"/>
      </w:pPr>
      <w:r>
        <w:t xml:space="preserve">Logical</w:t>
      </w:r>
    </w:p>
    <w:p>
      <w:pPr>
        <w:pStyle w:val="FirstParagraph"/>
      </w:pPr>
      <w:r>
        <w:t xml:space="preserve">Type | Possible Values | Size |</w:t>
      </w:r>
      <w:r>
        <w:br/>
      </w:r>
      <w:r>
        <w:t xml:space="preserve">:: | :: | :: |</w:t>
      </w:r>
      <w:r>
        <w:br/>
      </w:r>
      <w:r>
        <w:rPr>
          <w:rStyle w:val="VerbatimChar"/>
        </w:rPr>
        <w:t xml:space="preserve">bool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| 8-bit |</w:t>
      </w:r>
    </w:p>
    <w:bookmarkEnd w:id="24"/>
    <w:bookmarkStart w:id="25" w:name="character"/>
    <w:p>
      <w:pPr>
        <w:pStyle w:val="Heading3"/>
      </w:pPr>
      <w:r>
        <w:t xml:space="preserve">Character</w:t>
      </w:r>
    </w:p>
    <w:p>
      <w:pPr>
        <w:pStyle w:val="FirstParagraph"/>
      </w:pPr>
      <w:r>
        <w:t xml:space="preserve">Type | Range | Size |</w:t>
      </w:r>
      <w:r>
        <w:br/>
      </w:r>
      <w:r>
        <w:t xml:space="preserve">:: | :: | :: |</w:t>
      </w:r>
      <w:r>
        <w:br/>
      </w:r>
      <w:r>
        <w:rPr>
          <w:rStyle w:val="VerbatimChar"/>
        </w:rPr>
        <w:t xml:space="preserve">char</w:t>
      </w:r>
      <w:r>
        <w:t xml:space="preserve"> </w:t>
      </w:r>
      <w:r>
        <w:t xml:space="preserve">| U+0000 to U+ffff | Unicode 16-bit character |</w:t>
      </w:r>
    </w:p>
    <w:bookmarkEnd w:id="25"/>
    <w:bookmarkEnd w:id="26"/>
    <w:bookmarkStart w:id="27" w:name="literals"/>
    <w:p>
      <w:pPr>
        <w:pStyle w:val="Heading2"/>
      </w:pPr>
      <w:r>
        <w:t xml:space="preserve">Literals</w:t>
      </w:r>
    </w:p>
    <w:p>
      <w:pPr>
        <w:pStyle w:val="FirstParagraph"/>
      </w:pPr>
      <w:r>
        <w:t xml:space="preserve">Name | Corresponding datatype | Examples |</w:t>
      </w:r>
      <w:r>
        <w:br/>
      </w:r>
      <w:r>
        <w:t xml:space="preserve">:: | :: | :: |</w:t>
      </w:r>
      <w:r>
        <w:br/>
      </w:r>
      <w:r>
        <w:t xml:space="preserve">Integer Literal |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40</w:t>
      </w:r>
      <w:r>
        <w:t xml:space="preserve">,</w:t>
      </w:r>
      <w:r>
        <w:t xml:space="preserve"> </w:t>
      </w:r>
      <w:r>
        <w:rPr>
          <w:rStyle w:val="VerbatimChar"/>
        </w:rPr>
        <w:t xml:space="preserve">-39</w:t>
      </w:r>
      <w:r>
        <w:t xml:space="preserve">,</w:t>
      </w:r>
      <w:r>
        <w:t xml:space="preserve"> </w:t>
      </w:r>
      <w:r>
        <w:rPr>
          <w:rStyle w:val="VerbatimChar"/>
        </w:rPr>
        <w:t xml:space="preserve">291838</w:t>
      </w:r>
      <w:r>
        <w:t xml:space="preserve">,</w:t>
      </w:r>
      <w:r>
        <w:t xml:space="preserve"> </w:t>
      </w:r>
      <w:r>
        <w:rPr>
          <w:rStyle w:val="VerbatimChar"/>
        </w:rPr>
        <w:t xml:space="preserve">0</w:t>
      </w:r>
      <w:r>
        <w:t xml:space="preserve">, … |</w:t>
      </w:r>
      <w:r>
        <w:br/>
      </w:r>
      <w:r>
        <w:t xml:space="preserve">Float Literal |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3.5F</w:t>
      </w:r>
      <w:r>
        <w:t xml:space="preserve">,</w:t>
      </w:r>
      <w:r>
        <w:t xml:space="preserve"> </w:t>
      </w:r>
      <w:r>
        <w:rPr>
          <w:rStyle w:val="VerbatimChar"/>
        </w:rPr>
        <w:t xml:space="preserve">-43.5f</w:t>
      </w:r>
      <w:r>
        <w:t xml:space="preserve">,</w:t>
      </w:r>
      <w:r>
        <w:t xml:space="preserve"> </w:t>
      </w:r>
      <w:r>
        <w:rPr>
          <w:rStyle w:val="VerbatimChar"/>
        </w:rPr>
        <w:t xml:space="preserve">309430.70006F</w:t>
      </w:r>
      <w:r>
        <w:t xml:space="preserve">, … |</w:t>
      </w:r>
      <w:r>
        <w:br/>
      </w:r>
      <w:r>
        <w:t xml:space="preserve">Double Literal |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28.98</w:t>
      </w:r>
      <w:r>
        <w:t xml:space="preserve">,</w:t>
      </w:r>
      <w:r>
        <w:t xml:space="preserve"> </w:t>
      </w:r>
      <w:r>
        <w:rPr>
          <w:rStyle w:val="VerbatimChar"/>
        </w:rPr>
        <w:t xml:space="preserve">239.0</w:t>
      </w:r>
      <w:r>
        <w:t xml:space="preserve">,</w:t>
      </w:r>
      <w:r>
        <w:t xml:space="preserve"> </w:t>
      </w:r>
      <w:r>
        <w:rPr>
          <w:rStyle w:val="VerbatimChar"/>
        </w:rPr>
        <w:t xml:space="preserve">-391.089</w:t>
      </w:r>
      <w:r>
        <w:t xml:space="preserve">,</w:t>
      </w:r>
      <w:r>
        <w:t xml:space="preserve"> </w:t>
      </w:r>
      <w:r>
        <w:rPr>
          <w:rStyle w:val="VerbatimChar"/>
        </w:rPr>
        <w:t xml:space="preserve">0.0</w:t>
      </w:r>
      <w:r>
        <w:t xml:space="preserve">, … |</w:t>
      </w:r>
      <w:r>
        <w:br/>
      </w:r>
      <w:r>
        <w:t xml:space="preserve">Decimal Literal |</w:t>
      </w:r>
      <w:r>
        <w:t xml:space="preserve"> </w:t>
      </w:r>
      <w:r>
        <w:rPr>
          <w:rStyle w:val="VerbatimChar"/>
        </w:rPr>
        <w:t xml:space="preserve">decimal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8.95m</w:t>
      </w:r>
      <w:r>
        <w:t xml:space="preserve">,</w:t>
      </w:r>
      <w:r>
        <w:t xml:space="preserve"> </w:t>
      </w:r>
      <w:r>
        <w:rPr>
          <w:rStyle w:val="VerbatimChar"/>
        </w:rPr>
        <w:t xml:space="preserve">3283.9M</w:t>
      </w:r>
      <w:r>
        <w:t xml:space="preserve">,</w:t>
      </w:r>
      <w:r>
        <w:t xml:space="preserve"> </w:t>
      </w:r>
      <w:r>
        <w:rPr>
          <w:rStyle w:val="VerbatimChar"/>
        </w:rPr>
        <w:t xml:space="preserve">-30m</w:t>
      </w:r>
      <w:r>
        <w:t xml:space="preserve">, … |</w:t>
      </w:r>
      <w:r>
        <w:br/>
      </w:r>
      <w:r>
        <w:t xml:space="preserve">Boolean Literal |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|</w:t>
      </w:r>
      <w:r>
        <w:br/>
      </w:r>
      <w:r>
        <w:t xml:space="preserve">Character Literal |</w:t>
      </w:r>
      <w:r>
        <w:t xml:space="preserve"> </w:t>
      </w:r>
      <w:r>
        <w:rPr>
          <w:rStyle w:val="VerbatimChar"/>
        </w:rPr>
        <w:t xml:space="preserve">char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'Y'</w:t>
      </w:r>
      <w:r>
        <w:t xml:space="preserve">,</w:t>
      </w:r>
      <w:r>
        <w:t xml:space="preserve"> </w:t>
      </w:r>
      <w:r>
        <w:rPr>
          <w:rStyle w:val="VerbatimChar"/>
        </w:rPr>
        <w:t xml:space="preserve">'a'</w:t>
      </w:r>
      <w:r>
        <w:t xml:space="preserve">,</w:t>
      </w:r>
      <w:r>
        <w:t xml:space="preserve"> </w:t>
      </w:r>
      <w:r>
        <w:rPr>
          <w:rStyle w:val="VerbatimChar"/>
        </w:rPr>
        <w:t xml:space="preserve">'0'</w:t>
      </w:r>
      <w:r>
        <w:t xml:space="preserve">,</w:t>
      </w:r>
      <w:r>
        <w:t xml:space="preserve"> </w:t>
      </w:r>
      <w:r>
        <w:rPr>
          <w:rStyle w:val="VerbatimChar"/>
        </w:rPr>
        <w:t xml:space="preserve">'\n'</w:t>
      </w:r>
      <w:r>
        <w:t xml:space="preserve">,</w:t>
      </w:r>
      <w:r>
        <w:t xml:space="preserve"> </w:t>
      </w:r>
      <w:r>
        <w:rPr>
          <w:rStyle w:val="VerbatimChar"/>
        </w:rPr>
        <w:t xml:space="preserve">'\x0058'</w:t>
      </w:r>
      <w:r>
        <w:t xml:space="preserve">,</w:t>
      </w:r>
      <w:r>
        <w:t xml:space="preserve"> </w:t>
      </w:r>
      <w:r>
        <w:rPr>
          <w:rStyle w:val="VerbatimChar"/>
        </w:rPr>
        <w:t xml:space="preserve">'\u0058'</w:t>
      </w:r>
      <w:r>
        <w:t xml:space="preserve">, … |</w:t>
      </w:r>
    </w:p>
    <w:bookmarkEnd w:id="27"/>
    <w:bookmarkStart w:id="28" w:name="compatibility"/>
    <w:p>
      <w:pPr>
        <w:pStyle w:val="Heading2"/>
      </w:pPr>
      <w:r>
        <w:t xml:space="preserve">Compatibility</w:t>
      </w:r>
    </w:p>
    <w:p>
      <w:pPr>
        <w:pStyle w:val="FirstParagraph"/>
      </w:pPr>
      <w:r>
        <w:t xml:space="preserve">This table is to be read as</w:t>
      </w:r>
    </w:p>
    <w:p>
      <w:pPr>
        <w:pStyle w:val="BlockText"/>
      </w:pPr>
      <m:oMath>
        <m:r>
          <m:rPr>
            <m:sty m:val="p"/>
          </m:rPr>
          <m:t>✓</m:t>
        </m:r>
      </m:oMath>
      <w:r>
        <w:t xml:space="preserve"> </w:t>
      </w:r>
      <w:r>
        <w:t xml:space="preserve">means that those values or variables from the datatypes in the row and column can be</w:t>
      </w:r>
      <w:r>
        <w:t xml:space="preserve"> </w:t>
      </w:r>
      <w:r>
        <w:t xml:space="preserve">“</w:t>
      </w:r>
      <w:r>
        <w:t xml:space="preserve">operated together</w:t>
      </w:r>
      <w:r>
        <w:t xml:space="preserve">”</w:t>
      </w:r>
      <w:r>
        <w:t xml:space="preserve"> </w:t>
      </w:r>
      <w:r>
        <w:t xml:space="preserve">(meaning, you can for instance multiply them),</w:t>
      </w:r>
      <w:r>
        <w:t xml:space="preserve"> </w:t>
      </w:r>
      <w:r>
        <w:t xml:space="preserve">✘ means that those values or variables from the datatypes in the row and column can</w:t>
      </w:r>
      <w:r>
        <w:rPr>
          <w:i/>
          <w:iCs/>
        </w:rPr>
        <w:t xml:space="preserve">not</w:t>
      </w:r>
      <w:r>
        <w:t xml:space="preserve"> </w:t>
      </w:r>
      <w:r>
        <w:t xml:space="preserve">be</w:t>
      </w:r>
      <w:r>
        <w:t xml:space="preserve"> </w:t>
      </w:r>
      <w:r>
        <w:t xml:space="preserve">“</w:t>
      </w:r>
      <w:r>
        <w:t xml:space="preserve">operated together</w:t>
      </w:r>
      <w:r>
        <w:t xml:space="preserve">”</w:t>
      </w:r>
      <w:r>
        <w:t xml:space="preserve"> </w:t>
      </w:r>
      <w:r>
        <w:t xml:space="preserve">(meaning, you can</w:t>
      </w:r>
      <w:r>
        <w:rPr>
          <w:i/>
          <w:iCs/>
        </w:rPr>
        <w:t xml:space="preserve">not</w:t>
      </w:r>
      <w:r>
        <w:t xml:space="preserve"> </w:t>
      </w:r>
      <w:r>
        <w:t xml:space="preserve">for instance multiply them).</w:t>
      </w:r>
    </w:p>
    <w:p>
      <w:pPr>
        <w:pStyle w:val="FirstParagraph"/>
      </w:pPr>
      <w:r>
        <w:t xml:space="preserve">|</w:t>
      </w:r>
      <w:r>
        <w:t xml:space="preserve"> </w:t>
      </w:r>
      <w:r>
        <w:rPr>
          <w:b/>
          <w:bCs/>
        </w:rPr>
        <w:t xml:space="preserve">Integer Literal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Float Literal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Double Literal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Decimal Literal</w:t>
      </w:r>
      <w:r>
        <w:t xml:space="preserve"> </w:t>
      </w:r>
      <w:r>
        <w:t xml:space="preserve">|</w:t>
      </w:r>
      <w:r>
        <w:br/>
      </w:r>
      <w:r>
        <w:t xml:space="preserve">: | :: | :: | :: | :: |</w:t>
      </w:r>
      <w:r>
        <w:br/>
      </w:r>
      <w:r>
        <w:rPr>
          <w:rStyle w:val="VerbatimChar"/>
          <w:b/>
          <w:bCs/>
        </w:rPr>
        <w:t xml:space="preserve">int</w:t>
      </w:r>
      <w:r>
        <w:t xml:space="preserve"> </w:t>
      </w:r>
      <w:r>
        <w:t xml:space="preserve">|</w:t>
      </w:r>
      <w:r>
        <w:t xml:space="preserve"> </w:t>
      </w:r>
      <m:oMath>
        <m:r>
          <m:rPr>
            <m:sty m:val="p"/>
          </m:rPr>
          <m:t>✓</m:t>
        </m:r>
      </m:oMath>
      <w:r>
        <w:t xml:space="preserve"> </w:t>
      </w:r>
      <w:r>
        <w:t xml:space="preserve">| ✘ | ✘ | ✘ |</w:t>
      </w:r>
      <w:r>
        <w:br/>
      </w:r>
      <w:r>
        <w:rPr>
          <w:rStyle w:val="VerbatimChar"/>
          <w:b/>
          <w:bCs/>
        </w:rPr>
        <w:t xml:space="preserve">float</w:t>
      </w:r>
      <w:r>
        <w:t xml:space="preserve"> </w:t>
      </w:r>
      <w:r>
        <w:t xml:space="preserve">|</w:t>
      </w:r>
      <w:r>
        <w:t xml:space="preserve"> </w:t>
      </w:r>
      <m:oMath>
        <m:r>
          <m:rPr>
            <m:sty m:val="p"/>
          </m:rPr>
          <m:t>✓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rPr>
            <m:sty m:val="p"/>
          </m:rPr>
          <m:t>✓</m:t>
        </m:r>
      </m:oMath>
      <w:r>
        <w:t xml:space="preserve"> </w:t>
      </w:r>
      <w:r>
        <w:t xml:space="preserve">| ✘ | ✘ |</w:t>
      </w:r>
      <w:r>
        <w:br/>
      </w:r>
      <w:r>
        <w:rPr>
          <w:rStyle w:val="VerbatimChar"/>
          <w:b/>
          <w:bCs/>
        </w:rPr>
        <w:t xml:space="preserve">double</w:t>
      </w:r>
      <w:r>
        <w:t xml:space="preserve"> </w:t>
      </w:r>
      <w:r>
        <w:t xml:space="preserve">|</w:t>
      </w:r>
      <w:r>
        <w:t xml:space="preserve"> </w:t>
      </w:r>
      <m:oMath>
        <m:r>
          <m:rPr>
            <m:sty m:val="p"/>
          </m:rPr>
          <m:t>✓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rPr>
            <m:sty m:val="p"/>
          </m:rPr>
          <m:t>✓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rPr>
            <m:sty m:val="p"/>
          </m:rPr>
          <m:t>✓</m:t>
        </m:r>
      </m:oMath>
      <w:r>
        <w:t xml:space="preserve"> </w:t>
      </w:r>
      <w:r>
        <w:t xml:space="preserve">| ✘ |</w:t>
      </w:r>
      <w:r>
        <w:br/>
      </w:r>
      <w:r>
        <w:rPr>
          <w:rStyle w:val="VerbatimChar"/>
          <w:b/>
          <w:bCs/>
        </w:rPr>
        <w:t xml:space="preserve">decimal</w:t>
      </w:r>
      <w:r>
        <w:t xml:space="preserve"> </w:t>
      </w:r>
      <w:r>
        <w:t xml:space="preserve">|</w:t>
      </w:r>
      <w:r>
        <w:t xml:space="preserve"> </w:t>
      </w:r>
      <m:oMath>
        <m:r>
          <m:rPr>
            <m:sty m:val="p"/>
          </m:rPr>
          <m:t>✓</m:t>
        </m:r>
      </m:oMath>
      <w:r>
        <w:t xml:space="preserve"> </w:t>
      </w:r>
      <w:r>
        <w:t xml:space="preserve">| ✘ | ✘ |</w:t>
      </w:r>
      <w:r>
        <w:t xml:space="preserve"> </w:t>
      </w:r>
      <m:oMath>
        <m:r>
          <m:rPr>
            <m:sty m:val="p"/>
          </m:rPr>
          <m:t>✓</m:t>
        </m:r>
      </m:oMath>
      <w:r>
        <w:t xml:space="preserve"> </w:t>
      </w:r>
      <w:r>
        <w:t xml:space="preserve">|</w:t>
      </w:r>
    </w:p>
    <w:bookmarkEnd w:id="28"/>
    <w:bookmarkStart w:id="29" w:name="result-type-of-operations"/>
    <w:p>
      <w:pPr>
        <w:pStyle w:val="Heading2"/>
      </w:pPr>
      <w:r>
        <w:t xml:space="preserve">Result Type of Operations</w:t>
      </w:r>
    </w:p>
    <w:p>
      <w:pPr>
        <w:pStyle w:val="FirstParagraph"/>
      </w:pPr>
      <w:r>
        <w:t xml:space="preserve">This table is to be read as</w:t>
      </w:r>
    </w:p>
    <w:p>
      <w:pPr>
        <w:pStyle w:val="BlockText"/>
      </w:pPr>
      <w:r>
        <w:t xml:space="preserve">Values or variables from the datatypes in the row and column can be</w:t>
      </w:r>
      <w:r>
        <w:t xml:space="preserve"> </w:t>
      </w:r>
      <w:r>
        <w:t xml:space="preserve">“</w:t>
      </w:r>
      <w:r>
        <w:t xml:space="preserve">operated together</w:t>
      </w:r>
      <w:r>
        <w:t xml:space="preserve">”</w:t>
      </w:r>
      <w:r>
        <w:t xml:space="preserve"> </w:t>
      </w:r>
      <w:r>
        <w:t xml:space="preserve">and will produce the datatype indicated in the cell, or cannot be</w:t>
      </w:r>
      <w:r>
        <w:t xml:space="preserve"> </w:t>
      </w:r>
      <w:r>
        <w:t xml:space="preserve">“</w:t>
      </w:r>
      <w:r>
        <w:t xml:space="preserve">operated together</w:t>
      </w:r>
      <w:r>
        <w:t xml:space="preserve">”</w:t>
      </w:r>
      <w:r>
        <w:t xml:space="preserve"> </w:t>
      </w:r>
      <w:r>
        <w:t xml:space="preserve">if the value in the cell is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.s</w:t>
      </w:r>
    </w:p>
    <w:p>
      <w:pPr>
        <w:pStyle w:val="FirstParagraph"/>
      </w:pPr>
      <w:r>
        <w:t xml:space="preserve">          |</w:t>
      </w:r>
      <w:r>
        <w:t xml:space="preserve"> </w:t>
      </w:r>
      <w:r>
        <w:rPr>
          <w:rStyle w:val="VerbatimChar"/>
          <w:b/>
          <w:bCs/>
        </w:rPr>
        <w:t xml:space="preserve">int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  <w:b/>
          <w:bCs/>
        </w:rPr>
        <w:t xml:space="preserve">float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  <w:b/>
          <w:bCs/>
        </w:rPr>
        <w:t xml:space="preserve">double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  <w:b/>
          <w:bCs/>
        </w:rPr>
        <w:t xml:space="preserve">decimal</w:t>
      </w:r>
      <w:r>
        <w:t xml:space="preserve"> </w:t>
      </w:r>
      <w:r>
        <w:t xml:space="preserve">|</w:t>
      </w:r>
      <w:r>
        <w:br/>
      </w:r>
      <w:r>
        <w:t xml:space="preserve">: | :: | :: | :: | :: |</w:t>
      </w:r>
      <w:r>
        <w:br/>
      </w:r>
      <w:r>
        <w:rPr>
          <w:rStyle w:val="VerbatimChar"/>
          <w:b/>
          <w:bCs/>
        </w:rPr>
        <w:t xml:space="preserve">int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decimal</w:t>
      </w:r>
      <w:r>
        <w:t xml:space="preserve"> </w:t>
      </w:r>
      <w:r>
        <w:t xml:space="preserve">|</w:t>
      </w:r>
      <w:r>
        <w:br/>
      </w:r>
      <w:r>
        <w:rPr>
          <w:rStyle w:val="VerbatimChar"/>
          <w:b/>
          <w:bCs/>
        </w:rPr>
        <w:t xml:space="preserve">float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| illegal |</w:t>
      </w:r>
      <w:r>
        <w:br/>
      </w:r>
      <w:r>
        <w:rPr>
          <w:rStyle w:val="VerbatimChar"/>
          <w:b/>
          <w:bCs/>
        </w:rPr>
        <w:t xml:space="preserve">double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| illegal |</w:t>
      </w:r>
      <w:r>
        <w:br/>
      </w:r>
      <w:r>
        <w:rPr>
          <w:rStyle w:val="VerbatimChar"/>
          <w:b/>
          <w:bCs/>
        </w:rPr>
        <w:t xml:space="preserve">decimal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decimal</w:t>
      </w:r>
      <w:r>
        <w:t xml:space="preserve"> </w:t>
      </w:r>
      <w:r>
        <w:t xml:space="preserve">| illegal | illegal |</w:t>
      </w:r>
      <w:r>
        <w:t xml:space="preserve"> </w:t>
      </w:r>
      <w:r>
        <w:rPr>
          <w:rStyle w:val="VerbatimChar"/>
        </w:rPr>
        <w:t xml:space="preserve">decimal</w:t>
      </w:r>
      <w:r>
        <w:t xml:space="preserve"> </w:t>
      </w:r>
      <w:r>
        <w:t xml:space="preserve">|</w:t>
      </w:r>
    </w:p>
    <w:bookmarkEnd w:id="29"/>
    <w:bookmarkStart w:id="36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docs.microsoft.com/en-us/dotnet/csharp/language-reference/keywords/explicit-numeric-conversions-table" TargetMode="External" /><Relationship Type="http://schemas.openxmlformats.org/officeDocument/2006/relationships/hyperlink" Id="rId32" Target="https://docs.microsoft.com/en-us/dotnet/csharp/language-reference/keywords/floating-point-types-table" TargetMode="External" /><Relationship Type="http://schemas.openxmlformats.org/officeDocument/2006/relationships/hyperlink" Id="rId34" Target="https://docs.microsoft.com/en-us/dotnet/csharp/language-reference/keywords/implicit-numeric-conversions-table" TargetMode="External" /><Relationship Type="http://schemas.openxmlformats.org/officeDocument/2006/relationships/hyperlink" Id="rId31" Target="https://docs.microsoft.com/en-us/dotnet/csharp/language-reference/keywords/integral-types-table" TargetMode="External" /><Relationship Type="http://schemas.openxmlformats.org/officeDocument/2006/relationships/hyperlink" Id="rId33" Target="https://docs.microsoft.com/en-us/dotnet/csharp/language-reference/keywords/value-types-table" TargetMode="External" /><Relationship Type="http://schemas.openxmlformats.org/officeDocument/2006/relationships/hyperlink" Id="rId30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cs.microsoft.com/en-us/dotnet/csharp/language-reference/keywords/explicit-numeric-conversions-table" TargetMode="External" /><Relationship Type="http://schemas.openxmlformats.org/officeDocument/2006/relationships/hyperlink" Id="rId32" Target="https://docs.microsoft.com/en-us/dotnet/csharp/language-reference/keywords/floating-point-types-table" TargetMode="External" /><Relationship Type="http://schemas.openxmlformats.org/officeDocument/2006/relationships/hyperlink" Id="rId34" Target="https://docs.microsoft.com/en-us/dotnet/csharp/language-reference/keywords/implicit-numeric-conversions-table" TargetMode="External" /><Relationship Type="http://schemas.openxmlformats.org/officeDocument/2006/relationships/hyperlink" Id="rId31" Target="https://docs.microsoft.com/en-us/dotnet/csharp/language-reference/keywords/integral-types-table" TargetMode="External" /><Relationship Type="http://schemas.openxmlformats.org/officeDocument/2006/relationships/hyperlink" Id="rId33" Target="https://docs.microsoft.com/en-us/dotnet/csharp/language-reference/keywords/value-types-table" TargetMode="External" /><Relationship Type="http://schemas.openxmlformats.org/officeDocument/2006/relationships/hyperlink" Id="rId30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2024-08-15T18:01:32Z</dcterms:created>
  <dcterms:modified xsi:type="dcterms:W3CDTF">2024-08-15T18:01:32Z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