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b w:val="1"/>
          <w:color w:val="006600"/>
          <w:sz w:val="32"/>
          <w:szCs w:val="32"/>
        </w:rPr>
      </w:pPr>
      <w:r w:rsidDel="00000000" w:rsidR="00000000" w:rsidRPr="00000000">
        <w:rPr>
          <w:rtl w:val="0"/>
        </w:rPr>
      </w:r>
    </w:p>
    <w:p w:rsidR="00000000" w:rsidDel="00000000" w:rsidP="00000000" w:rsidRDefault="00000000" w:rsidRPr="00000000" w14:paraId="00000002">
      <w:pPr>
        <w:spacing w:line="360" w:lineRule="auto"/>
        <w:jc w:val="center"/>
        <w:rPr>
          <w:b w:val="1"/>
          <w:color w:val="006600"/>
          <w:sz w:val="32"/>
          <w:szCs w:val="32"/>
        </w:rPr>
      </w:pPr>
      <w:r w:rsidDel="00000000" w:rsidR="00000000" w:rsidRPr="00000000">
        <w:rPr>
          <w:b w:val="1"/>
          <w:color w:val="006600"/>
          <w:sz w:val="32"/>
          <w:szCs w:val="32"/>
          <w:rtl w:val="0"/>
        </w:rPr>
        <w:t xml:space="preserve">CAPSTONE PROJECT*</w:t>
      </w:r>
    </w:p>
    <w:p w:rsidR="00000000" w:rsidDel="00000000" w:rsidP="00000000" w:rsidRDefault="00000000" w:rsidRPr="00000000" w14:paraId="00000003">
      <w:pPr>
        <w:spacing w:line="360" w:lineRule="auto"/>
        <w:jc w:val="center"/>
        <w:rPr>
          <w:b w:val="1"/>
          <w:color w:val="006600"/>
          <w:sz w:val="32"/>
          <w:szCs w:val="32"/>
        </w:rPr>
      </w:pPr>
      <w:r w:rsidDel="00000000" w:rsidR="00000000" w:rsidRPr="00000000">
        <w:rPr>
          <w:b w:val="1"/>
          <w:color w:val="006600"/>
          <w:sz w:val="32"/>
          <w:szCs w:val="32"/>
          <w:rtl w:val="0"/>
        </w:rPr>
        <w:t xml:space="preserve">TITLE PROPOSAL</w:t>
      </w:r>
    </w:p>
    <w:p w:rsidR="00000000" w:rsidDel="00000000" w:rsidP="00000000" w:rsidRDefault="00000000" w:rsidRPr="00000000" w14:paraId="00000004">
      <w:pPr>
        <w:spacing w:line="360" w:lineRule="auto"/>
        <w:jc w:val="center"/>
        <w:rPr>
          <w:b w:val="1"/>
          <w:color w:val="006600"/>
        </w:rPr>
      </w:pPr>
      <w:r w:rsidDel="00000000" w:rsidR="00000000" w:rsidRPr="00000000">
        <w:rPr>
          <w:b w:val="1"/>
          <w:color w:val="006600"/>
          <w:sz w:val="28"/>
          <w:szCs w:val="28"/>
          <w:rtl w:val="0"/>
        </w:rPr>
        <w:t xml:space="preserve">(IT0037- System Analysis and Design)</w:t>
      </w:r>
      <w:r w:rsidDel="00000000" w:rsidR="00000000" w:rsidRPr="00000000">
        <w:rPr>
          <w:rtl w:val="0"/>
        </w:rPr>
      </w:r>
    </w:p>
    <w:p w:rsidR="00000000" w:rsidDel="00000000" w:rsidP="00000000" w:rsidRDefault="00000000" w:rsidRPr="00000000" w14:paraId="00000005">
      <w:pPr>
        <w:spacing w:line="360" w:lineRule="auto"/>
        <w:jc w:val="center"/>
        <w:rPr>
          <w:b w:val="1"/>
          <w:color w:val="006600"/>
        </w:rPr>
      </w:pPr>
      <w:r w:rsidDel="00000000" w:rsidR="00000000" w:rsidRPr="00000000">
        <w:rPr>
          <w:rtl w:val="0"/>
        </w:rPr>
      </w:r>
    </w:p>
    <w:p w:rsidR="00000000" w:rsidDel="00000000" w:rsidP="00000000" w:rsidRDefault="00000000" w:rsidRPr="00000000" w14:paraId="00000006">
      <w:pPr>
        <w:spacing w:line="360" w:lineRule="auto"/>
        <w:ind w:left="360" w:firstLine="0"/>
        <w:jc w:val="both"/>
        <w:rPr>
          <w:sz w:val="16"/>
          <w:szCs w:val="16"/>
        </w:rPr>
      </w:pPr>
      <w:r w:rsidDel="00000000" w:rsidR="00000000" w:rsidRPr="00000000">
        <w:rPr>
          <w:sz w:val="16"/>
          <w:szCs w:val="16"/>
          <w:rtl w:val="0"/>
        </w:rPr>
        <w:t xml:space="preserve">   </w:t>
      </w:r>
    </w:p>
    <w:tbl>
      <w:tblPr>
        <w:tblStyle w:val="Table1"/>
        <w:tblW w:w="9926.0" w:type="dxa"/>
        <w:jc w:val="left"/>
        <w:tblBorders>
          <w:top w:color="006600" w:space="0" w:sz="4" w:val="single"/>
          <w:left w:color="006600" w:space="0" w:sz="4" w:val="single"/>
          <w:bottom w:color="006600" w:space="0" w:sz="4" w:val="single"/>
          <w:right w:color="006600" w:space="0" w:sz="4" w:val="single"/>
          <w:insideH w:color="006600" w:space="0" w:sz="4" w:val="single"/>
          <w:insideV w:color="006600" w:space="0" w:sz="4" w:val="single"/>
        </w:tblBorders>
        <w:tblLayout w:type="fixed"/>
        <w:tblLook w:val="0000"/>
      </w:tblPr>
      <w:tblGrid>
        <w:gridCol w:w="3443"/>
        <w:gridCol w:w="4310"/>
        <w:gridCol w:w="2173"/>
        <w:tblGridChange w:id="0">
          <w:tblGrid>
            <w:gridCol w:w="3443"/>
            <w:gridCol w:w="4310"/>
            <w:gridCol w:w="2173"/>
          </w:tblGrid>
        </w:tblGridChange>
      </w:tblGrid>
      <w:tr>
        <w:trPr>
          <w:cantSplit w:val="0"/>
          <w:trHeight w:val="288" w:hRule="atLeast"/>
          <w:tblHeader w:val="0"/>
        </w:trPr>
        <w:tc>
          <w:tcPr>
            <w:gridSpan w:val="3"/>
            <w:shd w:fill="006600" w:val="clear"/>
            <w:vAlign w:val="center"/>
          </w:tcPr>
          <w:p w:rsidR="00000000" w:rsidDel="00000000" w:rsidP="00000000" w:rsidRDefault="00000000" w:rsidRPr="00000000" w14:paraId="00000007">
            <w:pPr>
              <w:spacing w:line="360" w:lineRule="auto"/>
              <w:rPr>
                <w:b w:val="1"/>
                <w:sz w:val="16"/>
                <w:szCs w:val="16"/>
              </w:rPr>
            </w:pPr>
            <w:r w:rsidDel="00000000" w:rsidR="00000000" w:rsidRPr="00000000">
              <w:rPr>
                <w:rtl w:val="0"/>
              </w:rPr>
            </w:r>
          </w:p>
        </w:tc>
      </w:tr>
      <w:tr>
        <w:trPr>
          <w:cantSplit w:val="0"/>
          <w:trHeight w:val="728" w:hRule="atLeast"/>
          <w:tblHeader w:val="0"/>
        </w:trPr>
        <w:tc>
          <w:tcPr>
            <w:vAlign w:val="center"/>
          </w:tcPr>
          <w:p w:rsidR="00000000" w:rsidDel="00000000" w:rsidP="00000000" w:rsidRDefault="00000000" w:rsidRPr="00000000" w14:paraId="0000000A">
            <w:pPr>
              <w:spacing w:line="360" w:lineRule="auto"/>
              <w:rPr>
                <w:color w:val="000000"/>
                <w:sz w:val="20"/>
                <w:szCs w:val="20"/>
              </w:rPr>
            </w:pPr>
            <w:r w:rsidDel="00000000" w:rsidR="00000000" w:rsidRPr="00000000">
              <w:rPr>
                <w:color w:val="000000"/>
                <w:sz w:val="20"/>
                <w:szCs w:val="20"/>
                <w:rtl w:val="0"/>
              </w:rPr>
              <w:t xml:space="preserve">Group Name: Mycelium Connections</w:t>
            </w:r>
          </w:p>
          <w:p w:rsidR="00000000" w:rsidDel="00000000" w:rsidP="00000000" w:rsidRDefault="00000000" w:rsidRPr="00000000" w14:paraId="0000000B">
            <w:pPr>
              <w:spacing w:line="360" w:lineRule="auto"/>
              <w:rPr>
                <w:sz w:val="10"/>
                <w:szCs w:val="10"/>
              </w:rPr>
            </w:pPr>
            <w:r w:rsidDel="00000000" w:rsidR="00000000" w:rsidRPr="00000000">
              <w:rPr>
                <w:rtl w:val="0"/>
              </w:rPr>
            </w:r>
          </w:p>
        </w:tc>
        <w:tc>
          <w:tcPr>
            <w:gridSpan w:val="2"/>
            <w:vAlign w:val="center"/>
          </w:tcPr>
          <w:p w:rsidR="00000000" w:rsidDel="00000000" w:rsidP="00000000" w:rsidRDefault="00000000" w:rsidRPr="00000000" w14:paraId="0000000C">
            <w:pPr>
              <w:spacing w:line="360" w:lineRule="auto"/>
              <w:rPr>
                <w:sz w:val="20"/>
                <w:szCs w:val="20"/>
              </w:rPr>
            </w:pPr>
            <w:r w:rsidDel="00000000" w:rsidR="00000000" w:rsidRPr="00000000">
              <w:rPr>
                <w:sz w:val="20"/>
                <w:szCs w:val="20"/>
                <w:rtl w:val="0"/>
              </w:rPr>
              <w:t xml:space="preserve">Program: </w:t>
            </w:r>
          </w:p>
          <w:p w:rsidR="00000000" w:rsidDel="00000000" w:rsidP="00000000" w:rsidRDefault="00000000" w:rsidRPr="00000000" w14:paraId="0000000D">
            <w:pPr>
              <w:spacing w:line="360" w:lineRule="auto"/>
              <w:rPr>
                <w:b w:val="1"/>
                <w:color w:val="000000"/>
                <w:sz w:val="20"/>
                <w:szCs w:val="20"/>
              </w:rPr>
            </w:pPr>
            <w:r w:rsidDel="00000000" w:rsidR="00000000" w:rsidRPr="00000000">
              <w:rPr>
                <w:b w:val="1"/>
                <w:color w:val="000000"/>
                <w:sz w:val="20"/>
                <w:szCs w:val="20"/>
                <w:rtl w:val="0"/>
              </w:rPr>
              <w:t xml:space="preserve">Bachelor of Science in Information Technology</w:t>
            </w:r>
          </w:p>
          <w:p w:rsidR="00000000" w:rsidDel="00000000" w:rsidP="00000000" w:rsidRDefault="00000000" w:rsidRPr="00000000" w14:paraId="0000000E">
            <w:pPr>
              <w:spacing w:line="360" w:lineRule="auto"/>
              <w:rPr>
                <w:sz w:val="16"/>
                <w:szCs w:val="16"/>
              </w:rPr>
            </w:pPr>
            <w:r w:rsidDel="00000000" w:rsidR="00000000" w:rsidRPr="00000000">
              <w:rPr>
                <w:b w:val="1"/>
                <w:color w:val="000000"/>
                <w:sz w:val="20"/>
                <w:szCs w:val="20"/>
                <w:rtl w:val="0"/>
              </w:rPr>
              <w:t xml:space="preserve">with specialization in </w:t>
            </w:r>
            <w:r w:rsidDel="00000000" w:rsidR="00000000" w:rsidRPr="00000000">
              <w:rPr>
                <w:b w:val="1"/>
                <w:sz w:val="20"/>
                <w:szCs w:val="20"/>
                <w:rtl w:val="0"/>
              </w:rPr>
              <w:t xml:space="preserve">Animation and Game Development</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10">
            <w:pPr>
              <w:spacing w:line="360" w:lineRule="auto"/>
              <w:rPr>
                <w:sz w:val="20"/>
                <w:szCs w:val="20"/>
              </w:rPr>
            </w:pPr>
            <w:r w:rsidDel="00000000" w:rsidR="00000000" w:rsidRPr="00000000">
              <w:rPr>
                <w:sz w:val="20"/>
                <w:szCs w:val="20"/>
                <w:rtl w:val="0"/>
              </w:rPr>
              <w:t xml:space="preserve">Member’s Name:</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 w:right="0" w:hanging="18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highlight w:val="white"/>
                <w:rtl w:val="0"/>
              </w:rPr>
              <w:t xml:space="preserve">Braulio, Petrie Mari </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 w:right="0" w:hanging="18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highlight w:val="white"/>
                <w:rtl w:val="0"/>
              </w:rPr>
              <w:t xml:space="preserve">Calpo, Celestine Maria </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 w:right="0" w:hanging="18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highlight w:val="white"/>
                <w:rtl w:val="0"/>
              </w:rPr>
              <w:t xml:space="preserve">Diaz, Reuben Achilles </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 w:right="0" w:hanging="18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highlight w:val="white"/>
                <w:rtl w:val="0"/>
              </w:rPr>
              <w:t xml:space="preserve">Tacderas, Patrick Jean </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 w:right="0" w:hanging="18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highlight w:val="white"/>
                <w:rtl w:val="0"/>
              </w:rPr>
              <w:t xml:space="preserve">Venturanza, Vurgaux </w:t>
            </w:r>
            <w:r w:rsidDel="00000000" w:rsidR="00000000" w:rsidRPr="00000000">
              <w:rPr>
                <w:rtl w:val="0"/>
              </w:rPr>
            </w:r>
          </w:p>
        </w:tc>
        <w:tc>
          <w:tcPr>
            <w:vAlign w:val="center"/>
          </w:tcPr>
          <w:p w:rsidR="00000000" w:rsidDel="00000000" w:rsidP="00000000" w:rsidRDefault="00000000" w:rsidRPr="00000000" w14:paraId="00000016">
            <w:pPr>
              <w:spacing w:line="360" w:lineRule="auto"/>
              <w:rPr>
                <w:sz w:val="20"/>
                <w:szCs w:val="20"/>
              </w:rPr>
            </w:pPr>
            <w:r w:rsidDel="00000000" w:rsidR="00000000" w:rsidRPr="00000000">
              <w:rPr>
                <w:sz w:val="20"/>
                <w:szCs w:val="20"/>
                <w:rtl w:val="0"/>
              </w:rPr>
              <w:t xml:space="preserve">Term: </w:t>
            </w:r>
          </w:p>
          <w:p w:rsidR="00000000" w:rsidDel="00000000" w:rsidP="00000000" w:rsidRDefault="00000000" w:rsidRPr="00000000" w14:paraId="00000017">
            <w:pPr>
              <w:spacing w:line="360" w:lineRule="auto"/>
              <w:rPr>
                <w:color w:val="000000"/>
                <w:sz w:val="20"/>
                <w:szCs w:val="20"/>
              </w:rPr>
            </w:pPr>
            <w:r w:rsidDel="00000000" w:rsidR="00000000" w:rsidRPr="00000000">
              <w:rPr>
                <w:sz w:val="20"/>
                <w:szCs w:val="20"/>
                <w:rtl w:val="0"/>
              </w:rPr>
              <w:tab/>
            </w:r>
            <w:r w:rsidDel="00000000" w:rsidR="00000000" w:rsidRPr="00000000">
              <w:rPr>
                <w:color w:val="000000"/>
                <w:sz w:val="22"/>
                <w:szCs w:val="22"/>
                <w:rtl w:val="0"/>
              </w:rPr>
              <w:t xml:space="preserve">[ </w:t>
            </w:r>
            <w:sdt>
              <w:sdtPr>
                <w:tag w:val="goog_rdk_0"/>
              </w:sdtPr>
              <w:sdtContent>
                <w:r w:rsidDel="00000000" w:rsidR="00000000" w:rsidRPr="00000000">
                  <w:rPr>
                    <w:rFonts w:ascii="Arial Unicode MS" w:cs="Arial Unicode MS" w:eastAsia="Arial Unicode MS" w:hAnsi="Arial Unicode MS"/>
                    <w:b w:val="1"/>
                    <w:color w:val="000000"/>
                    <w:sz w:val="22"/>
                    <w:szCs w:val="22"/>
                    <w:rtl w:val="0"/>
                  </w:rPr>
                  <w:t xml:space="preserve">✔</w:t>
                </w:r>
              </w:sdtContent>
            </w:sdt>
            <w:r w:rsidDel="00000000" w:rsidR="00000000" w:rsidRPr="00000000">
              <w:rPr>
                <w:color w:val="000000"/>
                <w:sz w:val="22"/>
                <w:szCs w:val="22"/>
                <w:rtl w:val="0"/>
              </w:rPr>
              <w:t xml:space="preserve"> ] 1</w:t>
            </w:r>
            <w:r w:rsidDel="00000000" w:rsidR="00000000" w:rsidRPr="00000000">
              <w:rPr>
                <w:color w:val="000000"/>
                <w:sz w:val="22"/>
                <w:szCs w:val="22"/>
                <w:vertAlign w:val="superscript"/>
                <w:rtl w:val="0"/>
              </w:rPr>
              <w:t xml:space="preserve">st</w:t>
            </w:r>
            <w:r w:rsidDel="00000000" w:rsidR="00000000" w:rsidRPr="00000000">
              <w:rPr>
                <w:color w:val="000000"/>
                <w:sz w:val="22"/>
                <w:szCs w:val="22"/>
                <w:rtl w:val="0"/>
              </w:rPr>
              <w:t xml:space="preserve">   [   ] 2</w:t>
            </w:r>
            <w:r w:rsidDel="00000000" w:rsidR="00000000" w:rsidRPr="00000000">
              <w:rPr>
                <w:color w:val="000000"/>
                <w:sz w:val="22"/>
                <w:szCs w:val="22"/>
                <w:vertAlign w:val="superscript"/>
                <w:rtl w:val="0"/>
              </w:rPr>
              <w:t xml:space="preserve">nd</w:t>
            </w:r>
            <w:r w:rsidDel="00000000" w:rsidR="00000000" w:rsidRPr="00000000">
              <w:rPr>
                <w:color w:val="000000"/>
                <w:sz w:val="22"/>
                <w:szCs w:val="22"/>
                <w:rtl w:val="0"/>
              </w:rPr>
              <w:t xml:space="preserve">     [    ] 3</w:t>
            </w:r>
            <w:r w:rsidDel="00000000" w:rsidR="00000000" w:rsidRPr="00000000">
              <w:rPr>
                <w:color w:val="000000"/>
                <w:sz w:val="22"/>
                <w:szCs w:val="22"/>
                <w:vertAlign w:val="superscript"/>
                <w:rtl w:val="0"/>
              </w:rPr>
              <w:t xml:space="preserve">rd</w:t>
            </w:r>
            <w:r w:rsidDel="00000000" w:rsidR="00000000" w:rsidRPr="00000000">
              <w:rPr>
                <w:rtl w:val="0"/>
              </w:rPr>
            </w:r>
          </w:p>
        </w:tc>
        <w:tc>
          <w:tcPr>
            <w:vAlign w:val="center"/>
          </w:tcPr>
          <w:p w:rsidR="00000000" w:rsidDel="00000000" w:rsidP="00000000" w:rsidRDefault="00000000" w:rsidRPr="00000000" w14:paraId="00000018">
            <w:pPr>
              <w:spacing w:line="360" w:lineRule="auto"/>
              <w:rPr>
                <w:sz w:val="20"/>
                <w:szCs w:val="20"/>
              </w:rPr>
            </w:pPr>
            <w:r w:rsidDel="00000000" w:rsidR="00000000" w:rsidRPr="00000000">
              <w:rPr>
                <w:sz w:val="20"/>
                <w:szCs w:val="20"/>
                <w:rtl w:val="0"/>
              </w:rPr>
              <w:t xml:space="preserve">Academic Year: </w:t>
            </w:r>
          </w:p>
          <w:p w:rsidR="00000000" w:rsidDel="00000000" w:rsidP="00000000" w:rsidRDefault="00000000" w:rsidRPr="00000000" w14:paraId="00000019">
            <w:pPr>
              <w:spacing w:line="360" w:lineRule="auto"/>
              <w:rPr>
                <w:sz w:val="16"/>
                <w:szCs w:val="16"/>
              </w:rPr>
            </w:pPr>
            <w:r w:rsidDel="00000000" w:rsidR="00000000" w:rsidRPr="00000000">
              <w:rPr>
                <w:rtl w:val="0"/>
              </w:rPr>
            </w:r>
          </w:p>
          <w:p w:rsidR="00000000" w:rsidDel="00000000" w:rsidP="00000000" w:rsidRDefault="00000000" w:rsidRPr="00000000" w14:paraId="0000001A">
            <w:pPr>
              <w:spacing w:line="360" w:lineRule="auto"/>
              <w:rPr>
                <w:sz w:val="20"/>
                <w:szCs w:val="20"/>
              </w:rPr>
            </w:pPr>
            <w:r w:rsidDel="00000000" w:rsidR="00000000" w:rsidRPr="00000000">
              <w:rPr>
                <w:sz w:val="20"/>
                <w:szCs w:val="20"/>
                <w:rtl w:val="0"/>
              </w:rPr>
              <w:t xml:space="preserve">2024 - 2025</w:t>
            </w:r>
          </w:p>
          <w:p w:rsidR="00000000" w:rsidDel="00000000" w:rsidP="00000000" w:rsidRDefault="00000000" w:rsidRPr="00000000" w14:paraId="0000001B">
            <w:pPr>
              <w:spacing w:line="360" w:lineRule="auto"/>
              <w:rPr>
                <w:b w:val="1"/>
                <w:color w:val="006600"/>
                <w:sz w:val="20"/>
                <w:szCs w:val="20"/>
              </w:rPr>
            </w:pPr>
            <w:r w:rsidDel="00000000" w:rsidR="00000000" w:rsidRPr="00000000">
              <w:rPr>
                <w:rtl w:val="0"/>
              </w:rPr>
            </w:r>
          </w:p>
        </w:tc>
      </w:tr>
      <w:tr>
        <w:trPr>
          <w:cantSplit w:val="0"/>
          <w:trHeight w:val="432" w:hRule="atLeast"/>
          <w:tblHeader w:val="0"/>
        </w:trPr>
        <w:tc>
          <w:tcPr>
            <w:gridSpan w:val="3"/>
            <w:vAlign w:val="center"/>
          </w:tcPr>
          <w:p w:rsidR="00000000" w:rsidDel="00000000" w:rsidP="00000000" w:rsidRDefault="00000000" w:rsidRPr="00000000" w14:paraId="0000001C">
            <w:pPr>
              <w:spacing w:line="360" w:lineRule="auto"/>
              <w:rPr>
                <w:b w:val="1"/>
                <w:sz w:val="20"/>
                <w:szCs w:val="20"/>
              </w:rPr>
            </w:pPr>
            <w:r w:rsidDel="00000000" w:rsidR="00000000" w:rsidRPr="00000000">
              <w:rPr>
                <w:b w:val="1"/>
                <w:sz w:val="20"/>
                <w:szCs w:val="20"/>
                <w:rtl w:val="0"/>
              </w:rPr>
              <w:t xml:space="preserve">Proposed Project Title 2:</w:t>
            </w:r>
          </w:p>
          <w:p w:rsidR="00000000" w:rsidDel="00000000" w:rsidP="00000000" w:rsidRDefault="00000000" w:rsidRPr="00000000" w14:paraId="0000001D">
            <w:pPr>
              <w:spacing w:line="360" w:lineRule="auto"/>
              <w:rPr>
                <w:b w:val="1"/>
                <w:sz w:val="18"/>
                <w:szCs w:val="18"/>
              </w:rPr>
            </w:pPr>
            <w:r w:rsidDel="00000000" w:rsidR="00000000" w:rsidRPr="00000000">
              <w:rPr>
                <w:b w:val="1"/>
                <w:sz w:val="18"/>
                <w:szCs w:val="18"/>
                <w:rtl w:val="0"/>
              </w:rPr>
              <w:t xml:space="preserve"> Avoiding Icarus: A 3D First-Person Life Simulation Game about Living with  Obsessive-Compulsive Disorder (OCD) for Virtual Reality</w:t>
            </w:r>
          </w:p>
          <w:p w:rsidR="00000000" w:rsidDel="00000000" w:rsidP="00000000" w:rsidRDefault="00000000" w:rsidRPr="00000000" w14:paraId="0000001E">
            <w:pPr>
              <w:spacing w:line="360" w:lineRule="auto"/>
              <w:rPr>
                <w:b w:val="1"/>
                <w:color w:val="006600"/>
                <w:sz w:val="16"/>
                <w:szCs w:val="16"/>
              </w:rPr>
            </w:pPr>
            <w:r w:rsidDel="00000000" w:rsidR="00000000" w:rsidRPr="00000000">
              <w:rPr>
                <w:rtl w:val="0"/>
              </w:rPr>
            </w:r>
          </w:p>
        </w:tc>
      </w:tr>
    </w:tbl>
    <w:p w:rsidR="00000000" w:rsidDel="00000000" w:rsidP="00000000" w:rsidRDefault="00000000" w:rsidRPr="00000000" w14:paraId="00000021">
      <w:pPr>
        <w:spacing w:line="360" w:lineRule="auto"/>
        <w:ind w:left="2160" w:firstLine="720"/>
        <w:rPr>
          <w:sz w:val="10"/>
          <w:szCs w:val="10"/>
        </w:rPr>
      </w:pP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22">
      <w:pPr>
        <w:spacing w:line="360" w:lineRule="auto"/>
        <w:rPr>
          <w:sz w:val="10"/>
          <w:szCs w:val="1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Area of Investigation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highlight w:val="white"/>
        </w:rPr>
      </w:pPr>
      <w:bookmarkStart w:colFirst="0" w:colLast="0" w:name="_heading=h.30j0zll" w:id="1"/>
      <w:bookmarkEnd w:id="1"/>
      <w:r w:rsidDel="00000000" w:rsidR="00000000" w:rsidRPr="00000000">
        <w:rPr>
          <w:rtl w:val="0"/>
        </w:rPr>
        <w:t xml:space="preserve">Obsessive-compulsive disorder, more commonly known as OCD, is a neuropsychiatric disorder associated with obsessions; recurrent impulses, unwanted or intrusive thoughts, and fear. This leads to compulsions where a diagnosed OCD person will do repetitive actions in response to an obsession. Doing so will lessen the unease the person feels, but failure to do so will increase their anxiety. Stein et al. (2019) Which led a lot of experts to believe that OCD is under the category of anxiety disorders, but OCD was given its own category after the publication of the fifth edition of the Diagnostic and Statistical Manual of Mental Disorders. Clair (2020) and Brock et al. (2024). With the confusion of the categorization of OCD, it’s a recurrent event where people are misdiagnosed so people are getting help for the wrong kind of mental condition, therefore not helping them as much. Brock et al. (2024) and Bains et al. (2023).</w:t>
        <w:br w:type="textWrapping"/>
        <w:tab/>
        <w:t xml:space="preserve">Alibudbud (2023) states that the WHO Special Initiative for Mental Health’s goal to make mental healthcare affordable was met with difficulties like the stigma mental health has in Filipinos, which led them away from professional help. The same author took note of the neglect the government made to Filipinos’ mental health by allotting only 5% of the healthcare budget for mental health financing when the Mental Health Act in 2018 was passed. In which Maravilla et al. (2021) concur by stating that the Philippine Mental Health Act was nothing more than just an act. Although the budgeting for mental health financing will improve in the future and psychiatric patients have rights that protect them, Lally et al.(2019). This is all for naught when stigma still exists about mental health. Maravilla et al. (2021) </w:t>
        <w:br w:type="textWrapping"/>
        <w:br w:type="textWrapping"/>
        <w:tab/>
        <w:t xml:space="preserve">One of the many reasons that feed the stigma for mental health is the romanticization of mental disorders. According to Issaka (2024), this started as far back as traditional media like movies where mental illnesses are often portrayed incorrectly. Characters with mental illnesses are often shown to be more distinct from the norm, which furthers the gap between a ‘normal’ person and a person with mental disabilities when there shouldn’t be one in the first place. Other than that, mental illnesses are also frequently made light of. Things like normalizing the symptoms of a mental illness may result in people dismissing these serious symptoms as normal experiences. The stigma of mental health can be destroyed by bringing attention to mental health on social media and talking more about it. Be as it may, this resulted in the glamorization of it instead. For example, characters like Patrick Bateman, Joker, and Kabir Singh despite having obvious psychiatric conditions are idolized and envied in modern society. Ahuja and Fichadia (2024).</w:t>
      </w:r>
      <w:r w:rsidDel="00000000" w:rsidR="00000000" w:rsidRPr="00000000">
        <w:rPr>
          <w:i w:val="0"/>
          <w:smallCaps w:val="0"/>
          <w:strike w:val="0"/>
          <w:color w:val="000000"/>
          <w:sz w:val="24"/>
          <w:szCs w:val="24"/>
          <w:u w:val="none"/>
          <w:shd w:fill="auto" w:val="clear"/>
          <w:vertAlign w:val="baseline"/>
          <w:rtl w:val="0"/>
        </w:rPr>
        <w:br w:type="textWrapping"/>
        <w:tab/>
        <w:t xml:space="preserve">A</w:t>
      </w:r>
      <w:r w:rsidDel="00000000" w:rsidR="00000000" w:rsidRPr="00000000">
        <w:rPr>
          <w:rtl w:val="0"/>
        </w:rPr>
        <w:t xml:space="preserve">voiding Icarus is a 3D narrative simulation game for virtual reality with objectives that players must finish to advance the story. The objectives are shown as a list in the game, which is a main feature to show how people with obsessive-compulsive disorder (OCD) will follow a routine or ritual to go about their day. The objectives in the list are chores, most of which will be done in a basic motion controls memory game with varying difficulties. This is to signify the compulsive need to keep things in order. Changing perspectives will frequently happen throughout the game with the aid of visual and auditory cues. According to Mate (2022), visual and auditory cues are often experienced by humans every day and it helps with perceiving the environment more accurately, based on the mentioned study. The focus on visual and auditory cues can help improve the immersive experience of the player, especially since the game platform is virtual reality.  In addition to this, Emmelkamp and </w:t>
      </w:r>
      <w:r w:rsidDel="00000000" w:rsidR="00000000" w:rsidRPr="00000000">
        <w:rPr>
          <w:highlight w:val="white"/>
          <w:rtl w:val="0"/>
        </w:rPr>
        <w:t xml:space="preserve">Meyerb</w:t>
      </w:r>
      <w:hyperlink r:id="rId9">
        <w:r w:rsidDel="00000000" w:rsidR="00000000" w:rsidRPr="00000000">
          <w:rPr>
            <w:highlight w:val="white"/>
            <w:rtl w:val="0"/>
          </w:rPr>
          <w:t xml:space="preserve">rök</w:t>
        </w:r>
      </w:hyperlink>
      <w:r w:rsidDel="00000000" w:rsidR="00000000" w:rsidRPr="00000000">
        <w:rPr>
          <w:highlight w:val="white"/>
          <w:rtl w:val="0"/>
        </w:rPr>
        <w:t xml:space="preserve">er (2021) conducted a study about virtual reality therapy which was initially designed to treat phobias but has evolved for the use of numerous mental health disorders including obsessive-compulsive disorder. It was observed that patients had higher anxiety levels when they were asked to ‘touch’ different restrooms with varying degrees of cleanliness. The researchers aim to have the same effect the authors had on their patients, towards players in conducting the study, as it was deemed possible.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bookmarkStart w:colFirst="0" w:colLast="0" w:name="_heading=h.1fob9te" w:id="2"/>
      <w:bookmarkEnd w:id="2"/>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Background and Rationale of the Project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Games about mental health are pretty common in mainstream media, which often focus on player entertainment. One of these games, for example, is ‘Omori’; It has a unique fighting style, and the game depicts the main character’s mental condition in the form of enemies and a whole new different dimension which intrigued a lot of gamers. Although the portrayal of the main character’s mental condition erred some people as it was used to amp up the fear factor of the game, hence furthering the stigma about people with mental disorders. (Hightower 2024). As mentioned it intrigued a lot of the players, understandably so because players may not go for games that tackle on the rawness of a mental disorder because most players will find that nothing is entertaining about it. Which is exactly how Avoiding Icarus will be developed. Avoiding Icarus is a game centered around a person diagnosed with obsessive-compulsive disorder (OCD).</w:t>
      </w:r>
      <w:r w:rsidDel="00000000" w:rsidR="00000000" w:rsidRPr="00000000">
        <w:rPr>
          <w:i w:val="1"/>
          <w:rtl w:val="0"/>
        </w:rPr>
        <w:t xml:space="preserve"> </w:t>
      </w:r>
      <w:r w:rsidDel="00000000" w:rsidR="00000000" w:rsidRPr="00000000">
        <w:rPr>
          <w:rtl w:val="0"/>
        </w:rPr>
        <w:t xml:space="preserve">This study aims to bring insight about an unconventional mental illness in narrative game form with the player ‘living out’ the main character’s usual day. In addition to this, the study seeks to lessen the romanticization of mental illnesses and show exactly how severe it can affect a person and the people around them.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The game will have chores like folding laundry in a list form that players must finish to progress the story. Most of the gameplay will revolve around the list and will often utilize basic motion controls when doing the chores. If the player fails to do the chore perfectly and in time, the game will make them retry until they finish the chore perfectly to show the repetitive actions. For example, when folding laundry in Avoiding Icarus; the game will have the player place a garment in a specific area with an outline of that specific garment, the player has to lay the garment flat so that it fits the outline and so it has no wrinkles and after that the player will be briefly flashed with instructions to fold the garment in a specific step by step order. Failure to follow the step by step order will lead the player to redo the whole process from the start. This goes the same way for the rest of the tasks that the player will be given. Other than basic motion controls, there will be a section in the game where the player will actively avoid obstacles via body tracking. Additionally, skipping from chore 1 to chore 3 will be made impossible to emphasize the strict adherence to routines a person with OCD would have. Changes to the list can upset the character and if the player strays from the chore, the character will prompt the player to get back on track. Other than that Avoiding Icarus will contain cutscene graphics to put more focus on the difference of perspectives.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br w:type="textWrapping"/>
        <w:tab/>
        <w:t xml:space="preserve">Avoiding Icarus will be developed in 3D using Unity in first-person and virtual reality (VR) to emphasize player immersion and make it feel like the player is moving around as the character. The game will be available on PC, and a device that can adequately handle 3D graphics is recommended to enjoy the game to its full extent alongside necessary output and input devices such as a virtual reality headset and controllers.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of the Study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1"/>
        </w:rPr>
      </w:pPr>
      <w:r w:rsidDel="00000000" w:rsidR="00000000" w:rsidRPr="00000000">
        <w:rPr>
          <w:b w:val="1"/>
          <w:i w:val="1"/>
          <w:rtl w:val="0"/>
        </w:rPr>
        <w:t xml:space="preserve">General Objective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The study's main objective is to develop a 3D First-Person Simulation Game about Living with Obsessive-Compulsive Disorder named  "Avoiding Icarus" for virtual reality.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u w:val="none"/>
        </w:rPr>
      </w:pPr>
      <w:r w:rsidDel="00000000" w:rsidR="00000000" w:rsidRPr="00000000">
        <w:rPr>
          <w:b w:val="1"/>
          <w:i w:val="1"/>
          <w:rtl w:val="0"/>
        </w:rPr>
        <w:t xml:space="preserve">Specific Objectives</w:t>
      </w:r>
      <w:r w:rsidDel="00000000" w:rsidR="00000000" w:rsidRPr="00000000">
        <w:rPr>
          <w:rtl w:val="0"/>
        </w:rPr>
      </w:r>
    </w:p>
    <w:p w:rsidR="00000000" w:rsidDel="00000000" w:rsidP="00000000" w:rsidRDefault="00000000" w:rsidRPr="00000000" w14:paraId="00000030">
      <w:pPr>
        <w:numPr>
          <w:ilvl w:val="0"/>
          <w:numId w:val="3"/>
        </w:numPr>
        <w:spacing w:line="360" w:lineRule="auto"/>
        <w:ind w:left="720" w:hanging="360"/>
        <w:jc w:val="both"/>
        <w:rPr/>
      </w:pPr>
      <w:r w:rsidDel="00000000" w:rsidR="00000000" w:rsidRPr="00000000">
        <w:rPr>
          <w:rtl w:val="0"/>
        </w:rPr>
        <w:t xml:space="preserve">To develop an immersive virtual reality world in first-person 3D, to make the players feel like they are living out the character's life and </w:t>
      </w:r>
      <w:sdt>
        <w:sdtPr>
          <w:tag w:val="goog_rdk_1"/>
        </w:sdtPr>
        <w:sdtContent>
          <w:commentRangeStart w:id="0"/>
        </w:sdtContent>
      </w:sdt>
      <w:r w:rsidDel="00000000" w:rsidR="00000000" w:rsidRPr="00000000">
        <w:rPr>
          <w:rtl w:val="0"/>
        </w:rPr>
        <w:t xml:space="preserve">experience</w:t>
      </w:r>
      <w:commentRangeEnd w:id="0"/>
      <w:r w:rsidDel="00000000" w:rsidR="00000000" w:rsidRPr="00000000">
        <w:commentReference w:id="0"/>
      </w:r>
      <w:r w:rsidDel="00000000" w:rsidR="00000000" w:rsidRPr="00000000">
        <w:rPr>
          <w:rtl w:val="0"/>
        </w:rPr>
        <w:t xml:space="preserve"> firsthand the symptoms of obsessive-compulsive disorder. </w:t>
      </w:r>
      <w:r w:rsidDel="00000000" w:rsidR="00000000" w:rsidRPr="00000000">
        <w:rPr>
          <w:rtl w:val="0"/>
        </w:rPr>
      </w:r>
    </w:p>
    <w:p w:rsidR="00000000" w:rsidDel="00000000" w:rsidP="00000000" w:rsidRDefault="00000000" w:rsidRPr="00000000" w14:paraId="00000031">
      <w:pPr>
        <w:numPr>
          <w:ilvl w:val="0"/>
          <w:numId w:val="3"/>
        </w:numPr>
        <w:spacing w:line="360" w:lineRule="auto"/>
        <w:ind w:left="720" w:hanging="360"/>
        <w:jc w:val="both"/>
        <w:rPr>
          <w:u w:val="none"/>
        </w:rPr>
      </w:pPr>
      <w:r w:rsidDel="00000000" w:rsidR="00000000" w:rsidRPr="00000000">
        <w:rPr>
          <w:rtl w:val="0"/>
        </w:rPr>
        <w:t xml:space="preserve">To po</w:t>
      </w:r>
      <w:r w:rsidDel="00000000" w:rsidR="00000000" w:rsidRPr="00000000">
        <w:rPr>
          <w:rtl w:val="0"/>
        </w:rPr>
        <w:t xml:space="preserve">rtray OCD in a raw and down-to-earth form focusing on realistic and widely relatable scenarios to OCD-affected individuals and non-affected individuals alike, bringing the two closer through bridged experiences.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f9cb9c"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and Limitations of the Study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hd w:fill="ead1dc" w:val="clear"/>
        </w:rPr>
      </w:pPr>
      <w:r w:rsidDel="00000000" w:rsidR="00000000" w:rsidRPr="00000000">
        <w:rPr>
          <w:rtl w:val="0"/>
        </w:rPr>
        <w:t xml:space="preserve">The scope of the study will focus solely on the personal experiences of a person diagnosed with OCD, specifically one that revolves around cleanliness, religiously following routines, and repetitive actions. Avoiding Icarus explores a day in the life of a person suffering from this mental illness. The researchers and game developers aim to be as accurate as they can to create a sample of the urges they have for even the simplest things. What task equates as normal and easy for a stable-minded person may mean a completely different thing to a person suffering from OCD. The game will be developed in virtual reality to further player immersion, and make it as though the player is experiencing the symptoms of OCD.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br w:type="textWrapping"/>
        <w:tab/>
        <w:t xml:space="preserve">For limitations, the game is not designed to be a relaxing simulation game, as it will depict events that may trigger or upset some players. It will include events and occurrences that may be distressing, as it aims to portray the anxiety and discomfort caused by OCD. The game will encompass a single person’s experience with the mental illness, and should be regarded as a singular exposure to it for the illness is a wide spectrum.</w:t>
        <w:br w:type="textWrapp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Target Beneficiaries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b w:val="1"/>
        </w:rPr>
      </w:pPr>
      <w:r w:rsidDel="00000000" w:rsidR="00000000" w:rsidRPr="00000000">
        <w:rPr>
          <w:rtl w:val="0"/>
        </w:rPr>
        <w:t xml:space="preserve">The purpose of this study is to develop a 3D first-person simulation game about living with obsessive-compulsive disorder in virtual reality, designed to bring awareness to the effects of mental disorders people have on themselves and the people around them.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1"/>
          <w:rtl w:val="0"/>
        </w:rPr>
        <w:t xml:space="preserve">Neurotypical people. </w:t>
      </w:r>
      <w:r w:rsidDel="00000000" w:rsidR="00000000" w:rsidRPr="00000000">
        <w:rPr>
          <w:rtl w:val="0"/>
        </w:rPr>
        <w:t xml:space="preserve">The main beneficiaries of this study, especially those who seek to understand how neurodivergent people function in their everyday lives. These people may come in the forms of those who already have prior knowledge of neurodivergent people and their tendencies, or those who are completely alien to the concept and consequently have stereotypical views and understandings of neurodivergent people, and thus wish to look beyond the surface level.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b w:val="1"/>
          <w:rtl w:val="0"/>
        </w:rPr>
        <w:t xml:space="preserve">Neurodivergent people. </w:t>
      </w:r>
      <w:r w:rsidDel="00000000" w:rsidR="00000000" w:rsidRPr="00000000">
        <w:rPr>
          <w:rtl w:val="0"/>
        </w:rPr>
        <w:t xml:space="preserve">The secondary beneficiary of this study, mainly focused on people diagnosed with obsessive-compulsive disorder (OCD) as it is the premise of the game. It is to let some people diagnosed with OCD know that they are not alone and that their struggles are seen. Subsequently, let the people who believe they have OCD but do not have the means to get professionally checked get help for themselves.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ectPr>
          <w:headerReference r:id="rId10" w:type="first"/>
          <w:footerReference r:id="rId11" w:type="default"/>
          <w:footerReference r:id="rId12" w:type="first"/>
          <w:pgSz w:h="18720" w:w="12240" w:orient="portrait"/>
          <w:pgMar w:bottom="720" w:top="813" w:left="1530" w:right="1152" w:header="720" w:footer="720"/>
          <w:pgNumType w:start="1"/>
          <w:titlePg w:val="1"/>
        </w:sect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jc w:val="both"/>
        <w:rPr>
          <w:b w:val="1"/>
        </w:rPr>
      </w:pPr>
      <w:r w:rsidDel="00000000" w:rsidR="00000000" w:rsidRPr="00000000">
        <w:rPr>
          <w:b w:val="1"/>
          <w:rtl w:val="0"/>
        </w:rPr>
        <w:t xml:space="preserve">References</w:t>
      </w:r>
    </w:p>
    <w:p w:rsidR="00000000" w:rsidDel="00000000" w:rsidP="00000000" w:rsidRDefault="00000000" w:rsidRPr="00000000" w14:paraId="0000003E">
      <w:pPr>
        <w:spacing w:line="360" w:lineRule="auto"/>
        <w:ind w:left="720" w:hanging="720"/>
        <w:jc w:val="both"/>
        <w:rPr>
          <w:highlight w:val="white"/>
        </w:rPr>
      </w:pPr>
      <w:r w:rsidDel="00000000" w:rsidR="00000000" w:rsidRPr="00000000">
        <w:rPr>
          <w:highlight w:val="white"/>
          <w:rtl w:val="0"/>
        </w:rPr>
        <w:t xml:space="preserve">Ahuja, J., &amp; Fichadia, P. (2024). Concerns Regarding the Glorification of Mental Illness on Social Media. </w:t>
      </w:r>
      <w:r w:rsidDel="00000000" w:rsidR="00000000" w:rsidRPr="00000000">
        <w:rPr>
          <w:i w:val="1"/>
          <w:highlight w:val="white"/>
          <w:rtl w:val="0"/>
        </w:rPr>
        <w:t xml:space="preserve">Cureus</w:t>
      </w:r>
      <w:r w:rsidDel="00000000" w:rsidR="00000000" w:rsidRPr="00000000">
        <w:rPr>
          <w:highlight w:val="white"/>
          <w:rtl w:val="0"/>
        </w:rPr>
        <w:t xml:space="preserve">, </w:t>
      </w:r>
      <w:r w:rsidDel="00000000" w:rsidR="00000000" w:rsidRPr="00000000">
        <w:rPr>
          <w:i w:val="1"/>
          <w:highlight w:val="white"/>
          <w:rtl w:val="0"/>
        </w:rPr>
        <w:t xml:space="preserve">16</w:t>
      </w:r>
      <w:r w:rsidDel="00000000" w:rsidR="00000000" w:rsidRPr="00000000">
        <w:rPr>
          <w:highlight w:val="white"/>
          <w:rtl w:val="0"/>
        </w:rPr>
        <w:t xml:space="preserve">(3). </w:t>
      </w:r>
      <w:hyperlink r:id="rId13">
        <w:r w:rsidDel="00000000" w:rsidR="00000000" w:rsidRPr="00000000">
          <w:rPr>
            <w:highlight w:val="white"/>
            <w:u w:val="single"/>
            <w:rtl w:val="0"/>
          </w:rPr>
          <w:t xml:space="preserve">https://doi.org/10.7759/cureus.56631</w:t>
        </w:r>
      </w:hyperlink>
      <w:r w:rsidDel="00000000" w:rsidR="00000000" w:rsidRPr="00000000">
        <w:rPr>
          <w:rtl w:val="0"/>
        </w:rPr>
      </w:r>
    </w:p>
    <w:p w:rsidR="00000000" w:rsidDel="00000000" w:rsidP="00000000" w:rsidRDefault="00000000" w:rsidRPr="00000000" w14:paraId="0000003F">
      <w:pPr>
        <w:spacing w:line="360" w:lineRule="auto"/>
        <w:ind w:left="720"/>
        <w:jc w:val="both"/>
        <w:rPr>
          <w:highlight w:val="white"/>
        </w:rPr>
      </w:pPr>
      <w:r w:rsidDel="00000000" w:rsidR="00000000" w:rsidRPr="00000000">
        <w:rPr>
          <w:rtl w:val="0"/>
        </w:rPr>
        <w:t xml:space="preserve">Alibudbud, R. (2023). Towards transforming the mental health services of the Philippines. </w:t>
      </w:r>
      <w:r w:rsidDel="00000000" w:rsidR="00000000" w:rsidRPr="00000000">
        <w:rPr>
          <w:i w:val="1"/>
          <w:rtl w:val="0"/>
        </w:rPr>
        <w:t xml:space="preserve">The Lancet Regional Health - Western Pacific, 39.</w:t>
      </w:r>
      <w:r w:rsidDel="00000000" w:rsidR="00000000" w:rsidRPr="00000000">
        <w:rPr>
          <w:rtl w:val="0"/>
        </w:rPr>
        <w:t xml:space="preserve"> </w:t>
      </w:r>
      <w:hyperlink r:id="rId14">
        <w:r w:rsidDel="00000000" w:rsidR="00000000" w:rsidRPr="00000000">
          <w:rPr>
            <w:u w:val="single"/>
            <w:rtl w:val="0"/>
          </w:rPr>
          <w:t xml:space="preserve">https://doi.org/10.1016/j.lanwpc.2023.100935</w:t>
        </w:r>
      </w:hyperlink>
      <w:r w:rsidDel="00000000" w:rsidR="00000000" w:rsidRPr="00000000">
        <w:rPr>
          <w:rtl w:val="0"/>
        </w:rPr>
      </w:r>
    </w:p>
    <w:p w:rsidR="00000000" w:rsidDel="00000000" w:rsidP="00000000" w:rsidRDefault="00000000" w:rsidRPr="00000000" w14:paraId="00000040">
      <w:pPr>
        <w:spacing w:line="360" w:lineRule="auto"/>
        <w:ind w:left="720"/>
        <w:jc w:val="both"/>
        <w:rPr>
          <w:highlight w:val="white"/>
        </w:rPr>
      </w:pPr>
      <w:r w:rsidDel="00000000" w:rsidR="00000000" w:rsidRPr="00000000">
        <w:rPr>
          <w:highlight w:val="white"/>
          <w:rtl w:val="0"/>
        </w:rPr>
        <w:t xml:space="preserve">Bains, N., &amp; Abdijadid, S. (2023) Major Depressive Disorder. In </w:t>
      </w:r>
      <w:r w:rsidDel="00000000" w:rsidR="00000000" w:rsidRPr="00000000">
        <w:rPr>
          <w:i w:val="1"/>
          <w:highlight w:val="white"/>
          <w:rtl w:val="0"/>
        </w:rPr>
        <w:t xml:space="preserve">StatPearls </w:t>
      </w:r>
      <w:r w:rsidDel="00000000" w:rsidR="00000000" w:rsidRPr="00000000">
        <w:rPr>
          <w:highlight w:val="white"/>
          <w:rtl w:val="0"/>
        </w:rPr>
        <w:t xml:space="preserve">[Internet]. </w:t>
      </w:r>
      <w:hyperlink r:id="rId15">
        <w:r w:rsidDel="00000000" w:rsidR="00000000" w:rsidRPr="00000000">
          <w:rPr>
            <w:highlight w:val="white"/>
            <w:u w:val="single"/>
            <w:rtl w:val="0"/>
          </w:rPr>
          <w:t xml:space="preserve">https://www.ncbi.nlm.nih.gov/books/NBK559078/</w:t>
        </w:r>
      </w:hyperlink>
      <w:r w:rsidDel="00000000" w:rsidR="00000000" w:rsidRPr="00000000">
        <w:rPr>
          <w:rtl w:val="0"/>
        </w:rPr>
      </w:r>
    </w:p>
    <w:p w:rsidR="00000000" w:rsidDel="00000000" w:rsidP="00000000" w:rsidRDefault="00000000" w:rsidRPr="00000000" w14:paraId="00000041">
      <w:pPr>
        <w:spacing w:line="360" w:lineRule="auto"/>
        <w:ind w:left="720"/>
        <w:jc w:val="both"/>
        <w:rPr>
          <w:highlight w:val="white"/>
        </w:rPr>
      </w:pPr>
      <w:r w:rsidDel="00000000" w:rsidR="00000000" w:rsidRPr="00000000">
        <w:rPr>
          <w:highlight w:val="white"/>
          <w:rtl w:val="0"/>
        </w:rPr>
        <w:t xml:space="preserve">Brock, H., Rizvi, A., &amp; Hany, M. (2024). Obsessive-Compulsive Disorder. In </w:t>
      </w:r>
      <w:r w:rsidDel="00000000" w:rsidR="00000000" w:rsidRPr="00000000">
        <w:rPr>
          <w:i w:val="1"/>
          <w:highlight w:val="white"/>
          <w:rtl w:val="0"/>
        </w:rPr>
        <w:t xml:space="preserve">StatPearls </w:t>
      </w:r>
      <w:r w:rsidDel="00000000" w:rsidR="00000000" w:rsidRPr="00000000">
        <w:rPr>
          <w:highlight w:val="white"/>
          <w:rtl w:val="0"/>
        </w:rPr>
        <w:t xml:space="preserve">[Internet]. </w:t>
      </w:r>
      <w:hyperlink r:id="rId16">
        <w:r w:rsidDel="00000000" w:rsidR="00000000" w:rsidRPr="00000000">
          <w:rPr>
            <w:highlight w:val="white"/>
            <w:u w:val="single"/>
            <w:rtl w:val="0"/>
          </w:rPr>
          <w:t xml:space="preserve">https://www.ncbi.nlm.nih.gov/books/NBK553162/</w:t>
        </w:r>
      </w:hyperlink>
      <w:r w:rsidDel="00000000" w:rsidR="00000000" w:rsidRPr="00000000">
        <w:rPr>
          <w:rtl w:val="0"/>
        </w:rPr>
      </w:r>
    </w:p>
    <w:p w:rsidR="00000000" w:rsidDel="00000000" w:rsidP="00000000" w:rsidRDefault="00000000" w:rsidRPr="00000000" w14:paraId="00000042">
      <w:pPr>
        <w:spacing w:line="360" w:lineRule="auto"/>
        <w:ind w:left="720"/>
        <w:jc w:val="both"/>
        <w:rPr>
          <w:highlight w:val="white"/>
        </w:rPr>
      </w:pPr>
      <w:r w:rsidDel="00000000" w:rsidR="00000000" w:rsidRPr="00000000">
        <w:rPr>
          <w:highlight w:val="white"/>
          <w:rtl w:val="0"/>
        </w:rPr>
        <w:t xml:space="preserve">Clair, A. (2020). Évolution de la classification du trouble obsessionnel-compulsif dans le DSM-5 [Classification of obsessivecompulsive disorder: evolution in the DSM-V]. </w:t>
      </w:r>
      <w:r w:rsidDel="00000000" w:rsidR="00000000" w:rsidRPr="00000000">
        <w:rPr>
          <w:i w:val="1"/>
          <w:highlight w:val="white"/>
          <w:rtl w:val="0"/>
        </w:rPr>
        <w:t xml:space="preserve">La Revue du praticien</w:t>
      </w:r>
      <w:r w:rsidDel="00000000" w:rsidR="00000000" w:rsidRPr="00000000">
        <w:rPr>
          <w:highlight w:val="white"/>
          <w:rtl w:val="0"/>
        </w:rPr>
        <w:t xml:space="preserve">, </w:t>
      </w:r>
      <w:r w:rsidDel="00000000" w:rsidR="00000000" w:rsidRPr="00000000">
        <w:rPr>
          <w:i w:val="1"/>
          <w:highlight w:val="white"/>
          <w:rtl w:val="0"/>
        </w:rPr>
        <w:t xml:space="preserve">70</w:t>
      </w:r>
      <w:r w:rsidDel="00000000" w:rsidR="00000000" w:rsidRPr="00000000">
        <w:rPr>
          <w:highlight w:val="white"/>
          <w:rtl w:val="0"/>
        </w:rPr>
        <w:t xml:space="preserve">(7), 774–776. </w:t>
      </w:r>
    </w:p>
    <w:p w:rsidR="00000000" w:rsidDel="00000000" w:rsidP="00000000" w:rsidRDefault="00000000" w:rsidRPr="00000000" w14:paraId="00000043">
      <w:pPr>
        <w:spacing w:line="360" w:lineRule="auto"/>
        <w:ind w:left="720" w:hanging="720"/>
        <w:jc w:val="both"/>
        <w:rPr>
          <w:highlight w:val="white"/>
        </w:rPr>
      </w:pPr>
      <w:r w:rsidDel="00000000" w:rsidR="00000000" w:rsidRPr="00000000">
        <w:rPr>
          <w:highlight w:val="white"/>
          <w:rtl w:val="0"/>
        </w:rPr>
        <w:t xml:space="preserve">Emmelkamp, P., &amp; Meyerb</w:t>
      </w:r>
      <w:hyperlink r:id="rId17">
        <w:r w:rsidDel="00000000" w:rsidR="00000000" w:rsidRPr="00000000">
          <w:rPr>
            <w:highlight w:val="white"/>
            <w:rtl w:val="0"/>
          </w:rPr>
          <w:t xml:space="preserve">rök</w:t>
        </w:r>
      </w:hyperlink>
      <w:r w:rsidDel="00000000" w:rsidR="00000000" w:rsidRPr="00000000">
        <w:rPr>
          <w:highlight w:val="white"/>
          <w:rtl w:val="0"/>
        </w:rPr>
        <w:t xml:space="preserve">er, K. (2021). Virtual Reality Therapy in Mental Health. </w:t>
      </w:r>
      <w:r w:rsidDel="00000000" w:rsidR="00000000" w:rsidRPr="00000000">
        <w:rPr>
          <w:i w:val="1"/>
          <w:highlight w:val="white"/>
          <w:rtl w:val="0"/>
        </w:rPr>
        <w:t xml:space="preserve">Annual Reviews, </w:t>
      </w:r>
      <w:r w:rsidDel="00000000" w:rsidR="00000000" w:rsidRPr="00000000">
        <w:rPr>
          <w:color w:val="333333"/>
          <w:highlight w:val="white"/>
          <w:rtl w:val="0"/>
        </w:rPr>
        <w:t xml:space="preserve">17:495-519.</w:t>
      </w:r>
      <w:r w:rsidDel="00000000" w:rsidR="00000000" w:rsidRPr="00000000">
        <w:rPr>
          <w:rFonts w:ascii="Arial" w:cs="Arial" w:eastAsia="Arial" w:hAnsi="Arial"/>
          <w:i w:val="1"/>
          <w:color w:val="333333"/>
          <w:highlight w:val="white"/>
          <w:rtl w:val="0"/>
        </w:rPr>
        <w:t xml:space="preserve"> </w:t>
      </w:r>
      <w:hyperlink r:id="rId18">
        <w:r w:rsidDel="00000000" w:rsidR="00000000" w:rsidRPr="00000000">
          <w:rPr>
            <w:highlight w:val="white"/>
            <w:u w:val="single"/>
            <w:rtl w:val="0"/>
          </w:rPr>
          <w:t xml:space="preserve">https://doi.org/10.1146/annurev-clinpsy-081219-115923</w:t>
        </w:r>
      </w:hyperlink>
      <w:r w:rsidDel="00000000" w:rsidR="00000000" w:rsidRPr="00000000">
        <w:rPr>
          <w:rtl w:val="0"/>
        </w:rPr>
      </w:r>
    </w:p>
    <w:p w:rsidR="00000000" w:rsidDel="00000000" w:rsidP="00000000" w:rsidRDefault="00000000" w:rsidRPr="00000000" w14:paraId="00000044">
      <w:pPr>
        <w:spacing w:line="360" w:lineRule="auto"/>
        <w:ind w:left="720" w:hanging="720"/>
        <w:jc w:val="both"/>
        <w:rPr>
          <w:highlight w:val="white"/>
          <w:u w:val="single"/>
        </w:rPr>
      </w:pPr>
      <w:r w:rsidDel="00000000" w:rsidR="00000000" w:rsidRPr="00000000">
        <w:rPr>
          <w:rtl w:val="0"/>
        </w:rPr>
        <w:t xml:space="preserve">Hightower, J. (2024). Mental Health Portrayals in Video Games and Their Impacts: Horror Games and their Reliance on the Mentally Ill. </w:t>
      </w:r>
      <w:r w:rsidDel="00000000" w:rsidR="00000000" w:rsidRPr="00000000">
        <w:rPr>
          <w:i w:val="1"/>
          <w:rtl w:val="0"/>
        </w:rPr>
        <w:t xml:space="preserve">Mahurin Honors College Capstone Experience/Thesis Projects. 1036 </w:t>
      </w:r>
      <w:r w:rsidDel="00000000" w:rsidR="00000000" w:rsidRPr="00000000">
        <w:rPr>
          <w:highlight w:val="white"/>
          <w:rtl w:val="0"/>
        </w:rPr>
        <w:t xml:space="preserve">https://digitalcommons.wku.edu/stu_hon_theses/1036</w:t>
      </w:r>
      <w:r w:rsidDel="00000000" w:rsidR="00000000" w:rsidRPr="00000000">
        <w:rPr>
          <w:rtl w:val="0"/>
        </w:rPr>
      </w:r>
    </w:p>
    <w:p w:rsidR="00000000" w:rsidDel="00000000" w:rsidP="00000000" w:rsidRDefault="00000000" w:rsidRPr="00000000" w14:paraId="00000045">
      <w:pPr>
        <w:spacing w:line="360" w:lineRule="auto"/>
        <w:ind w:left="720" w:hanging="720"/>
        <w:jc w:val="both"/>
        <w:rPr>
          <w:highlight w:val="white"/>
          <w:u w:val="single"/>
        </w:rPr>
      </w:pPr>
      <w:r w:rsidDel="00000000" w:rsidR="00000000" w:rsidRPr="00000000">
        <w:rPr>
          <w:highlight w:val="white"/>
          <w:rtl w:val="0"/>
        </w:rPr>
        <w:t xml:space="preserve">Issaka, B., Aidoo, E., Wood, S., &amp; Mohammed, F. (2024) “Anxiety is not cute” analysis of twitter users’ discourses on romanticizing mental illness. </w:t>
      </w:r>
      <w:r w:rsidDel="00000000" w:rsidR="00000000" w:rsidRPr="00000000">
        <w:rPr>
          <w:i w:val="1"/>
          <w:highlight w:val="white"/>
          <w:rtl w:val="0"/>
        </w:rPr>
        <w:t xml:space="preserve">BMC Psychiatry</w:t>
      </w:r>
      <w:r w:rsidDel="00000000" w:rsidR="00000000" w:rsidRPr="00000000">
        <w:rPr>
          <w:highlight w:val="white"/>
          <w:rtl w:val="0"/>
        </w:rPr>
        <w:t xml:space="preserve"> 24:221. </w:t>
      </w:r>
      <w:hyperlink r:id="rId19">
        <w:r w:rsidDel="00000000" w:rsidR="00000000" w:rsidRPr="00000000">
          <w:rPr>
            <w:highlight w:val="white"/>
            <w:u w:val="single"/>
            <w:rtl w:val="0"/>
          </w:rPr>
          <w:t xml:space="preserve">https://doi.org/10.1186/s12888-024-05663-w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spacing w:line="360" w:lineRule="auto"/>
        <w:ind w:left="720"/>
        <w:jc w:val="both"/>
        <w:rPr/>
      </w:pPr>
      <w:r w:rsidDel="00000000" w:rsidR="00000000" w:rsidRPr="00000000">
        <w:rPr>
          <w:highlight w:val="white"/>
          <w:rtl w:val="0"/>
        </w:rPr>
        <w:t xml:space="preserve">Lally, J., Samaniego, R., &amp; Tully, J. (2019). Mental health legislation in the Philippines: Philippine Mental Health Act. </w:t>
      </w:r>
      <w:r w:rsidDel="00000000" w:rsidR="00000000" w:rsidRPr="00000000">
        <w:rPr>
          <w:i w:val="1"/>
          <w:highlight w:val="white"/>
          <w:rtl w:val="0"/>
        </w:rPr>
        <w:t xml:space="preserve">BJPsych International</w:t>
      </w:r>
      <w:r w:rsidDel="00000000" w:rsidR="00000000" w:rsidRPr="00000000">
        <w:rPr>
          <w:highlight w:val="white"/>
          <w:rtl w:val="0"/>
        </w:rPr>
        <w:t xml:space="preserve">, </w:t>
      </w:r>
      <w:r w:rsidDel="00000000" w:rsidR="00000000" w:rsidRPr="00000000">
        <w:rPr>
          <w:i w:val="1"/>
          <w:highlight w:val="white"/>
          <w:rtl w:val="0"/>
        </w:rPr>
        <w:t xml:space="preserve">16</w:t>
      </w:r>
      <w:r w:rsidDel="00000000" w:rsidR="00000000" w:rsidRPr="00000000">
        <w:rPr>
          <w:highlight w:val="white"/>
          <w:rtl w:val="0"/>
        </w:rPr>
        <w:t xml:space="preserve">(3), 65-67. </w:t>
      </w:r>
      <w:hyperlink r:id="rId20">
        <w:r w:rsidDel="00000000" w:rsidR="00000000" w:rsidRPr="00000000">
          <w:rPr>
            <w:highlight w:val="white"/>
            <w:u w:val="single"/>
            <w:rtl w:val="0"/>
          </w:rPr>
          <w:t xml:space="preserve">https://doi.org/10.1192/bji.2018.33</w:t>
        </w:r>
      </w:hyperlink>
      <w:r w:rsidDel="00000000" w:rsidR="00000000" w:rsidRPr="00000000">
        <w:rPr>
          <w:rtl w:val="0"/>
        </w:rPr>
      </w:r>
    </w:p>
    <w:p w:rsidR="00000000" w:rsidDel="00000000" w:rsidP="00000000" w:rsidRDefault="00000000" w:rsidRPr="00000000" w14:paraId="00000047">
      <w:pPr>
        <w:spacing w:line="360" w:lineRule="auto"/>
        <w:ind w:left="720" w:hanging="720"/>
        <w:jc w:val="both"/>
        <w:rPr>
          <w:highlight w:val="white"/>
          <w:u w:val="single"/>
        </w:rPr>
      </w:pPr>
      <w:r w:rsidDel="00000000" w:rsidR="00000000" w:rsidRPr="00000000">
        <w:rPr>
          <w:highlight w:val="white"/>
          <w:rtl w:val="0"/>
        </w:rPr>
        <w:t xml:space="preserve">Maravilla, N., &amp; Tan, M. (2021). Philippine Mental Health Act: Just an Act? A Call to Look into the Bi-directionality of Mental Health and Economy. </w:t>
      </w:r>
      <w:r w:rsidDel="00000000" w:rsidR="00000000" w:rsidRPr="00000000">
        <w:rPr>
          <w:i w:val="1"/>
          <w:highlight w:val="white"/>
          <w:rtl w:val="0"/>
        </w:rPr>
        <w:t xml:space="preserve">Front. Psychol,</w:t>
      </w:r>
      <w:r w:rsidDel="00000000" w:rsidR="00000000" w:rsidRPr="00000000">
        <w:rPr>
          <w:highlight w:val="white"/>
          <w:rtl w:val="0"/>
        </w:rPr>
        <w:t xml:space="preserve"> </w:t>
      </w:r>
      <w:r w:rsidDel="00000000" w:rsidR="00000000" w:rsidRPr="00000000">
        <w:rPr>
          <w:i w:val="1"/>
          <w:highlight w:val="white"/>
          <w:rtl w:val="0"/>
        </w:rPr>
        <w:t xml:space="preserve">12.</w:t>
      </w:r>
      <w:r w:rsidDel="00000000" w:rsidR="00000000" w:rsidRPr="00000000">
        <w:rPr>
          <w:highlight w:val="white"/>
          <w:rtl w:val="0"/>
        </w:rPr>
        <w:t xml:space="preserve"> </w:t>
      </w:r>
      <w:hyperlink r:id="rId21">
        <w:r w:rsidDel="00000000" w:rsidR="00000000" w:rsidRPr="00000000">
          <w:rPr>
            <w:rtl w:val="0"/>
          </w:rPr>
          <w:t xml:space="preserve">https://doi.org/10.3389/fpsyg.2021.706483</w:t>
        </w:r>
      </w:hyperlink>
      <w:r w:rsidDel="00000000" w:rsidR="00000000" w:rsidRPr="00000000">
        <w:rPr>
          <w:rtl w:val="0"/>
        </w:rPr>
      </w:r>
    </w:p>
    <w:p w:rsidR="00000000" w:rsidDel="00000000" w:rsidP="00000000" w:rsidRDefault="00000000" w:rsidRPr="00000000" w14:paraId="00000048">
      <w:pPr>
        <w:spacing w:line="360" w:lineRule="auto"/>
        <w:ind w:left="720"/>
        <w:jc w:val="both"/>
        <w:rPr/>
      </w:pPr>
      <w:r w:rsidDel="00000000" w:rsidR="00000000" w:rsidRPr="00000000">
        <w:rPr>
          <w:highlight w:val="white"/>
          <w:rtl w:val="0"/>
        </w:rPr>
        <w:t xml:space="preserve">Mate, K. (2022). Effects of Visual, Auditory, and Combined Cues on Human Movement and Brain Regions Involved in Perception Action. </w:t>
      </w:r>
      <w:r w:rsidDel="00000000" w:rsidR="00000000" w:rsidRPr="00000000">
        <w:rPr>
          <w:i w:val="1"/>
          <w:highlight w:val="white"/>
          <w:rtl w:val="0"/>
        </w:rPr>
        <w:t xml:space="preserve">McGill Journal of Medicine</w:t>
      </w:r>
      <w:r w:rsidDel="00000000" w:rsidR="00000000" w:rsidRPr="00000000">
        <w:rPr>
          <w:highlight w:val="white"/>
          <w:rtl w:val="0"/>
        </w:rPr>
        <w:t xml:space="preserve">, </w:t>
      </w:r>
      <w:r w:rsidDel="00000000" w:rsidR="00000000" w:rsidRPr="00000000">
        <w:rPr>
          <w:i w:val="1"/>
          <w:highlight w:val="white"/>
          <w:rtl w:val="0"/>
        </w:rPr>
        <w:t xml:space="preserve">20</w:t>
      </w:r>
      <w:r w:rsidDel="00000000" w:rsidR="00000000" w:rsidRPr="00000000">
        <w:rPr>
          <w:highlight w:val="white"/>
          <w:rtl w:val="0"/>
        </w:rPr>
        <w:t xml:space="preserve">(2). </w:t>
      </w:r>
      <w:r w:rsidDel="00000000" w:rsidR="00000000" w:rsidRPr="00000000">
        <w:rPr>
          <w:highlight w:val="white"/>
          <w:u w:val="single"/>
          <w:rtl w:val="0"/>
        </w:rPr>
        <w:t xml:space="preserve">https://doi.org/10.26443/mjm.v20i2.928</w:t>
      </w:r>
      <w:r w:rsidDel="00000000" w:rsidR="00000000" w:rsidRPr="00000000">
        <w:rPr>
          <w:rtl w:val="0"/>
        </w:rPr>
      </w:r>
    </w:p>
    <w:p w:rsidR="00000000" w:rsidDel="00000000" w:rsidP="00000000" w:rsidRDefault="00000000" w:rsidRPr="00000000" w14:paraId="00000049">
      <w:pPr>
        <w:spacing w:line="360" w:lineRule="auto"/>
        <w:ind w:left="720" w:hanging="720"/>
        <w:jc w:val="both"/>
        <w:rPr/>
      </w:pPr>
      <w:r w:rsidDel="00000000" w:rsidR="00000000" w:rsidRPr="00000000">
        <w:rPr>
          <w:rtl w:val="0"/>
        </w:rPr>
        <w:t xml:space="preserve">Stein, D., Costa, D., Lochner, C., Miguel, E., Janardhan Reddy, Y. C., Shavitt, R., &amp; Simpson, H. (2019). Obsessive–compulsive disorder. </w:t>
      </w:r>
      <w:r w:rsidDel="00000000" w:rsidR="00000000" w:rsidRPr="00000000">
        <w:rPr>
          <w:i w:val="1"/>
          <w:rtl w:val="0"/>
        </w:rPr>
        <w:t xml:space="preserve">Nature Reviews. Disease Primers</w:t>
      </w:r>
      <w:r w:rsidDel="00000000" w:rsidR="00000000" w:rsidRPr="00000000">
        <w:rPr>
          <w:rtl w:val="0"/>
        </w:rPr>
        <w:t xml:space="preserve">, </w:t>
      </w:r>
      <w:r w:rsidDel="00000000" w:rsidR="00000000" w:rsidRPr="00000000">
        <w:rPr>
          <w:i w:val="1"/>
          <w:rtl w:val="0"/>
        </w:rPr>
        <w:t xml:space="preserve">5</w:t>
      </w:r>
      <w:r w:rsidDel="00000000" w:rsidR="00000000" w:rsidRPr="00000000">
        <w:rPr>
          <w:rtl w:val="0"/>
        </w:rPr>
        <w:t xml:space="preserve">(1), 52. </w:t>
      </w:r>
      <w:hyperlink r:id="rId22">
        <w:r w:rsidDel="00000000" w:rsidR="00000000" w:rsidRPr="00000000">
          <w:rPr>
            <w:u w:val="single"/>
            <w:rtl w:val="0"/>
          </w:rPr>
          <w:t xml:space="preserve">https://doi.org/10.1038/s41572-019-01</w:t>
        </w:r>
      </w:hyperlink>
      <w:r w:rsidDel="00000000" w:rsidR="00000000" w:rsidRPr="00000000">
        <w:rPr>
          <w:rtl w:val="0"/>
        </w:rPr>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4A">
      <w:pPr>
        <w:numPr>
          <w:ilvl w:val="0"/>
          <w:numId w:val="1"/>
        </w:numPr>
        <w:spacing w:line="360" w:lineRule="auto"/>
        <w:ind w:left="720" w:hanging="360"/>
        <w:jc w:val="both"/>
        <w:rPr>
          <w:b w:val="1"/>
          <w:u w:val="none"/>
        </w:rPr>
      </w:pPr>
      <w:r w:rsidDel="00000000" w:rsidR="00000000" w:rsidRPr="00000000">
        <w:rPr>
          <w:b w:val="1"/>
          <w:rtl w:val="0"/>
        </w:rPr>
        <w:t xml:space="preserve">Group Tasks</w:t>
      </w:r>
    </w:p>
    <w:sdt>
      <w:sdtPr>
        <w:lock w:val="contentLocked"/>
        <w:tag w:val="goog_rdk_2"/>
      </w:sdtPr>
      <w:sdtContent>
        <w:tbl>
          <w:tblPr>
            <w:tblStyle w:val="Table2"/>
            <w:tblW w:w="89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665"/>
            <w:tblGridChange w:id="0">
              <w:tblGrid>
                <w:gridCol w:w="4245"/>
                <w:gridCol w:w="466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90" w:firstLine="0"/>
                  <w:rPr>
                    <w:b w:val="1"/>
                  </w:rPr>
                </w:pPr>
                <w:r w:rsidDel="00000000" w:rsidR="00000000" w:rsidRPr="00000000">
                  <w:rPr>
                    <w:b w:val="1"/>
                    <w:rtl w:val="0"/>
                  </w:rPr>
                  <w:t xml:space="preserve">Researchers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630" w:firstLine="0"/>
                  <w:rPr>
                    <w:b w:val="1"/>
                  </w:rPr>
                </w:pPr>
                <w:r w:rsidDel="00000000" w:rsidR="00000000" w:rsidRPr="00000000">
                  <w:rPr>
                    <w:b w:val="1"/>
                    <w:rtl w:val="0"/>
                  </w:rPr>
                  <w:t xml:space="preserve">Roles</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1. Patrick Jean Tacderas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Project Manager, Technical Artist, 3D Designer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2. Petrie Mari Braulio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Concept Artist, 2D Designer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3. Reuben Achilles Diaz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Sound Designer, Composer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4. Celestine Maria Calpo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Main Writer, Narrative Designer</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5. Vurgaux Venturanza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Lead Programmer, Documentation</w:t>
                </w:r>
              </w:p>
            </w:tc>
          </w:tr>
        </w:tbl>
      </w:sdtContent>
    </w:sdt>
    <w:p w:rsidR="00000000" w:rsidDel="00000000" w:rsidP="00000000" w:rsidRDefault="00000000" w:rsidRPr="00000000" w14:paraId="00000057">
      <w:pPr>
        <w:spacing w:line="240" w:lineRule="auto"/>
        <w:ind w:left="720" w:firstLine="0"/>
        <w:rPr/>
      </w:pPr>
      <w:r w:rsidDel="00000000" w:rsidR="00000000" w:rsidRPr="00000000">
        <w:rPr>
          <w:rtl w:val="0"/>
        </w:rPr>
      </w:r>
    </w:p>
    <w:p w:rsidR="00000000" w:rsidDel="00000000" w:rsidP="00000000" w:rsidRDefault="00000000" w:rsidRPr="00000000" w14:paraId="00000058">
      <w:pPr>
        <w:spacing w:line="360" w:lineRule="auto"/>
        <w:rPr>
          <w:b w:val="1"/>
        </w:rPr>
      </w:pPr>
      <w:r w:rsidDel="00000000" w:rsidR="00000000" w:rsidRPr="00000000">
        <w:rPr>
          <w:rtl w:val="0"/>
        </w:rPr>
      </w:r>
    </w:p>
    <w:sectPr>
      <w:type w:val="nextPage"/>
      <w:pgSz w:h="18720" w:w="12240" w:orient="portrait"/>
      <w:pgMar w:bottom="720" w:top="806.4000000000001"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mando Del Mundo" w:id="0" w:date="2024-11-10T15:51:13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are you going to implement this to the player to experience obsessive and repetitive actions... what are you going to use?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Arial"/>
  <w:font w:name="Verdan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right"/>
      <w:rPr>
        <w:rFonts w:ascii="Verdana" w:cs="Verdana" w:eastAsia="Verdana" w:hAnsi="Verdana"/>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-209544</wp:posOffset>
          </wp:positionV>
          <wp:extent cx="2686050" cy="647700"/>
          <wp:effectExtent b="0" l="0" r="0" t="0"/>
          <wp:wrapNone/>
          <wp:docPr descr="A picture containing logo&#10;&#10;Description automatically generated" id="4" name="image1.png"/>
          <a:graphic>
            <a:graphicData uri="http://schemas.openxmlformats.org/drawingml/2006/picture">
              <pic:pic>
                <pic:nvPicPr>
                  <pic:cNvPr descr="A picture containing logo&#10;&#10;Description automatically generated" id="0" name="image1.png"/>
                  <pic:cNvPicPr preferRelativeResize="0"/>
                </pic:nvPicPr>
                <pic:blipFill>
                  <a:blip r:embed="rId1"/>
                  <a:srcRect b="0" l="0" r="0" t="0"/>
                  <a:stretch>
                    <a:fillRect/>
                  </a:stretch>
                </pic:blipFill>
                <pic:spPr>
                  <a:xfrm>
                    <a:off x="0" y="0"/>
                    <a:ext cx="2686050" cy="647700"/>
                  </a:xfrm>
                  <a:prstGeom prst="rect"/>
                  <a:ln/>
                </pic:spPr>
              </pic:pic>
            </a:graphicData>
          </a:graphic>
        </wp:anchor>
      </w:drawing>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0</wp:posOffset>
              </wp:positionV>
              <wp:extent cx="3366135" cy="360045"/>
              <wp:effectExtent b="0" l="0" r="0" t="0"/>
              <wp:wrapNone/>
              <wp:docPr id="3" name=""/>
              <a:graphic>
                <a:graphicData uri="http://schemas.microsoft.com/office/word/2010/wordprocessingShape">
                  <wps:wsp>
                    <wps:cNvSpPr/>
                    <wps:cNvPr id="2" name="Shape 2"/>
                    <wps:spPr>
                      <a:xfrm>
                        <a:off x="3691508" y="3628553"/>
                        <a:ext cx="3308985" cy="30289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4f6228"/>
                              <w:sz w:val="26"/>
                              <w:vertAlign w:val="baseline"/>
                            </w:rPr>
                            <w:t xml:space="preserve">COLLEGE OF COMPUTER STUDIES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4f6228"/>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0</wp:posOffset>
              </wp:positionV>
              <wp:extent cx="3366135" cy="360045"/>
              <wp:effectExtent b="0" l="0" r="0" t="0"/>
              <wp:wrapNone/>
              <wp:docPr id="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366135" cy="360045"/>
                      </a:xfrm>
                      <a:prstGeom prst="rect"/>
                      <a:ln/>
                    </pic:spPr>
                  </pic:pic>
                </a:graphicData>
              </a:graphic>
            </wp:anchor>
          </w:drawing>
        </mc:Fallback>
      </mc:AlternateContent>
    </w:r>
  </w:p>
  <w:p w:rsidR="00000000" w:rsidDel="00000000" w:rsidP="00000000" w:rsidRDefault="00000000" w:rsidRPr="00000000" w14:paraId="0000005B">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92/bji.2018.33" TargetMode="External"/><Relationship Id="rId11" Type="http://schemas.openxmlformats.org/officeDocument/2006/relationships/footer" Target="footer2.xml"/><Relationship Id="rId22" Type="http://schemas.openxmlformats.org/officeDocument/2006/relationships/hyperlink" Target="https://doi.org/10.1038/s41572-019-0102-3" TargetMode="External"/><Relationship Id="rId10" Type="http://schemas.openxmlformats.org/officeDocument/2006/relationships/header" Target="header1.xml"/><Relationship Id="rId21" Type="http://schemas.openxmlformats.org/officeDocument/2006/relationships/hyperlink" Target="https://doi.org/10.3389/fpsyg.2021.706483" TargetMode="External"/><Relationship Id="rId13" Type="http://schemas.openxmlformats.org/officeDocument/2006/relationships/hyperlink" Target="https://doi.org/10.7759/cureus.56631"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nnualreviews.org/search?value1=Katharina+Meyerbr%C3%B6ker&amp;option1=author&amp;noRedirect=true&amp;sortField=prism_publicationDate&amp;sortDescending=true" TargetMode="External"/><Relationship Id="rId15" Type="http://schemas.openxmlformats.org/officeDocument/2006/relationships/hyperlink" Target="https://www.ncbi.nlm.nih.gov/books/NBK559078/" TargetMode="External"/><Relationship Id="rId14" Type="http://schemas.openxmlformats.org/officeDocument/2006/relationships/hyperlink" Target="https://doi.org/10.1016/j.lanwpc.2023.100935" TargetMode="External"/><Relationship Id="rId17" Type="http://schemas.openxmlformats.org/officeDocument/2006/relationships/hyperlink" Target="https://www.annualreviews.org/search?value1=Katharina+Meyerbr%C3%B6ker&amp;option1=author&amp;noRedirect=true&amp;sortField=prism_publicationDate&amp;sortDescending=true" TargetMode="External"/><Relationship Id="rId16" Type="http://schemas.openxmlformats.org/officeDocument/2006/relationships/hyperlink" Target="https://www.ncbi.nlm.nih.gov/books/NBK553162/" TargetMode="External"/><Relationship Id="rId5" Type="http://schemas.openxmlformats.org/officeDocument/2006/relationships/numbering" Target="numbering.xml"/><Relationship Id="rId19" Type="http://schemas.openxmlformats.org/officeDocument/2006/relationships/hyperlink" Target="https://doi.org/10.1186/s12888-024-05663-w" TargetMode="External"/><Relationship Id="rId6" Type="http://schemas.openxmlformats.org/officeDocument/2006/relationships/styles" Target="styles.xml"/><Relationship Id="rId18" Type="http://schemas.openxmlformats.org/officeDocument/2006/relationships/hyperlink" Target="https://doi.org/10.1146/annurev-clinpsy-081219-115923"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DKIOVLdgDr5w5ue8HQT/VcaZg==">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c9a3220b08f836bb64990eea656df22acace3dd77de12d3781e1fae358d440b6</vt:lpwstr>
  </property>
</Properties>
</file>