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 xml:space="preserve">Defesa em: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sz w:val="22"/>
                <w:szCs w:val="22"/>
              </w:rPr>
              <w:t>Turma: 231</w:t>
            </w:r>
          </w:p>
        </w:tc>
      </w:tr>
    </w:tbl>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ind w:left="0" w:right="0" w:hanging="0"/>
        <w:jc w:val="both"/>
        <w:rPr/>
      </w:pPr>
      <w:r>
        <w:rPr>
          <w:rFonts w:eastAsia="Arial" w:cs="Arial" w:ascii="Arial" w:hAnsi="Arial"/>
          <w:b/>
          <w:bCs/>
          <w:sz w:val="22"/>
          <w:szCs w:val="22"/>
          <w:u w:val="none"/>
        </w:rPr>
        <w:t>1. Título do projeto</w:t>
      </w:r>
    </w:p>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Do demográfico ao híbrido: performances e resultados de algoritmos de recomendação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2. Introdução</w:t>
      </w:r>
    </w:p>
    <w:p>
      <w:pPr>
        <w:pStyle w:val="LOnormal"/>
        <w:spacing w:lineRule="auto" w:line="240" w:before="0" w:after="80"/>
        <w:jc w:val="both"/>
        <w:rPr>
          <w:rFonts w:ascii="Arial" w:hAnsi="Arial" w:eastAsia="Arial" w:cs="Arial"/>
          <w:b w:val="false"/>
          <w:b w:val="false"/>
          <w:bCs w:val="false"/>
          <w:sz w:val="18"/>
          <w:szCs w:val="18"/>
          <w:u w:val="none"/>
        </w:rPr>
      </w:pPr>
      <w:r>
        <w:rPr>
          <w:rFonts w:eastAsia="Arial" w:cs="Arial" w:ascii="Arial" w:hAnsi="Arial"/>
          <w:b w:val="false"/>
          <w:bCs w:val="false"/>
          <w:sz w:val="18"/>
          <w:szCs w:val="18"/>
          <w:u w:val="none"/>
        </w:rPr>
        <w:t>(Nesta seção o autor deve contextualizar o assunto, estabelecendo uma relação com outros trabalhos publicados sobre o tema. Da mesma maneira, deve ser apresentada a justificativa para a realização do trabalho, situando a importância do problema estudado e apoiada em citações bibliográficas de fontes confiáveis. O texto deverá ser escrito de forma impessoal., redigido em no máximo duas páginas e não deve conter subtópicos, figuras ou tabelas)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3. Objetivo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jc w:val="both"/>
        <w:rPr/>
      </w:pPr>
      <w:r>
        <w:rPr>
          <w:rFonts w:eastAsia="Arial" w:cs="Arial" w:ascii="Arial" w:hAnsi="Arial"/>
          <w:b w:val="false"/>
          <w:bCs w:val="false"/>
          <w:sz w:val="22"/>
          <w:szCs w:val="22"/>
          <w:u w:val="none"/>
        </w:rPr>
        <w:t xml:space="preserve">O objetivo principal deste trabalho consiste em analisar o desempenho em termos de custo de hardware e tempo de execução das principais abordagens de recomendação – Filtragem Demográfica, Filtragem Baseada em Conteúdo via sinopse e metadados, Filtragem Colaborativa via similaridade de usuários e similaridade de itens, e Filtragem Híbrida –; </w:t>
      </w:r>
      <w:r>
        <w:rPr>
          <w:rFonts w:eastAsia="Arial" w:cs="Arial" w:ascii="Arial" w:hAnsi="Arial"/>
          <w:b w:val="false"/>
          <w:bCs w:val="false"/>
          <w:color w:val="auto"/>
          <w:kern w:val="0"/>
          <w:sz w:val="22"/>
          <w:szCs w:val="22"/>
          <w:u w:val="none"/>
          <w:lang w:val="pt-BR" w:eastAsia="zh-CN" w:bidi="hi-IN"/>
        </w:rPr>
        <w:t>enquanto o objetivo secundário consiste em</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comparar</w:t>
      </w:r>
      <w:r>
        <w:rPr>
          <w:rFonts w:eastAsia="Arial" w:cs="Arial" w:ascii="Arial" w:hAnsi="Arial"/>
          <w:b w:val="false"/>
          <w:bCs w:val="false"/>
          <w:sz w:val="22"/>
          <w:szCs w:val="22"/>
          <w:u w:val="none"/>
        </w:rPr>
        <w:t xml:space="preserve">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 xml:space="preserve">4. Material e Métodos </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Todos os códigos foram desenvolvidos na versão 3.10.9 da linguagem de programação Python nos ambientes de desenvolvimento Jupyter Lab e Jupyter Notebook, ambos na versão 3.5.3. Além do mais, os modelos de Filtragem Colaborativa utilizaram o pacote Surprise, que requer a ferramenta Microsoft C++ Built Tools versão 14 para Windows.</w:t>
      </w:r>
    </w:p>
    <w:p>
      <w:pPr>
        <w:pStyle w:val="LOnormal"/>
        <w:spacing w:lineRule="auto" w:line="360" w:before="0" w:after="80"/>
        <w:jc w:val="both"/>
        <w:rPr/>
      </w:pPr>
      <w:r>
        <w:rPr>
          <w:rFonts w:eastAsia="Arial" w:cs="Arial" w:ascii="Arial" w:hAnsi="Arial"/>
          <w:b w:val="false"/>
          <w:bCs w:val="false"/>
          <w:sz w:val="22"/>
          <w:szCs w:val="22"/>
          <w:u w:val="none"/>
        </w:rPr>
        <w:t>Também foram aplicados pacotes do Python para acelerar o processo de desenvolvimento. A Tabela 1 consta todos eles com suas respectivas versões e usos neste trabalho.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r>
        <w:rPr>
          <w:rFonts w:ascii="Arial" w:hAnsi="Arial"/>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rFonts w:ascii="Arial" w:hAnsi="Arial"/>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Por fim, vale salientar de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A coleta foi realizada por um usuário do Kaggle utilizando a “Application Programming Interface [API]” Jikan durante 06 jul. 2023 a 06 out. 2023 abrangendo dados até o final da data de coleta.</w:t>
      </w:r>
    </w:p>
    <w:p>
      <w:pPr>
        <w:pStyle w:val="LOnormal"/>
        <w:spacing w:lineRule="auto" w:line="360" w:before="0" w:after="80"/>
        <w:jc w:val="both"/>
        <w:rPr/>
      </w:pPr>
      <w:r>
        <w:rPr>
          <w:rFonts w:eastAsia="Arial" w:cs="Arial" w:ascii="Arial" w:hAnsi="Arial"/>
          <w:b w:val="false"/>
          <w:bCs w:val="false"/>
          <w:sz w:val="22"/>
          <w:szCs w:val="22"/>
          <w:u w:val="none"/>
        </w:rPr>
        <w:t>Foram exportadas três bases em formato “Comma-Separated Values [CSV]”. A primeira contém apenas informações sobre os animes disponíveis, com 24 variáveis e 24.905 observações. A segunda contém apenas informações sobre os usuários disponíveis, com 16 variáveis e 731.290 observações. E a terceira contém as avaliações dos usuários sobre os animes assistidos, com cinco variáveis e 24.325.191 observações.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O próximo passo foi realizar o estudo das bases de dados e entender o que cada variável representa, resultando nos dicionários de variáveis abaixo representados pela Tabela 2, Tabela 3 e Tabela 4.</w:t>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2</w:t>
      </w:r>
      <w:r>
        <w:rPr>
          <w:sz w:val="22"/>
          <w:i w:val="false"/>
          <w:szCs w:val="22"/>
          <w:iCs w:val="false"/>
          <w:rFonts w:ascii="Arial" w:hAnsi="Arial"/>
        </w:rPr>
        <w:fldChar w:fldCharType="end"/>
      </w:r>
      <w:r>
        <w:rPr>
          <w:rFonts w:ascii="Arial" w:hAnsi="Arial"/>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eastAsia="Arial"/>
                <w:b w:val="false"/>
                <w:b w:val="false"/>
                <w:bCs w:val="false"/>
                <w:i w:val="false"/>
                <w:i w:val="false"/>
                <w:iCs w:val="false"/>
                <w:strike w:val="false"/>
                <w:dstrike w:val="false"/>
                <w:outline w:val="false"/>
                <w:shadow w:val="false"/>
                <w:color w:val="000000"/>
                <w:sz w:val="22"/>
                <w:szCs w:val="22"/>
                <w:u w:val="none"/>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incluíram</w:t>
            </w:r>
            <w:r>
              <w:rPr>
                <w:rFonts w:ascii="Arial" w:hAnsi="Arial"/>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3</w:t>
      </w:r>
      <w:r>
        <w:rPr>
          <w:sz w:val="22"/>
          <w:i w:val="false"/>
          <w:szCs w:val="22"/>
          <w:iCs w:val="false"/>
          <w:rFonts w:ascii="Arial" w:hAnsi="Arial"/>
        </w:rPr>
        <w:fldChar w:fldCharType="end"/>
      </w:r>
      <w:r>
        <w:rPr>
          <w:rFonts w:ascii="Arial" w:hAnsi="Arial"/>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1"/>
        <w:gridCol w:w="3629"/>
        <w:gridCol w:w="1533"/>
        <w:gridCol w:w="2435"/>
      </w:tblGrid>
      <w:tr>
        <w:trPr>
          <w:tblHeader w:val="true"/>
        </w:trPr>
        <w:tc>
          <w:tcPr>
            <w:tcW w:w="1471"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9"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 ID</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na plataforma</w:t>
            </w:r>
          </w:p>
        </w:tc>
        <w:tc>
          <w:tcPr>
            <w:tcW w:w="1533"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Gender</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 sexual</w:t>
            </w:r>
          </w:p>
        </w:tc>
        <w:tc>
          <w:tcPr>
            <w:tcW w:w="1533"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Male</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Birthday</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Data de nascimento</w:t>
            </w:r>
          </w:p>
        </w:tc>
        <w:tc>
          <w:tcPr>
            <w:tcW w:w="1533"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1985-03-04T00:00:00+00:00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Location</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533"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California</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Joined</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Data de quando a conta foi criada</w:t>
            </w:r>
          </w:p>
        </w:tc>
        <w:tc>
          <w:tcPr>
            <w:tcW w:w="1533"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2004-11-05T00:00:00+00:00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Days Watched</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dias assistidos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142,3</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Mean Score</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Média</w:t>
            </w:r>
            <w:r>
              <w:rPr>
                <w:rFonts w:ascii="Arial" w:hAnsi="Arial"/>
                <w:b w:val="false"/>
                <w:bCs w:val="false"/>
                <w:i w:val="false"/>
                <w:iCs w:val="false"/>
                <w:strike w:val="false"/>
                <w:dstrike w:val="false"/>
                <w:outline w:val="false"/>
                <w:shadow w:val="false"/>
                <w:color w:val="000000"/>
                <w:sz w:val="22"/>
                <w:szCs w:val="22"/>
                <w:u w:val="none"/>
              </w:rPr>
              <w:t xml:space="preserve"> Bayesiana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7,37</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Watching</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sendo assistidos</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Completed</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já completamente assistidos</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233,0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 Hold</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Dropped</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93,0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Plan to Watch</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64,0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Total Entries</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total de itens na lista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399,0</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Rewatched</w:t>
            </w:r>
          </w:p>
        </w:tc>
        <w:tc>
          <w:tcPr>
            <w:tcW w:w="3629"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reassistidos</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60,0</w:t>
            </w:r>
          </w:p>
        </w:tc>
      </w:tr>
      <w:tr>
        <w:trPr/>
        <w:tc>
          <w:tcPr>
            <w:tcW w:w="1471"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 Watched</w:t>
            </w:r>
          </w:p>
        </w:tc>
        <w:tc>
          <w:tcPr>
            <w:tcW w:w="3629" w:type="dxa"/>
            <w:tcBorders>
              <w:bottom w:val="single" w:sz="6" w:space="0" w:color="000000"/>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episódios assistidos de todos os itens</w:t>
            </w:r>
          </w:p>
        </w:tc>
        <w:tc>
          <w:tcPr>
            <w:tcW w:w="1533"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435"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8.458,0</w:t>
            </w:r>
          </w:p>
        </w:tc>
      </w:tr>
    </w:tbl>
    <w:p>
      <w:pPr>
        <w:pStyle w:val="Legenda"/>
        <w:jc w:val="both"/>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4</w:t>
      </w:r>
      <w:r>
        <w:rPr>
          <w:sz w:val="22"/>
          <w:i w:val="false"/>
          <w:szCs w:val="22"/>
          <w:iCs w:val="false"/>
          <w:rFonts w:ascii="Arial" w:hAnsi="Arial"/>
        </w:rPr>
        <w:fldChar w:fldCharType="end"/>
      </w:r>
      <w:r>
        <w:rPr>
          <w:rFonts w:ascii="Arial" w:hAnsi="Arial"/>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1"/>
        <w:gridCol w:w="3629"/>
        <w:gridCol w:w="1533"/>
        <w:gridCol w:w="2435"/>
      </w:tblGrid>
      <w:tr>
        <w:trPr/>
        <w:tc>
          <w:tcPr>
            <w:tcW w:w="1471" w:type="dxa"/>
            <w:tcBorders>
              <w:top w:val="single" w:sz="6" w:space="0" w:color="000000"/>
              <w:bottom w:val="single" w:sz="6" w:space="0" w:color="000000"/>
            </w:tcBorders>
            <w:shd w:fill="auto" w:val="clea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9"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 ID</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r>
      <w:tr>
        <w:trPr/>
        <w:tc>
          <w:tcPr>
            <w:tcW w:w="1471"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Title</w:t>
            </w:r>
          </w:p>
        </w:tc>
        <w:tc>
          <w:tcPr>
            <w:tcW w:w="3629"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One Piece</w:t>
            </w:r>
          </w:p>
        </w:tc>
      </w:tr>
      <w:tr>
        <w:trPr/>
        <w:tc>
          <w:tcPr>
            <w:tcW w:w="1471"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29"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ascii="Arial" w:hAnsi="Arial"/>
          <w:i w:val="false"/>
          <w:iCs w:val="false"/>
          <w:sz w:val="22"/>
          <w:szCs w:val="22"/>
        </w:rPr>
        <w:t>Fonte: Dados originais da pesquisa</w:t>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Esta etapa foi dividida em quatro partes, sendo a primeira composta por limpezas e transformações aplicadas nas três bases de dados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 anime 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sz w:val="22"/>
          <w:szCs w:val="22"/>
          <w:u w:val="none"/>
        </w:rPr>
        <w:t>Já sobre os gêneros, produtoras, licenciadoras e estúdios, os valores duplicados foram excluídos. Tomando os gêneros como exemplo, o valor “mistery, sci-fi, mistery, action” tornar-se-ou “mistery, sci-fi, action”.</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substituindo-os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Verificou-se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dados de animes; além de tratar os títulos duplicados conforme realizado na mesma base de dados anterior.</w:t>
      </w:r>
    </w:p>
    <w:p>
      <w:pPr>
        <w:pStyle w:val="LOnormal"/>
        <w:spacing w:lineRule="auto" w:line="360" w:before="0" w:after="80"/>
        <w:jc w:val="both"/>
        <w:rPr/>
      </w:pPr>
      <w:r>
        <w:rPr>
          <w:rFonts w:eastAsia="Arial" w:cs="Arial" w:ascii="Arial" w:hAnsi="Arial"/>
          <w:b w:val="false"/>
          <w:bCs w:val="false"/>
          <w:sz w:val="22"/>
          <w:szCs w:val="22"/>
          <w:u w:val="none"/>
        </w:rPr>
        <w:t>Por fim, os valores da variável “username” foram padronizados para minúsculo.</w:t>
      </w:r>
    </w:p>
    <w:p>
      <w:pPr>
        <w:pStyle w:val="LOnormal"/>
        <w:spacing w:lineRule="auto" w:line="360" w:before="0" w:after="80"/>
        <w:jc w:val="both"/>
        <w:rPr/>
      </w:pPr>
      <w:r>
        <w:rPr>
          <w:rFonts w:eastAsia="Arial" w:cs="Arial" w:ascii="Arial" w:hAnsi="Arial"/>
          <w:b w:val="false"/>
          <w:bCs w:val="false"/>
          <w:sz w:val="22"/>
          <w:szCs w:val="22"/>
          <w:u w:val="none"/>
        </w:rPr>
        <w:t xml:space="preserve">A Tabela </w:t>
      </w:r>
      <w:r>
        <w:rPr>
          <w:rFonts w:eastAsia="Arial" w:cs="Arial" w:ascii="Arial" w:hAnsi="Arial"/>
          <w:b w:val="false"/>
          <w:bCs w:val="false"/>
          <w:color w:val="auto"/>
          <w:kern w:val="0"/>
          <w:sz w:val="22"/>
          <w:szCs w:val="22"/>
          <w:u w:val="none"/>
          <w:lang w:val="pt-BR" w:eastAsia="zh-CN" w:bidi="hi-IN"/>
        </w:rPr>
        <w:t>5</w:t>
      </w:r>
      <w:r>
        <w:rPr>
          <w:rFonts w:eastAsia="Arial" w:cs="Arial" w:ascii="Arial" w:hAnsi="Arial"/>
          <w:b w:val="false"/>
          <w:bCs w:val="false"/>
          <w:sz w:val="22"/>
          <w:szCs w:val="22"/>
          <w:u w:val="none"/>
        </w:rPr>
        <w:t xml:space="preserve"> indica a quantidade de variáveis e observações antes e depois da limpeza e transformação dos dados em cada base.</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5</w:t>
      </w:r>
      <w:r>
        <w:rPr>
          <w:sz w:val="22"/>
          <w:i w:val="false"/>
          <w:szCs w:val="22"/>
          <w:iCs w:val="false"/>
          <w:rFonts w:ascii="Arial" w:hAnsi="Arial"/>
        </w:rPr>
        <w:fldChar w:fldCharType="end"/>
      </w:r>
      <w:r>
        <w:rPr>
          <w:rFonts w:ascii="Arial" w:hAnsi="Arial"/>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2,1731%</w:t>
            </w:r>
          </w:p>
        </w:tc>
      </w:tr>
    </w:tbl>
    <w:p>
      <w:pPr>
        <w:pStyle w:val="Legenda"/>
        <w:jc w:val="both"/>
        <w:rPr>
          <w:rFonts w:ascii="Arial" w:hAnsi="Arial"/>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sz w:val="22"/>
          <w:szCs w:val="22"/>
          <w:u w:val="none"/>
        </w:rPr>
        <w:t>Além do mais, apenas as bases de dados de usuários e avaliações foram utilizadas no processo de treinamento, validação e recomendação, sendo a primeira base aplicada em todos os modelos, e a segunda, somente nos modelos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 xml:space="preserve">Caso fosse necessário realizar o cálculo da Média Bayesiana no primeiro modelo, aplicar-se-ia a fórmula (1) </w:t>
      </w:r>
      <w:r>
        <w:rPr>
          <w:rFonts w:eastAsia="Arial" w:cs="Arial" w:ascii="Arial" w:hAnsi="Arial"/>
          <w:b w:val="false"/>
          <w:bCs w:val="false"/>
          <w:sz w:val="22"/>
          <w:szCs w:val="22"/>
          <w:u w:val="none"/>
        </w:rPr>
        <w:t>(Khatri, 2017)</w:t>
      </w:r>
      <w:r>
        <w:rPr>
          <w:rFonts w:eastAsia="Arial" w:cs="Arial" w:ascii="Arial" w:hAnsi="Arial"/>
          <w:b w:val="false"/>
          <w:bCs w:val="false"/>
          <w:sz w:val="22"/>
          <w:szCs w:val="22"/>
          <w:u w:val="none"/>
        </w:rPr>
        <w:t>.</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v</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 xml:space="preserve">Depois, a similaridade entre cada elemento foi calculada utilizando a Similaridade do Cosseno, dada pela equação (2) </w:t>
      </w:r>
      <w:r>
        <w:rPr>
          <w:rFonts w:eastAsia="Arial" w:cs="Arial" w:ascii="Arial" w:hAnsi="Arial"/>
          <w:b w:val="false"/>
          <w:bCs w:val="false"/>
          <w:sz w:val="22"/>
          <w:szCs w:val="22"/>
          <w:u w:val="none"/>
        </w:rPr>
        <w:t>(Rahutomo et al., 201</w:t>
      </w:r>
      <w:r>
        <w:rPr>
          <w:rFonts w:eastAsia="Arial" w:cs="Arial" w:ascii="Arial" w:hAnsi="Arial"/>
          <w:b w:val="false"/>
          <w:bCs w:val="false"/>
          <w:sz w:val="22"/>
          <w:szCs w:val="22"/>
          <w:u w:val="none"/>
        </w:rPr>
        <w:t>2</w:t>
      </w:r>
      <w:r>
        <w:rPr>
          <w:rFonts w:eastAsia="Arial" w:cs="Arial" w:ascii="Arial" w:hAnsi="Arial"/>
          <w:b w:val="false"/>
          <w:bCs w:val="false"/>
          <w:sz w:val="22"/>
          <w:szCs w:val="22"/>
          <w:u w:val="none"/>
        </w:rPr>
        <w:t>)</w:t>
      </w:r>
      <w:r>
        <w:rPr>
          <w:rFonts w:eastAsia="Arial" w:cs="Arial" w:ascii="Arial" w:hAnsi="Arial"/>
          <w:b w:val="false"/>
          <w:bCs w:val="false"/>
          <w:sz w:val="22"/>
          <w:szCs w:val="22"/>
          <w:u w:val="none"/>
        </w:rPr>
        <w:t>.</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 xml:space="preserve">onde </w:t>
      </w:r>
      <w:r>
        <w:rPr>
          <w:rFonts w:eastAsia="Arial" w:cs="Arial" w:ascii="Arial" w:hAnsi="Arial"/>
          <w:b w:val="false"/>
          <w:bCs w:val="false"/>
          <w:sz w:val="22"/>
          <w:szCs w:val="22"/>
          <w:u w:val="no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sinopses utilizadas no treinamento do modelo; </w:t>
      </w:r>
      <w:r>
        <w:rPr>
          <w:rFonts w:eastAsia="Arial" w:cs="Arial" w:ascii="Arial" w:hAnsi="Arial"/>
          <w:b w:val="false"/>
          <w:bCs w:val="false"/>
          <w:sz w:val="22"/>
          <w:szCs w:val="22"/>
          <w:u w:val="no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w:t>
      </w:r>
      <w:r>
        <w:rPr>
          <w:rFonts w:eastAsia="Arial" w:cs="Arial" w:ascii="Arial" w:hAnsi="Arial"/>
          <w:b w:val="false"/>
          <w:bCs w:val="false"/>
          <w:sz w:val="22"/>
          <w:szCs w:val="22"/>
          <w:u w:val="none"/>
        </w:rPr>
        <w:t>t</w:t>
      </w:r>
      <w:r>
        <w:rPr>
          <w:rFonts w:eastAsia="Arial" w:cs="Arial" w:ascii="Arial" w:hAnsi="Arial"/>
          <w:b w:val="false"/>
          <w:bCs w:val="false"/>
          <w:sz w:val="22"/>
          <w:szCs w:val="22"/>
          <w:u w:val="none"/>
        </w:rPr>
        <w:t xml:space="preserve">: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a frequência da palavra “</w:t>
      </w:r>
      <w:r>
        <w:rPr>
          <w:rFonts w:eastAsia="Arial" w:cs="Arial" w:ascii="Arial" w:hAnsi="Arial"/>
          <w:b w:val="false"/>
          <w:bCs w:val="false"/>
          <w:sz w:val="22"/>
          <w:szCs w:val="22"/>
          <w:u w:val="none"/>
        </w:rPr>
        <w:t>k</w:t>
      </w:r>
      <w:r>
        <w:rPr>
          <w:rFonts w:eastAsia="Arial" w:cs="Arial" w:ascii="Arial" w:hAnsi="Arial"/>
          <w:b w:val="false"/>
          <w:bCs w:val="false"/>
          <w:sz w:val="22"/>
          <w:szCs w:val="22"/>
          <w:u w:val="none"/>
        </w:rPr>
        <w:t>” nas sinopses “</w:t>
      </w:r>
      <w:r>
        <w:rPr>
          <w:rFonts w:eastAsia="Arial" w:cs="Arial" w:ascii="Arial" w:hAnsi="Arial"/>
          <w:b w:val="false"/>
          <w:bCs w:val="false"/>
          <w:sz w:val="22"/>
          <w:szCs w:val="22"/>
          <w:u w:val="no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consistidos em animes que usuários semelhantes ao selecionado avaliaram positivamente.</w:t>
      </w:r>
    </w:p>
    <w:p>
      <w:pPr>
        <w:pStyle w:val="LOnormal"/>
        <w:spacing w:lineRule="auto" w:line="360" w:before="0" w:after="80"/>
        <w:jc w:val="both"/>
        <w:rPr/>
      </w:pPr>
      <w:r>
        <w:rPr>
          <w:rFonts w:eastAsia="Arial" w:cs="Arial" w:ascii="Arial" w:hAnsi="Arial"/>
          <w:b w:val="false"/>
          <w:bCs w:val="false"/>
          <w:sz w:val="22"/>
          <w:szCs w:val="22"/>
          <w:u w:val="none"/>
        </w:rPr>
        <w:t>Iniciando pelo modelo E, as variáveis “username” e “anime_title” foram descartadas e os melhores valores para os parâmetros de ajustes foram encontrados utilizando a técnica de Ajuste de Parâmetros com Pesquisa Aleatória e Validação Cruzada 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LOnormal"/>
        <w:spacing w:lineRule="auto" w:line="360" w:before="0" w:after="80"/>
        <w:jc w:val="both"/>
        <w:rPr/>
      </w:pPr>
      <w:r>
        <w:rPr>
          <w:rFonts w:eastAsia="Arial" w:cs="Arial" w:ascii="Arial" w:hAnsi="Arial"/>
          <w:b w:val="false"/>
          <w:bCs w:val="false"/>
          <w:sz w:val="22"/>
          <w:szCs w:val="22"/>
          <w:u w:val="none"/>
        </w:rPr>
        <w:t>Depois a base de dados foi separada em treino e validação, além da variável “rating” ser convertida da escala de zero a dez para zero a cinco, pois o pacote Surprise, utilizado no treinamento e validação do modelo, trabalha apenas nesta escala.</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realizado o treinamento do modelo com a técnica K-Vizinhos Mais Próximos com Médias e a validação com a Validação Cruzada. Os cálculos das distâncias dos pontos foram feitos aplicando a fórmula da Distância Euclidiana (3) </w:t>
      </w:r>
      <w:r>
        <w:rPr>
          <w:rFonts w:eastAsia="Arial" w:cs="Arial" w:ascii="Arial" w:hAnsi="Arial"/>
          <w:b w:val="false"/>
          <w:bCs w:val="false"/>
          <w:sz w:val="22"/>
          <w:szCs w:val="22"/>
          <w:u w:val="none"/>
        </w:rPr>
        <w:t>(Chomboom et al., 2015)</w:t>
      </w:r>
      <w:r>
        <w:rPr>
          <w:rFonts w:eastAsia="Arial" w:cs="Arial" w:ascii="Arial" w:hAnsi="Arial"/>
          <w:b w:val="false"/>
          <w:bCs w:val="false"/>
          <w:sz w:val="22"/>
          <w:szCs w:val="22"/>
          <w:u w:val="none"/>
        </w:rPr>
        <w:t>.</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sSup>
                <m:e>
                  <m:r>
                    <w:rPr>
                      <w:rFonts w:ascii="Cambria Math" w:hAnsi="Cambria Math"/>
                    </w:rPr>
                    <m:t xml:space="preserve">dst</m:t>
                  </m:r>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y</m:t>
                      </m:r>
                    </m:sub>
                  </m:sSub>
                </m:e>
              </m:d>
              <m:r>
                <w:rPr>
                  <w:rFonts w:ascii="Cambria Math" w:hAnsi="Cambria Math"/>
                </w:rPr>
                <m:t xml:space="preserve">∗</m:t>
              </m:r>
              <m:d>
                <m:dPr>
                  <m:begChr m:val="("/>
                  <m:endChr m:val=")"/>
                </m:dPr>
                <m:e>
                  <m:sSubSup>
                    <m:e>
                      <m:r>
                        <w:rPr>
                          <w:rFonts w:ascii="Cambria Math" w:hAnsi="Cambria Math"/>
                        </w:rPr>
                        <m:t xml:space="preserve">x</m:t>
                      </m:r>
                    </m:e>
                    <m:sub>
                      <m:r>
                        <w:rPr>
                          <w:rFonts w:ascii="Cambria Math" w:hAnsi="Cambria Math"/>
                        </w:rPr>
                        <m:t xml:space="preserve">s</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t</m:t>
                      </m:r>
                    </m:sub>
                    <m:sup>
                      <m:r>
                        <w:rPr>
                          <w:rFonts w:ascii="Cambria Math" w:hAnsi="Cambria Math"/>
                        </w:rPr>
                        <m:t xml:space="preserve">'</m:t>
                      </m:r>
                    </m:sup>
                  </m:sSubSup>
                </m:e>
              </m: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 xml:space="preserve">onde </w:t>
      </w:r>
      <w:r>
        <w:rPr>
          <w:rFonts w:eastAsia="Arial" w:cs="Arial" w:ascii="Arial" w:hAnsi="Arial"/>
          <w:b w:val="false"/>
          <w:bCs w:val="false"/>
          <w:sz w:val="22"/>
          <w:szCs w:val="22"/>
          <w:u w:val="none"/>
        </w:rPr>
        <w:t>x</w:t>
      </w:r>
      <w:r>
        <w:rPr>
          <w:rFonts w:eastAsia="Arial" w:cs="Arial" w:ascii="Arial" w:hAnsi="Arial"/>
          <w:b w:val="false"/>
          <w:bCs w:val="false"/>
          <w:sz w:val="22"/>
          <w:szCs w:val="22"/>
          <w:u w:val="none"/>
          <w:vertAlign w:val="subscript"/>
        </w:rPr>
        <w:t>s</w:t>
      </w:r>
      <w:r>
        <w:rPr>
          <w:rFonts w:eastAsia="Arial" w:cs="Arial" w:ascii="Arial" w:hAnsi="Arial"/>
          <w:b w:val="false"/>
          <w:bCs w:val="false"/>
          <w:sz w:val="22"/>
          <w:szCs w:val="22"/>
          <w:u w:val="none"/>
        </w:rPr>
        <w:t xml:space="preserve"> e </w:t>
      </w:r>
      <w:r>
        <w:rPr>
          <w:rFonts w:eastAsia="Arial" w:cs="Arial" w:ascii="Arial" w:hAnsi="Arial"/>
          <w:b w:val="false"/>
          <w:bCs w:val="false"/>
          <w:sz w:val="22"/>
          <w:szCs w:val="22"/>
          <w:u w:val="none"/>
        </w:rPr>
        <w:t>y</w:t>
      </w:r>
      <w:r>
        <w:rPr>
          <w:rFonts w:eastAsia="Arial" w:cs="Arial" w:ascii="Arial" w:hAnsi="Arial"/>
          <w:b w:val="false"/>
          <w:bCs w:val="false"/>
          <w:sz w:val="22"/>
          <w:szCs w:val="22"/>
          <w:u w:val="none"/>
          <w:vertAlign w:val="subscript"/>
        </w:rPr>
        <w:t>y</w:t>
      </w:r>
      <w:r>
        <w:rPr>
          <w:rFonts w:eastAsia="Arial" w:cs="Arial" w:ascii="Arial" w:hAnsi="Arial"/>
          <w:b w:val="false"/>
          <w:bCs w:val="false"/>
          <w:position w:val="0"/>
          <w:sz w:val="22"/>
          <w:sz w:val="22"/>
          <w:szCs w:val="22"/>
          <w:u w:val="none"/>
          <w:vertAlign w:val="baseline"/>
        </w:rPr>
        <w:t>: são</w:t>
      </w:r>
      <w:r>
        <w:rPr>
          <w:rFonts w:eastAsia="Arial" w:cs="Arial" w:ascii="Arial" w:hAnsi="Arial"/>
          <w:b w:val="false"/>
          <w:bCs w:val="false"/>
          <w:sz w:val="22"/>
          <w:szCs w:val="22"/>
          <w:u w:val="none"/>
        </w:rPr>
        <w:t xml:space="preserve"> as coordenadas dos pontos no eixo horizontal;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x</w:t>
      </w:r>
      <w:r>
        <w:rPr>
          <w:rFonts w:eastAsia="Arial" w:cs="Arial" w:ascii="Arial" w:hAnsi="Arial"/>
          <w:b w:val="false"/>
          <w:bCs w:val="false"/>
          <w:sz w:val="22"/>
          <w:szCs w:val="22"/>
          <w:u w:val="none"/>
          <w:vertAlign w:val="subscript"/>
        </w:rPr>
        <w:t>s</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e </w:t>
      </w:r>
      <w:r>
        <w:rPr>
          <w:rFonts w:eastAsia="Arial" w:cs="Arial" w:ascii="Arial" w:hAnsi="Arial"/>
          <w:b w:val="false"/>
          <w:bCs w:val="false"/>
          <w:sz w:val="22"/>
          <w:szCs w:val="22"/>
          <w:u w:val="none"/>
        </w:rPr>
        <w:t>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são a</w:t>
      </w:r>
      <w:r>
        <w:rPr>
          <w:rFonts w:eastAsia="Arial" w:cs="Arial" w:ascii="Arial" w:hAnsi="Arial"/>
          <w:b w:val="false"/>
          <w:bCs w:val="false"/>
          <w:sz w:val="22"/>
          <w:szCs w:val="22"/>
          <w:u w:val="none"/>
        </w:rPr>
        <w:t>s coordenadas dos pontos no eixo vertical.</w:t>
      </w:r>
    </w:p>
    <w:p>
      <w:pPr>
        <w:pStyle w:val="LOnormal"/>
        <w:spacing w:lineRule="auto" w:line="360" w:before="0" w:after="80"/>
        <w:jc w:val="both"/>
        <w:rPr/>
      </w:pPr>
      <w:r>
        <w:rPr>
          <w:rFonts w:eastAsia="Arial" w:cs="Arial" w:ascii="Arial" w:hAnsi="Arial"/>
          <w:b w:val="false"/>
          <w:bCs w:val="false"/>
          <w:sz w:val="22"/>
          <w:szCs w:val="22"/>
          <w:u w:val="none"/>
        </w:rPr>
        <w:t>Por fim, foi criada função de recomendação, convertendo a pontuação estimada da escala de zero a cinco para zero a dez.</w:t>
      </w:r>
    </w:p>
    <w:p>
      <w:pPr>
        <w:pStyle w:val="LOnormal"/>
        <w:spacing w:lineRule="auto" w:line="360" w:before="0" w:after="80"/>
        <w:jc w:val="both"/>
        <w:rPr/>
      </w:pPr>
      <w:r>
        <w:rPr>
          <w:rFonts w:eastAsia="Arial" w:cs="Arial" w:ascii="Arial" w:hAnsi="Arial"/>
          <w:b w:val="false"/>
          <w:bCs w:val="false"/>
          <w:sz w:val="22"/>
          <w:szCs w:val="22"/>
          <w:u w:val="none"/>
        </w:rPr>
        <w:t>O modelo F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Nele, as variáveis “username” e “anime_title” foram descartadas e a base de dados foi reduzida significativamente para 250 mil amostras pelo mesmo motivo dos de Filtragem Colaborativa.</w:t>
      </w:r>
    </w:p>
    <w:p>
      <w:pPr>
        <w:pStyle w:val="LOnormal"/>
        <w:spacing w:lineRule="auto" w:line="360" w:before="0" w:after="80"/>
        <w:jc w:val="both"/>
        <w:rPr/>
      </w:pPr>
      <w:r>
        <w:rPr>
          <w:rFonts w:eastAsia="Arial" w:cs="Arial" w:ascii="Arial" w:hAnsi="Arial"/>
          <w:b w:val="false"/>
          <w:bCs w:val="false"/>
          <w:sz w:val="22"/>
          <w:szCs w:val="22"/>
          <w:u w:val="none"/>
        </w:rPr>
        <w:t>Do mesmo modo do pacote “Surprise”, o “LightFM” trabalha apenas com pontuações na escala de zero a cinco, portanto, foi necessário transformar os valores da variável “rating”.</w:t>
      </w:r>
    </w:p>
    <w:p>
      <w:pPr>
        <w:pStyle w:val="LOnormal"/>
        <w:spacing w:lineRule="auto" w:line="360" w:before="0" w:after="80"/>
        <w:jc w:val="both"/>
        <w:rPr/>
      </w:pPr>
      <w:r>
        <w:rPr>
          <w:rFonts w:eastAsia="Arial" w:cs="Arial" w:ascii="Arial" w:hAnsi="Arial"/>
          <w:b w:val="false"/>
          <w:bCs w:val="false"/>
          <w:sz w:val="22"/>
          <w:szCs w:val="22"/>
          <w:u w:val="none"/>
        </w:rPr>
        <w:t>Posteriormente, a base de dados foi convertida no formato específico aceito pelo pacote, além de ser montada a matriz de interação dos usuários com cada anime. Depois o modelo foi treinado com o algoritmo “LightFM” e validado com a Curva Característica de Operação do Receptor [COR], mais conhecida como “Receiving Operation Characteristic [ROC] Curve” do Inglês Americano.</w:t>
      </w:r>
    </w:p>
    <w:p>
      <w:pPr>
        <w:pStyle w:val="LOnormal"/>
        <w:spacing w:lineRule="auto" w:line="360" w:before="0" w:after="80"/>
        <w:jc w:val="both"/>
        <w:rPr/>
      </w:pPr>
      <w:r>
        <w:rPr>
          <w:rFonts w:eastAsia="Arial" w:cs="Arial" w:ascii="Arial" w:hAnsi="Arial"/>
          <w:b w:val="false"/>
          <w:bCs w:val="false"/>
          <w:sz w:val="22"/>
          <w:szCs w:val="22"/>
          <w:u w:val="none"/>
        </w:rPr>
        <w:t>Por fim, foi criada função de recomendação, convertendo a pontuação estimada da escala de zero a cinco para a de zero a dez.</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comparações não foram realizadas pelo autor no presente momento de escrita deste trabalho, mas os métodos já foram decididos.</w:t>
      </w:r>
    </w:p>
    <w:p>
      <w:pPr>
        <w:pStyle w:val="LOnormal"/>
        <w:spacing w:lineRule="auto" w:line="360" w:before="0" w:after="80"/>
        <w:jc w:val="both"/>
        <w:rPr/>
      </w:pPr>
      <w:r>
        <w:rPr>
          <w:rFonts w:eastAsia="Arial" w:cs="Arial" w:ascii="Arial" w:hAnsi="Arial"/>
          <w:b w:val="false"/>
          <w:bCs w:val="false"/>
          <w:sz w:val="22"/>
          <w:szCs w:val="22"/>
          <w:u w:val="none"/>
        </w:rPr>
        <w:t>As performances de cada modelo serão comparadas levando em consideração o uso do processador e da memória RAM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360" w:before="0" w:after="80"/>
        <w:jc w:val="both"/>
        <w:rPr/>
      </w:pPr>
      <w:r>
        <w:rPr>
          <w:rFonts w:eastAsia="Arial" w:cs="Arial" w:ascii="Arial" w:hAnsi="Arial"/>
          <w:b w:val="false"/>
          <w:bCs w:val="false"/>
          <w:sz w:val="22"/>
          <w:szCs w:val="22"/>
          <w:u w:val="none"/>
        </w:rPr>
        <w:t>Por outro lado, a comparação dos resultados dar-se-á pela análise das recomendações e pontos positivos e negativos de cada metologia de filtragem, bem como de cada modelo individual.</w:t>
      </w:r>
    </w:p>
    <w:p>
      <w:pPr>
        <w:pStyle w:val="LOnormal"/>
        <w:spacing w:lineRule="auto" w:line="360" w:before="0" w:after="80"/>
        <w:ind w:left="0" w:right="0" w:hanging="0"/>
        <w:jc w:val="both"/>
        <w:rPr/>
      </w:pPr>
      <w:r>
        <w:rPr>
          <w:rFonts w:eastAsia="Arial" w:cs="Arial" w:ascii="Arial" w:hAnsi="Arial"/>
          <w:b/>
          <w:bCs/>
          <w:sz w:val="22"/>
          <w:szCs w:val="22"/>
          <w:u w:val="none"/>
        </w:rPr>
        <w:t>5. Resultados Esperados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Espera-se que os modelos de Filtragem Demográfica apresentem os menores custos de hardware e tempo de execução devido à somente aplicação da Média Bayesiana e da ordenação de popularidade para calcular as pontuações dos animes. No entanto, prevê-se que estes modelos gerem as recomendações menos precisas entre os demais, pois tenderão a recomendar os mesmos produtos a todos os usuários, ignorando os gostos individuais destes e as similaridades daqueles.</w:t>
      </w:r>
    </w:p>
    <w:p>
      <w:pPr>
        <w:pStyle w:val="LOnormal"/>
        <w:spacing w:lineRule="auto" w:line="360" w:before="0" w:after="80"/>
        <w:jc w:val="both"/>
        <w:rPr/>
      </w:pPr>
      <w:r>
        <w:rPr>
          <w:rFonts w:eastAsia="Arial" w:cs="Arial" w:ascii="Arial" w:hAnsi="Arial"/>
          <w:b w:val="false"/>
          <w:bCs w:val="false"/>
          <w:sz w:val="22"/>
          <w:szCs w:val="22"/>
          <w:u w:val="none"/>
        </w:rPr>
        <w:t>Em relação aos modelos C e D de Filtragem Baseada em Conteúdo, estima-se um aumento no custo tanto de hardware quanto de tempo em comparação com os modelos de Filtragem Demográfica. Esse aumento será devido à consideração da similaridade dos itens, seja por meio da sinopse (modelo C), seja por meio dos metadados de gênero, tipo e fonte original (modelo D). Contudo, espera-se que as recomendações sejam mais precisas, embora fiquem limitadas a animes do mesmo universo ou com temáticas semelhantes, respectivamente.</w:t>
      </w:r>
    </w:p>
    <w:p>
      <w:pPr>
        <w:pStyle w:val="LOnormal"/>
        <w:spacing w:lineRule="auto" w:line="360" w:before="0" w:after="80"/>
        <w:jc w:val="both"/>
        <w:rPr/>
      </w:pPr>
      <w:r>
        <w:rPr>
          <w:rFonts w:eastAsia="Arial" w:cs="Arial" w:ascii="Arial" w:hAnsi="Arial"/>
          <w:b w:val="false"/>
          <w:bCs w:val="false"/>
          <w:sz w:val="22"/>
          <w:szCs w:val="22"/>
          <w:u w:val="none"/>
        </w:rPr>
        <w:t>Sobre os modelos E e F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360" w:before="0" w:after="80"/>
        <w:jc w:val="both"/>
        <w:rPr/>
      </w:pPr>
      <w:r>
        <w:rPr>
          <w:rFonts w:eastAsia="Arial" w:cs="Arial" w:ascii="Arial" w:hAnsi="Arial"/>
          <w:b w:val="false"/>
          <w:bCs w:val="false"/>
          <w:sz w:val="22"/>
          <w:szCs w:val="22"/>
          <w:u w:val="none"/>
        </w:rPr>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spacing w:lineRule="auto" w:line="360" w:before="0" w:after="80"/>
        <w:jc w:val="both"/>
        <w:rPr/>
      </w:pPr>
      <w:r>
        <w:rPr>
          <w:rFonts w:eastAsia="Arial" w:cs="Arial" w:ascii="Arial" w:hAnsi="Arial"/>
          <w:b w:val="false"/>
          <w:bCs w:val="false"/>
          <w:sz w:val="22"/>
          <w:szCs w:val="22"/>
          <w:u w:val="none"/>
        </w:rPr>
        <w:t>Por fim, vale salientar algumas limitações das bases de dados neste estudo: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foram coletados apenas de uma plataforma, todas as recomendações resultantes são válidas apenas para esta plataforma em específico;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abrangem até o período de 06 out. 2023, todos os animes lançados, as contas de usuários criadas e as avaliações realizadas posteriormente não têm influência alguma nos modelos;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são apenas de animes, os modelos ficaram limitados a realizar recomendações apenas deste tipo de conteúdo.</w:t>
      </w:r>
    </w:p>
    <w:p>
      <w:pPr>
        <w:pStyle w:val="LOnormal"/>
        <w:spacing w:lineRule="auto" w:line="240" w:before="0" w:after="80"/>
        <w:ind w:left="0" w:right="0" w:hanging="0"/>
        <w:jc w:val="both"/>
        <w:rPr/>
      </w:pPr>
      <w:r>
        <w:rPr>
          <w:rFonts w:eastAsia="Arial" w:cs="Arial" w:ascii="Arial" w:hAnsi="Arial"/>
          <w:b/>
          <w:bCs/>
          <w:sz w:val="22"/>
          <w:szCs w:val="22"/>
          <w:u w:val="none"/>
        </w:rPr>
        <w:t>6. Cronograma de Atividades</w:t>
      </w:r>
    </w:p>
    <w:p>
      <w:pPr>
        <w:pStyle w:val="LOnormal"/>
        <w:spacing w:lineRule="auto" w:line="240" w:before="0" w:after="80"/>
        <w:jc w:val="both"/>
        <w:rPr>
          <w:rFonts w:ascii="Arial" w:hAnsi="Arial" w:eastAsia="Arial" w:cs="Arial"/>
          <w:sz w:val="22"/>
          <w:szCs w:val="22"/>
          <w:u w:val="none"/>
        </w:rPr>
      </w:pPr>
      <w:r>
        <w:rPr>
          <w:rFonts w:eastAsia="Arial" w:cs="Arial" w:ascii="Arial" w:hAnsi="Arial"/>
          <w:sz w:val="22"/>
          <w:szCs w:val="22"/>
          <w:u w:val="none"/>
        </w:rPr>
      </w:r>
    </w:p>
    <w:p>
      <w:pPr>
        <w:pStyle w:val="LOnormal"/>
        <w:numPr>
          <w:ilvl w:val="0"/>
          <w:numId w:val="0"/>
        </w:numPr>
        <w:spacing w:lineRule="auto" w:line="240" w:before="0" w:after="40"/>
        <w:ind w:left="360" w:right="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22"/>
        <w:gridCol w:w="604"/>
        <w:gridCol w:w="600"/>
        <w:gridCol w:w="601"/>
        <w:gridCol w:w="601"/>
        <w:gridCol w:w="583"/>
        <w:gridCol w:w="614"/>
        <w:gridCol w:w="518"/>
        <w:gridCol w:w="570"/>
        <w:gridCol w:w="546"/>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1</w:t>
            </w:r>
          </w:p>
        </w:tc>
        <w:tc>
          <w:tcPr>
            <w:tcW w:w="6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2</w:t>
            </w:r>
          </w:p>
        </w:tc>
        <w:tc>
          <w:tcPr>
            <w:tcW w:w="6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3</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4</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5</w:t>
            </w:r>
          </w:p>
        </w:tc>
        <w:tc>
          <w:tcPr>
            <w:tcW w:w="5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6</w:t>
            </w:r>
          </w:p>
        </w:tc>
        <w:tc>
          <w:tcPr>
            <w:tcW w:w="61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7</w:t>
            </w:r>
          </w:p>
        </w:tc>
        <w:tc>
          <w:tcPr>
            <w:tcW w:w="5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8</w:t>
            </w:r>
          </w:p>
        </w:tc>
        <w:tc>
          <w:tcPr>
            <w:tcW w:w="57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9</w:t>
            </w:r>
          </w:p>
        </w:tc>
        <w:tc>
          <w:tcPr>
            <w:tcW w:w="54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Iniciar conversa sobre o TCC</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Fechar o tema e o objetivo</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Escrever a Metodologia Pretendida</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Entregar o projeto ao orientador</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Entregar o projeto ao MBA USP/ESALQ</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left"/>
              <w:rPr/>
            </w:pPr>
            <w:r>
              <w:rPr>
                <w:rFonts w:eastAsia="Arial" w:cs="Arial" w:ascii="Arial" w:hAnsi="Arial"/>
                <w:bCs w:val="false"/>
                <w:iCs w:val="false"/>
                <w:sz w:val="18"/>
                <w:szCs w:val="24"/>
              </w:rPr>
              <w:t>Aplicar a metodologia/coletar e estruturar os dados e iniciar a discussão dos resultados</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rPr/>
            </w:pPr>
            <w:r>
              <w:rPr>
                <w:rFonts w:eastAsia="Arial" w:cs="Arial" w:ascii="Arial" w:hAnsi="Arial"/>
                <w:bCs w:val="false"/>
                <w:iCs w:val="false"/>
                <w:sz w:val="18"/>
                <w:szCs w:val="24"/>
              </w:rPr>
              <w:t>Fechar introdução, material e métodos, iniciar os resultados e discussões e enviar ao orientador</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rPr/>
            </w:pPr>
            <w:r>
              <w:rPr>
                <w:rFonts w:eastAsia="Arial" w:cs="Arial" w:ascii="Arial" w:hAnsi="Arial"/>
                <w:bCs w:val="false"/>
                <w:iCs w:val="false"/>
                <w:sz w:val="18"/>
                <w:szCs w:val="24"/>
              </w:rPr>
              <w:t>Entregar os Resultados Preliminares ao MBA USP/ESALQ</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pPr>
            <w:r>
              <w:rPr>
                <w:rFonts w:eastAsia="Arial" w:cs="Arial" w:ascii="Arial" w:hAnsi="Arial"/>
                <w:b/>
                <w:bCs/>
                <w:iCs w:val="false"/>
                <w:sz w:val="18"/>
                <w:szCs w:val="24"/>
              </w:rPr>
              <w:t>x</w:t>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resultados e iniciar a conclusão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c>
          <w:tcPr>
            <w:tcW w:w="54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a conclusão e iniciar o resumo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c>
          <w:tcPr>
            <w:tcW w:w="54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o trabalho como um todo e enviar ao orientador</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c>
          <w:tcPr>
            <w:tcW w:w="54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o trabalho como um todo e enviar ao MBA USP/ESALQ (entrega do TCC e agendamento da defesa)</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pPr>
            <w:r>
              <w:rPr>
                <w:rFonts w:eastAsia="Arial" w:cs="Arial" w:ascii="Arial" w:hAnsi="Arial"/>
                <w:bCs w:val="false"/>
                <w:iCs w:val="false"/>
                <w:sz w:val="18"/>
                <w:szCs w:val="24"/>
              </w:rPr>
              <w:t>Entrega da versão final revisada</w:t>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4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spacing w:lineRule="auto" w:line="240" w:before="0" w:after="80"/>
        <w:jc w:val="both"/>
        <w:rPr>
          <w:rFonts w:ascii="Arial" w:hAnsi="Arial" w:eastAsia="Arial" w:cs="Arial"/>
          <w:sz w:val="18"/>
          <w:szCs w:val="18"/>
          <w:u w:val="none"/>
        </w:rPr>
      </w:pPr>
      <w:r>
        <w:rPr>
          <w:rFonts w:eastAsia="Arial" w:cs="Arial" w:ascii="Arial" w:hAnsi="Arial"/>
          <w:b/>
          <w:bCs/>
          <w:sz w:val="18"/>
          <w:szCs w:val="18"/>
          <w:u w:val="none"/>
          <w:shd w:fill="C5E0B3" w:val="clear"/>
        </w:rPr>
        <w:t>Projeto de Pesquisa</w:t>
      </w:r>
      <w:r>
        <w:rPr>
          <w:rFonts w:eastAsia="Arial" w:cs="Arial" w:ascii="Arial" w:hAnsi="Arial"/>
          <w:b/>
          <w:bCs/>
          <w:sz w:val="18"/>
          <w:szCs w:val="18"/>
          <w:u w:val="none"/>
        </w:rPr>
        <w:t xml:space="preserve">; </w:t>
      </w:r>
      <w:r>
        <w:rPr>
          <w:rFonts w:eastAsia="Arial" w:cs="Arial" w:ascii="Arial" w:hAnsi="Arial"/>
          <w:b/>
          <w:bCs/>
          <w:sz w:val="18"/>
          <w:szCs w:val="18"/>
          <w:u w:val="none"/>
          <w:shd w:fill="D9E2F3" w:val="clear"/>
        </w:rPr>
        <w:t>Resultados Preliminares</w:t>
      </w:r>
      <w:r>
        <w:rPr>
          <w:rFonts w:eastAsia="Arial" w:cs="Arial" w:ascii="Arial" w:hAnsi="Arial"/>
          <w:b/>
          <w:bCs/>
          <w:sz w:val="18"/>
          <w:szCs w:val="18"/>
          <w:u w:val="none"/>
        </w:rPr>
        <w:t xml:space="preserve">; </w:t>
      </w:r>
      <w:r>
        <w:rPr>
          <w:rFonts w:eastAsia="Arial" w:cs="Arial" w:ascii="Arial" w:hAnsi="Arial"/>
          <w:b/>
          <w:bCs/>
          <w:sz w:val="18"/>
          <w:szCs w:val="18"/>
          <w:u w:val="none"/>
          <w:shd w:fill="FFE599" w:val="clear"/>
        </w:rPr>
        <w:t>Entrega do Trabalho de Conclusão de Curso</w:t>
      </w:r>
      <w:r>
        <w:rPr>
          <w:rFonts w:eastAsia="Arial" w:cs="Arial" w:ascii="Arial" w:hAnsi="Arial"/>
          <w:b/>
          <w:bCs/>
          <w:sz w:val="18"/>
          <w:szCs w:val="18"/>
          <w:u w:val="none"/>
        </w:rPr>
        <w:t xml:space="preserve">; </w:t>
      </w:r>
      <w:r>
        <w:rPr>
          <w:rFonts w:eastAsia="Arial" w:cs="Arial" w:ascii="Arial" w:hAnsi="Arial"/>
          <w:b/>
          <w:bCs/>
          <w:sz w:val="18"/>
          <w:szCs w:val="18"/>
          <w:u w:val="none"/>
          <w:shd w:fill="F7CBAC" w:val="clear"/>
        </w:rPr>
        <w:t>Entrega da Apresentação da Defesa</w:t>
      </w:r>
    </w:p>
    <w:p>
      <w:pPr>
        <w:pStyle w:val="LOnormal"/>
        <w:spacing w:lineRule="auto" w:line="240" w:before="0" w:after="80"/>
        <w:jc w:val="both"/>
        <w:rPr>
          <w:rFonts w:ascii="Arial" w:hAnsi="Arial" w:eastAsia="Arial" w:cs="Arial"/>
          <w:sz w:val="18"/>
          <w:szCs w:val="18"/>
          <w:u w:val="none"/>
        </w:rPr>
      </w:pPr>
      <w:r>
        <w:rPr>
          <w:rFonts w:eastAsia="Arial" w:cs="Arial" w:ascii="Arial" w:hAnsi="Arial"/>
          <w:sz w:val="18"/>
          <w:szCs w:val="18"/>
          <w:u w:val="none"/>
        </w:rPr>
      </w:r>
    </w:p>
    <w:p>
      <w:pPr>
        <w:pStyle w:val="LOnormal"/>
        <w:spacing w:lineRule="auto" w:line="240" w:before="0" w:after="80"/>
        <w:ind w:left="0" w:right="0" w:hanging="0"/>
        <w:jc w:val="both"/>
        <w:rPr/>
      </w:pPr>
      <w:r>
        <w:rPr>
          <w:rFonts w:eastAsia="Arial" w:cs="Arial" w:ascii="Arial" w:hAnsi="Arial"/>
          <w:b/>
          <w:bCs/>
          <w:sz w:val="22"/>
          <w:szCs w:val="22"/>
          <w:u w:val="none"/>
        </w:rPr>
        <w:t>7. Referências Bibliográficas</w:t>
      </w:r>
    </w:p>
    <w:p>
      <w:pPr>
        <w:pStyle w:val="LOnormal"/>
        <w:spacing w:lineRule="auto" w:line="240" w:before="0" w:after="80"/>
        <w:jc w:val="both"/>
        <w:rPr>
          <w:rFonts w:ascii="Arial" w:hAnsi="Arial" w:eastAsia="Arial" w:cs="Arial"/>
          <w:b w:val="false"/>
          <w:b w:val="false"/>
          <w:bCs w:val="false"/>
          <w:u w:val="none"/>
        </w:rPr>
      </w:pPr>
      <w:r>
        <w:rPr>
          <w:sz w:val="22"/>
          <w:szCs w:val="22"/>
        </w:rPr>
      </w:r>
    </w:p>
    <w:p>
      <w:pPr>
        <w:pStyle w:val="LOnormal"/>
        <w:spacing w:lineRule="auto" w:line="240" w:before="0" w:after="80"/>
        <w:ind w:left="0" w:right="0" w:hanging="0"/>
        <w:jc w:val="both"/>
        <w:rPr>
          <w:sz w:val="22"/>
          <w:szCs w:val="22"/>
        </w:rPr>
      </w:pPr>
      <w:r>
        <w:rPr>
          <w:rFonts w:eastAsia="Arial" w:cs="Arial" w:ascii="Arial" w:hAnsi="Arial"/>
          <w:b w:val="false"/>
          <w:bCs w:val="false"/>
          <w:sz w:val="22"/>
          <w:szCs w:val="22"/>
          <w:u w:val="none"/>
        </w:rPr>
        <w:t>Chomboon, K.; Chujai, P.; Teerarassamee, P.; Kerdprasop, K.; Kerdprasop, N. 2015. An Empirical Study of Distance Metrics for k-Nearest Neighbor Algorithm. Institute of Industrial Applications Engineers, Kitakyushu, Fukuoka, Japão. Disponível em: &lt;</w:t>
      </w:r>
      <w:hyperlink r:id="rId2">
        <w:r>
          <w:rPr>
            <w:rStyle w:val="Linkdainternetvisitado"/>
            <w:rFonts w:eastAsia="Arial" w:cs="Arial" w:ascii="Arial" w:hAnsi="Arial"/>
            <w:b w:val="false"/>
            <w:bCs w:val="false"/>
            <w:sz w:val="22"/>
            <w:szCs w:val="22"/>
            <w:u w:val="none"/>
          </w:rPr>
          <w:t>https://pdfs.semanticscholar.org/815f/22363962afda432435cdbb478857547a17b5.pdf</w:t>
        </w:r>
      </w:hyperlink>
      <w:r>
        <w:rPr>
          <w:rFonts w:eastAsia="Arial" w:cs="Arial" w:ascii="Arial" w:hAnsi="Arial"/>
          <w:b w:val="false"/>
          <w:bCs w:val="false"/>
          <w:sz w:val="22"/>
          <w:szCs w:val="22"/>
          <w:u w:val="none"/>
        </w:rPr>
        <w:t>&gt;. Acesso em: 15 mar. 2024.</w:t>
      </w:r>
    </w:p>
    <w:p>
      <w:pPr>
        <w:pStyle w:val="LOnormal"/>
        <w:spacing w:lineRule="auto" w:line="240" w:before="0" w:after="80"/>
        <w:jc w:val="both"/>
        <w:rPr>
          <w:rFonts w:ascii="Arial" w:hAnsi="Arial" w:eastAsia="Arial" w:cs="Arial"/>
          <w:b w:val="false"/>
          <w:b w:val="false"/>
          <w:bCs w:val="false"/>
          <w:u w:val="none"/>
        </w:rPr>
      </w:pPr>
      <w:r>
        <w:rPr>
          <w:sz w:val="22"/>
          <w:szCs w:val="22"/>
        </w:rPr>
      </w:r>
    </w:p>
    <w:p>
      <w:pPr>
        <w:pStyle w:val="LOnormal"/>
        <w:spacing w:lineRule="auto" w:line="240" w:before="0" w:after="80"/>
        <w:ind w:left="0" w:right="0" w:hanging="0"/>
        <w:jc w:val="both"/>
        <w:rPr>
          <w:sz w:val="22"/>
          <w:szCs w:val="22"/>
        </w:rPr>
      </w:pPr>
      <w:r>
        <w:rPr>
          <w:rFonts w:eastAsia="Arial" w:cs="Arial" w:ascii="Arial" w:hAnsi="Arial"/>
          <w:b w:val="false"/>
          <w:bCs w:val="false"/>
          <w:sz w:val="22"/>
          <w:szCs w:val="22"/>
          <w:u w:val="none"/>
        </w:rPr>
        <w:t>Khatri, A. 2017. Popularity based product rating system using Bayesian model. University of Victoria, Victoria, Colúmbia Britânica, Canadá. Disponível em:</w:t>
      </w:r>
      <w:r>
        <w:rPr>
          <w:rFonts w:eastAsia="Arial" w:cs="Arial" w:ascii="Arial" w:hAnsi="Arial"/>
          <w:b w:val="false"/>
          <w:bCs w:val="false"/>
          <w:sz w:val="22"/>
          <w:szCs w:val="22"/>
          <w:u w:val="none"/>
        </w:rPr>
        <w:t>&lt;</w:t>
      </w:r>
      <w:hyperlink r:id="rId3">
        <w:r>
          <w:rPr>
            <w:rStyle w:val="Linkdainternetvisitado"/>
            <w:rFonts w:eastAsia="Arial" w:cs="Arial" w:ascii="Arial" w:hAnsi="Arial"/>
            <w:b w:val="false"/>
            <w:bCs w:val="false"/>
            <w:sz w:val="22"/>
            <w:szCs w:val="22"/>
            <w:u w:val="none"/>
          </w:rPr>
          <w:t>https://dspace.library.uvic.ca/server/api/core/bitstreams/c615f973-11b4-417c-b196-7b4d94bd55b8/content</w:t>
        </w:r>
      </w:hyperlink>
      <w:r>
        <w:rPr>
          <w:rFonts w:eastAsia="Arial" w:cs="Arial" w:ascii="Arial" w:hAnsi="Arial"/>
          <w:b w:val="false"/>
          <w:bCs w:val="false"/>
          <w:sz w:val="22"/>
          <w:szCs w:val="22"/>
          <w:u w:val="none"/>
        </w:rPr>
        <w:t>&gt;.</w:t>
      </w:r>
      <w:r>
        <w:rPr>
          <w:rFonts w:eastAsia="Arial" w:cs="Arial" w:ascii="Arial" w:hAnsi="Arial"/>
          <w:b w:val="false"/>
          <w:bCs w:val="false"/>
          <w:sz w:val="22"/>
          <w:szCs w:val="22"/>
          <w:u w:val="none"/>
        </w:rPr>
        <w:t xml:space="preserve">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sz w:val="22"/>
          <w:szCs w:val="22"/>
        </w:rPr>
      </w:r>
    </w:p>
    <w:p>
      <w:pPr>
        <w:pStyle w:val="LOnormal"/>
        <w:spacing w:lineRule="auto" w:line="240" w:before="0" w:after="80"/>
        <w:ind w:left="0" w:right="0" w:hanging="0"/>
        <w:jc w:val="both"/>
        <w:rPr>
          <w:sz w:val="22"/>
          <w:szCs w:val="22"/>
        </w:rPr>
      </w:pPr>
      <w:r>
        <w:rPr>
          <w:rFonts w:eastAsia="Arial" w:cs="Arial" w:ascii="Arial" w:hAnsi="Arial"/>
          <w:b w:val="false"/>
          <w:bCs w:val="false"/>
          <w:sz w:val="22"/>
          <w:szCs w:val="22"/>
          <w:u w:val="none"/>
        </w:rPr>
        <w:t>Rahumoto, F.; Kitasuka, T.; Aritsugi, M. 2012. Semantic Cosine Similarity. University of Seoul, Seul, Coreia do Sul. Disponível em: &lt;</w:t>
      </w:r>
      <w:hyperlink r:id="rId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sectPr>
      <w:headerReference w:type="default" r:id="rId5"/>
      <w:type w:val="nextPage"/>
      <w:pgSz w:w="11906" w:h="16838"/>
      <w:pgMar w:left="1418" w:right="1418" w:header="1417" w:top="2127" w:footer="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Arial">
    <w:altName w:val="sans-serif"/>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drawing>
        <wp:anchor behindDoc="1" distT="0" distB="0" distL="114300" distR="114300" simplePos="0" locked="0" layoutInCell="1" allowOverlap="1" relativeHeight="31">
          <wp:simplePos x="0" y="0"/>
          <wp:positionH relativeFrom="column">
            <wp:posOffset>5035550</wp:posOffset>
          </wp:positionH>
          <wp:positionV relativeFrom="paragraph">
            <wp:posOffset>-105410</wp:posOffset>
          </wp:positionV>
          <wp:extent cx="723900" cy="298450"/>
          <wp:effectExtent l="0" t="0" r="0" b="0"/>
          <wp:wrapSquare wrapText="bothSides"/>
          <wp:docPr id="1" name="image1.png"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mc:AlternateContent>
        <mc:Choice Requires="wps">
          <w:drawing>
            <wp:anchor behindDoc="1" distT="0" distB="0" distL="0" distR="0" simplePos="0" locked="0" layoutInCell="1" allowOverlap="1" relativeHeight="16">
              <wp:simplePos x="0" y="0"/>
              <wp:positionH relativeFrom="column">
                <wp:posOffset>12700</wp:posOffset>
              </wp:positionH>
              <wp:positionV relativeFrom="paragraph">
                <wp:posOffset>106680</wp:posOffset>
              </wp:positionV>
              <wp:extent cx="15875" cy="27940"/>
              <wp:effectExtent l="0" t="0" r="0" b="0"/>
              <wp:wrapNone/>
              <wp:docPr id="2" name="Figura1"/>
              <a:graphic xmlns:a="http://schemas.openxmlformats.org/drawingml/2006/main">
                <a:graphicData uri="http://schemas.microsoft.com/office/word/2010/wordprocessingShape">
                  <wps:wsp>
                    <wps:cNvSpPr/>
                    <wps:spPr>
                      <a:xfrm>
                        <a:off x="0" y="0"/>
                        <a:ext cx="15120" cy="27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settings.xml><?xml version="1.0" encoding="utf-8"?>
<w:settings xmlns:w="http://schemas.openxmlformats.org/wordprocessingml/2006/main">
  <w:zoom w:percent="14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right="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semanticscholar.org/815f/22363962afda432435cdbb478857547a17b5.pdf" TargetMode="External"/><Relationship Id="rId3" Type="http://schemas.openxmlformats.org/officeDocument/2006/relationships/hyperlink" Target="https://dspace.library.uvic.ca/server/api/core/bitstreams/c615f973-11b4-417c-b196-7b4d94bd55b8/content" TargetMode="External"/><Relationship Id="rId4" Type="http://schemas.openxmlformats.org/officeDocument/2006/relationships/hyperlink" Target="https://www.researchgate.net/profile/Faisal-Rahutomo/publication/262525676_Semantic_Cosine_Similarity/links/0a85e537ee3b675c1e000000/Semantic-Cosine-Similarity.pdf"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490</TotalTime>
  <Application>LibreOffice/6.3.4.2$Windows_X86_64 LibreOffice_project/60da17e045e08f1793c57c00ba83cdfce946d0aa</Application>
  <Pages>15</Pages>
  <Words>3871</Words>
  <Characters>21849</Characters>
  <CharactersWithSpaces>25290</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2024-03-15T22:10:06Z</dcterms:modified>
  <cp:revision>137</cp:revision>
  <dc:subject/>
  <dc:title/>
</cp:coreProperties>
</file>