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 xml:space="preserve">O objetivo principal deste trabalho consiste em analisar o desempenho em termos de custo de hardware e tempo de execução das principais abordagens de recomendação </w:t>
      </w:r>
      <w:bookmarkStart w:id="0" w:name="__DdeLink__1610_2380627572"/>
      <w:r>
        <w:rPr>
          <w:rFonts w:eastAsia="Arial" w:cs="Arial" w:ascii="Arial" w:hAnsi="Arial"/>
          <w:b w:val="false"/>
          <w:bCs w:val="false"/>
          <w:sz w:val="22"/>
          <w:szCs w:val="22"/>
          <w:u w:val="none"/>
        </w:rPr>
        <w:t>–</w:t>
      </w:r>
      <w:bookmarkEnd w:id="0"/>
      <w:r>
        <w:rPr>
          <w:rFonts w:eastAsia="Arial" w:cs="Arial" w:ascii="Arial" w:hAnsi="Arial"/>
          <w:b w:val="false"/>
          <w:bCs w:val="false"/>
          <w:sz w:val="22"/>
          <w:szCs w:val="22"/>
          <w:u w:val="none"/>
        </w:rPr>
        <w:t xml:space="preserve"> Filtragem Demográfica, Filtragem Baseada em Conteúdo via sinopse e metadados, Filtragem Colaborativa via similaridade de usuários e similaridade de itens, e Filtragem Híbrida –, </w:t>
      </w:r>
      <w:r>
        <w:rPr>
          <w:rFonts w:eastAsia="Arial" w:cs="Arial" w:ascii="Arial" w:hAnsi="Arial"/>
          <w:b w:val="false"/>
          <w:bCs w:val="false"/>
          <w:color w:val="auto"/>
          <w:kern w:val="0"/>
          <w:sz w:val="22"/>
          <w:szCs w:val="22"/>
          <w:u w:val="none"/>
          <w:lang w:val="pt-BR" w:eastAsia="zh-CN" w:bidi="hi-IN"/>
        </w:rPr>
        <w:t>enquanto o objetivo secundário consiste em</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comparar</w:t>
      </w:r>
      <w:r>
        <w:rPr>
          <w:rFonts w:eastAsia="Arial" w:cs="Arial" w:ascii="Arial" w:hAnsi="Arial"/>
          <w:b w:val="false"/>
          <w:bCs w:val="false"/>
          <w:sz w:val="22"/>
          <w:szCs w:val="22"/>
          <w:u w:val="none"/>
        </w:rPr>
        <w:t xml:space="preserve">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Os códigos foram desenvolvidos na versão 3.10.9 da linguagem de programação Python nos ambientes de desenvolvimento Jupyter Lab e Jupyter Notebook, ambos na versão 3.5.3. </w:t>
      </w:r>
      <w:r>
        <w:rPr>
          <w:rFonts w:eastAsia="Arial" w:cs="Arial" w:ascii="Arial" w:hAnsi="Arial"/>
          <w:b w:val="false"/>
          <w:bCs w:val="false"/>
          <w:color w:val="auto"/>
          <w:kern w:val="0"/>
          <w:sz w:val="22"/>
          <w:szCs w:val="22"/>
          <w:u w:val="none"/>
          <w:lang w:val="pt-BR" w:eastAsia="zh-CN" w:bidi="hi-IN"/>
        </w:rPr>
        <w:t>Destacam-se os modelos de</w:t>
      </w:r>
      <w:r>
        <w:rPr>
          <w:rFonts w:eastAsia="Arial" w:cs="Arial" w:ascii="Arial" w:hAnsi="Arial"/>
          <w:b w:val="false"/>
          <w:bCs w:val="false"/>
          <w:sz w:val="22"/>
          <w:szCs w:val="22"/>
          <w:u w:val="none"/>
        </w:rPr>
        <w:t xml:space="preserve"> Filtragem Colaborativa, </w:t>
      </w:r>
      <w:r>
        <w:rPr>
          <w:rFonts w:eastAsia="Arial" w:cs="Arial" w:ascii="Arial" w:hAnsi="Arial"/>
          <w:b w:val="false"/>
          <w:bCs w:val="false"/>
          <w:color w:val="auto"/>
          <w:kern w:val="0"/>
          <w:sz w:val="22"/>
          <w:szCs w:val="22"/>
          <w:u w:val="none"/>
          <w:lang w:val="pt-BR" w:eastAsia="zh-CN" w:bidi="hi-IN"/>
        </w:rPr>
        <w:t>para</w:t>
      </w:r>
      <w:r>
        <w:rPr>
          <w:rFonts w:eastAsia="Arial" w:cs="Arial" w:ascii="Arial" w:hAnsi="Arial"/>
          <w:b w:val="false"/>
          <w:bCs w:val="false"/>
          <w:sz w:val="22"/>
          <w:szCs w:val="22"/>
          <w:u w:val="none"/>
        </w:rPr>
        <w:t xml:space="preserve"> os quais foi empregado o pacote Surprise, </w:t>
      </w:r>
      <w:r>
        <w:rPr>
          <w:rFonts w:eastAsia="Arial" w:cs="Arial" w:ascii="Arial" w:hAnsi="Arial"/>
          <w:b w:val="false"/>
          <w:bCs w:val="false"/>
          <w:color w:val="auto"/>
          <w:kern w:val="0"/>
          <w:sz w:val="22"/>
          <w:szCs w:val="22"/>
          <w:u w:val="none"/>
          <w:lang w:val="pt-BR" w:eastAsia="zh-CN" w:bidi="hi-IN"/>
        </w:rPr>
        <w:t>exigindo</w:t>
      </w:r>
      <w:r>
        <w:rPr>
          <w:rFonts w:eastAsia="Arial" w:cs="Arial" w:ascii="Arial" w:hAnsi="Arial"/>
          <w:b w:val="false"/>
          <w:bCs w:val="false"/>
          <w:sz w:val="22"/>
          <w:szCs w:val="22"/>
          <w:u w:val="none"/>
        </w:rPr>
        <w:t xml:space="preserve"> a ferramenta Microsoft C++ Built Tools versão 14 para Windows. Além do mais,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rPr>
        <w:t xml:space="preserve">acotes do Python foram aplicados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rPr>
        <w:t>listadas na Tabela 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rFonts w:ascii="Arial" w:hAnsi="Arial"/>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w:t>
      </w:r>
      <w:r>
        <w:rPr>
          <w:rFonts w:eastAsia="Arial" w:cs="Arial" w:ascii="Arial" w:hAnsi="Arial"/>
          <w:b w:val="false"/>
          <w:bCs w:val="false"/>
          <w:sz w:val="22"/>
          <w:szCs w:val="22"/>
          <w:u w:val="none"/>
        </w:rPr>
        <w:t>do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Foram exportadas três bases </w:t>
      </w:r>
      <w:r>
        <w:rPr>
          <w:rFonts w:eastAsia="Arial" w:cs="Arial" w:ascii="Arial" w:hAnsi="Arial"/>
          <w:b w:val="false"/>
          <w:bCs w:val="false"/>
          <w:sz w:val="22"/>
          <w:szCs w:val="22"/>
          <w:u w:val="none"/>
        </w:rPr>
        <w:t>de dados</w:t>
      </w:r>
      <w:r>
        <w:rPr>
          <w:rFonts w:eastAsia="Arial" w:cs="Arial" w:ascii="Arial" w:hAnsi="Arial"/>
          <w:b w:val="false"/>
          <w:bCs w:val="false"/>
          <w:sz w:val="22"/>
          <w:szCs w:val="22"/>
          <w:u w:val="none"/>
        </w:rPr>
        <w:t xml:space="preserve"> em formato “Comma-Separated Values [CSV]”, </w:t>
      </w:r>
      <w:r>
        <w:rPr>
          <w:rFonts w:eastAsia="Arial" w:cs="Arial" w:ascii="Arial" w:hAnsi="Arial"/>
          <w:b w:val="false"/>
          <w:bCs w:val="false"/>
          <w:sz w:val="22"/>
          <w:szCs w:val="22"/>
          <w:u w:val="none"/>
        </w:rPr>
        <w:t>no qual a</w:t>
      </w:r>
      <w:r>
        <w:rPr>
          <w:rFonts w:eastAsia="Arial" w:cs="Arial" w:ascii="Arial" w:hAnsi="Arial"/>
          <w:b w:val="false"/>
          <w:bCs w:val="false"/>
          <w:sz w:val="22"/>
          <w:szCs w:val="22"/>
          <w:u w:val="none"/>
        </w:rPr>
        <w:t xml:space="preserve"> primeira contém informações sobre os animes disponíveis, com 24 variáveis e 24.905 observações. A segunda </w:t>
      </w:r>
      <w:r>
        <w:rPr>
          <w:rFonts w:eastAsia="Arial" w:cs="Arial" w:ascii="Arial" w:hAnsi="Arial"/>
          <w:b w:val="false"/>
          <w:bCs w:val="false"/>
          <w:sz w:val="22"/>
          <w:szCs w:val="22"/>
          <w:u w:val="none"/>
        </w:rPr>
        <w:t>contém</w:t>
      </w:r>
      <w:r>
        <w:rPr>
          <w:rFonts w:eastAsia="Arial" w:cs="Arial" w:ascii="Arial" w:hAnsi="Arial"/>
          <w:b w:val="false"/>
          <w:bCs w:val="false"/>
          <w:sz w:val="22"/>
          <w:szCs w:val="22"/>
          <w:u w:val="none"/>
        </w:rPr>
        <w:t xml:space="preserve"> informações sobre os usuários disponíveis, com 16 variáveis e 731.290 observações. E a terceira </w:t>
      </w:r>
      <w:r>
        <w:rPr>
          <w:rFonts w:eastAsia="Arial" w:cs="Arial" w:ascii="Arial" w:hAnsi="Arial"/>
          <w:b w:val="false"/>
          <w:bCs w:val="false"/>
          <w:sz w:val="22"/>
          <w:szCs w:val="22"/>
          <w:u w:val="none"/>
        </w:rPr>
        <w:t>é constituída</w:t>
      </w: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pel</w:t>
      </w:r>
      <w:r>
        <w:rPr>
          <w:rFonts w:eastAsia="Arial" w:cs="Arial" w:ascii="Arial" w:hAnsi="Arial"/>
          <w:b w:val="false"/>
          <w:bCs w:val="false"/>
          <w:sz w:val="22"/>
          <w:szCs w:val="22"/>
          <w:u w:val="none"/>
        </w:rPr>
        <w:t>as avaliações dos usuários sobre os animes assistidos, com cinco variáveis e 24.325.191 observações.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e entender o que cada variável representa, resultando nos dicionários de variáveis abaixo representados pela Tabela 2, Tabela 3 e Tabela 4.</w:t>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2</w:t>
      </w:r>
      <w:r>
        <w:rPr>
          <w:sz w:val="22"/>
          <w:i w:val="false"/>
          <w:szCs w:val="22"/>
          <w:iCs w:val="false"/>
          <w:rFonts w:ascii="Arial" w:hAnsi="Arial"/>
        </w:rPr>
        <w:fldChar w:fldCharType="end"/>
      </w:r>
      <w:r>
        <w:rPr>
          <w:rFonts w:ascii="Arial" w:hAnsi="Arial"/>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Cowboy </w:t>
            </w:r>
            <w:r>
              <w:rPr>
                <w:rFonts w:ascii="Arial" w:hAnsi="Arial"/>
                <w:b w:val="false"/>
                <w:bCs w:val="false"/>
                <w:i w:val="false"/>
                <w:iCs w:val="false"/>
                <w:strike w:val="false"/>
                <w:dstrike w:val="false"/>
                <w:outline w:val="false"/>
                <w:shadow w:val="false"/>
                <w:color w:val="000000"/>
                <w:sz w:val="22"/>
                <w:szCs w:val="22"/>
                <w:u w:val="none"/>
              </w:rPr>
              <w:t>B</w:t>
            </w:r>
            <w:r>
              <w:rPr>
                <w:rFonts w:ascii="Arial" w:hAnsi="Arial"/>
                <w:b w:val="false"/>
                <w:bCs w:val="false"/>
                <w:i w:val="false"/>
                <w:iCs w:val="false"/>
                <w:strike w:val="false"/>
                <w:dstrike w:val="false"/>
                <w:outline w:val="false"/>
                <w:shadow w:val="false"/>
                <w:color w:val="000000"/>
                <w:sz w:val="22"/>
                <w:szCs w:val="22"/>
                <w:u w:val="none"/>
              </w:rPr>
              <w:t>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eastAsia="Arial"/>
                <w:b w:val="false"/>
                <w:b w:val="false"/>
                <w:bCs w:val="false"/>
                <w:i w:val="false"/>
                <w:i w:val="false"/>
                <w:iCs w:val="false"/>
                <w:strike w:val="false"/>
                <w:dstrike w:val="false"/>
                <w:outline w:val="false"/>
                <w:shadow w:val="false"/>
                <w:color w:val="000000"/>
                <w:sz w:val="22"/>
                <w:szCs w:val="22"/>
                <w:u w:val="none"/>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incluíram</w:t>
            </w:r>
            <w:r>
              <w:rPr>
                <w:rFonts w:ascii="Arial" w:hAnsi="Arial"/>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r>
        <w:rPr>
          <w:rFonts w:ascii="Arial" w:hAnsi="Arial"/>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Média</w:t>
            </w:r>
            <w:r>
              <w:rPr>
                <w:rFonts w:ascii="Arial" w:hAnsi="Arial"/>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8.458,0</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r>
        <w:rPr>
          <w:rFonts w:ascii="Arial" w:hAnsi="Arial"/>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ascii="Arial" w:hAnsi="Arial"/>
          <w:i w:val="false"/>
          <w:iCs w:val="false"/>
          <w:sz w:val="22"/>
          <w:szCs w:val="22"/>
        </w:rPr>
        <w:t>Fonte: Dados originais da pesquisa</w:t>
      </w:r>
    </w:p>
    <w:p>
      <w:pPr>
        <w:pStyle w:val="Legenda"/>
        <w:jc w:val="both"/>
        <w:rPr>
          <w:rFonts w:ascii="Arial" w:hAnsi="Arial"/>
          <w:i w:val="false"/>
          <w:i w:val="false"/>
          <w:iCs w:val="false"/>
          <w:sz w:val="22"/>
          <w:szCs w:val="22"/>
        </w:rPr>
      </w:pPr>
      <w: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Limpeza</w:t>
      </w:r>
      <w:r>
        <w:rPr>
          <w:rFonts w:eastAsia="Arial" w:cs="Arial" w:ascii="Arial" w:hAnsi="Arial"/>
          <w:b/>
          <w:bCs/>
          <w:sz w:val="22"/>
          <w:szCs w:val="22"/>
          <w:u w:val="none"/>
        </w:rPr>
        <w:t>s</w:t>
      </w:r>
      <w:r>
        <w:rPr>
          <w:rFonts w:eastAsia="Arial" w:cs="Arial" w:ascii="Arial" w:hAnsi="Arial"/>
          <w:b/>
          <w:bCs/>
          <w:sz w:val="22"/>
          <w:szCs w:val="22"/>
          <w:u w:val="none"/>
        </w:rPr>
        <w:t xml:space="preserve"> e Transformaç</w:t>
      </w:r>
      <w:r>
        <w:rPr>
          <w:rFonts w:eastAsia="Arial" w:cs="Arial" w:ascii="Arial" w:hAnsi="Arial"/>
          <w:b/>
          <w:bCs/>
          <w:sz w:val="22"/>
          <w:szCs w:val="22"/>
          <w:u w:val="none"/>
        </w:rPr>
        <w:t>ões</w:t>
      </w:r>
      <w:r>
        <w:rPr>
          <w:rFonts w:eastAsia="Arial" w:cs="Arial" w:ascii="Arial" w:hAnsi="Arial"/>
          <w:b/>
          <w:bCs/>
          <w:sz w:val="22"/>
          <w:szCs w:val="22"/>
          <w:u w:val="none"/>
        </w:rPr>
        <w:t xml:space="preserve">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w:t>
      </w:r>
      <w:r>
        <w:rPr>
          <w:rFonts w:eastAsia="Arial" w:cs="Arial" w:ascii="Arial" w:hAnsi="Arial"/>
          <w:b w:val="false"/>
          <w:bCs w:val="false"/>
          <w:sz w:val="22"/>
          <w:szCs w:val="22"/>
          <w:u w:val="none"/>
        </w:rPr>
        <w:t xml:space="preserve">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5</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5</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O processo de preparação dos dados, treinamento e validação de cada modelo foram descritos nas subseções </w:t>
      </w:r>
      <w:r>
        <w:rPr>
          <w:rFonts w:eastAsia="Arial" w:cs="Arial" w:ascii="Arial" w:hAnsi="Arial"/>
          <w:b w:val="false"/>
          <w:bCs w:val="false"/>
          <w:sz w:val="22"/>
          <w:szCs w:val="22"/>
          <w:u w:val="none"/>
        </w:rPr>
        <w:t>Filtragem Demográfica, Filtragem Baseada em Conteúdo, Filtragem Colaborativa e Filtragem Híbrida</w:t>
      </w:r>
      <w:r>
        <w:rPr>
          <w:rFonts w:eastAsia="Arial" w:cs="Arial" w:ascii="Arial" w:hAnsi="Arial"/>
          <w:b w:val="false"/>
          <w:bCs w:val="false"/>
          <w:sz w:val="22"/>
          <w:szCs w:val="22"/>
          <w:u w:val="none"/>
        </w:rPr>
        <w:t>.</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v</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Posteriormente, foi realizado o treinamento do modelo com a técnica K-Vizinhos Mais Próximos com Médias e a validação com a Validação Cruzada. Os cálculos das distâncias dos pontos foram feitos aplicando a fórmula da Distância Euclidiana (3) (Chomboom et al., 2015).</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sSup>
                <m:e>
                  <m:r>
                    <w:rPr>
                      <w:rFonts w:ascii="Cambria Math" w:hAnsi="Cambria Math"/>
                    </w:rPr>
                    <m:t xml:space="preserve">dst</m:t>
                  </m:r>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s</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t</m:t>
                      </m:r>
                    </m:sub>
                    <m:sup>
                      <m:r>
                        <w:rPr>
                          <w:rFonts w:ascii="Cambria Math" w:hAnsi="Cambria Math"/>
                        </w:rPr>
                        <m:t xml:space="preserve">'</m:t>
                      </m:r>
                    </m:sup>
                  </m:sSubSup>
                </m:e>
              </m: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s</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x</w:t>
      </w:r>
      <w:r>
        <w:rPr>
          <w:rFonts w:eastAsia="Arial" w:cs="Arial" w:ascii="Arial" w:hAnsi="Arial"/>
          <w:b w:val="false"/>
          <w:bCs w:val="false"/>
          <w:sz w:val="22"/>
          <w:szCs w:val="22"/>
          <w:u w:val="none"/>
          <w:vertAlign w:val="subscript"/>
        </w:rPr>
        <w:t>s</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função de recomendação, </w:t>
      </w:r>
      <w:r>
        <w:rPr>
          <w:rFonts w:eastAsia="Arial" w:cs="Arial" w:ascii="Arial" w:hAnsi="Arial"/>
          <w:b w:val="false"/>
          <w:bCs w:val="false"/>
          <w:sz w:val="22"/>
          <w:szCs w:val="22"/>
          <w:u w:val="none"/>
        </w:rPr>
        <w:t xml:space="preserve">além de </w:t>
      </w:r>
      <w:r>
        <w:rPr>
          <w:rFonts w:eastAsia="Arial" w:cs="Arial" w:ascii="Arial" w:hAnsi="Arial"/>
          <w:b w:val="false"/>
          <w:bCs w:val="false"/>
          <w:color w:val="auto"/>
          <w:kern w:val="0"/>
          <w:sz w:val="22"/>
          <w:szCs w:val="22"/>
          <w:u w:val="none"/>
          <w:lang w:val="pt-BR" w:eastAsia="zh-CN" w:bidi="hi-IN"/>
        </w:rPr>
        <w:t xml:space="preserve">converter </w:t>
      </w:r>
      <w:r>
        <w:rPr>
          <w:rFonts w:eastAsia="Arial" w:cs="Arial" w:ascii="Arial" w:hAnsi="Arial"/>
          <w:b w:val="false"/>
          <w:bCs w:val="false"/>
          <w:sz w:val="22"/>
          <w:szCs w:val="22"/>
          <w:u w:val="none"/>
        </w:rPr>
        <w:t>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Apenas um modelo (modelo G) foi criado utilizando a metodologia de Filtragem Híbrida. Nele, as variáveis “username” e “anime_title” foram descartadas e a base de dados foi reduzida significativamente para 250 mil amostras pelo mesmo motivo </w:t>
      </w:r>
      <w:r>
        <w:rPr>
          <w:rFonts w:eastAsia="Arial" w:cs="Arial" w:ascii="Arial" w:hAnsi="Arial"/>
          <w:b w:val="false"/>
          <w:bCs w:val="false"/>
          <w:color w:val="auto"/>
          <w:kern w:val="0"/>
          <w:sz w:val="22"/>
          <w:szCs w:val="22"/>
          <w:u w:val="none"/>
          <w:lang w:val="pt-BR" w:eastAsia="zh-CN" w:bidi="hi-IN"/>
        </w:rPr>
        <w:t>descrito na seção de</w:t>
      </w:r>
      <w:r>
        <w:rPr>
          <w:rFonts w:eastAsia="Arial" w:cs="Arial" w:ascii="Arial" w:hAnsi="Arial"/>
          <w:b w:val="false"/>
          <w:bCs w:val="false"/>
          <w:sz w:val="22"/>
          <w:szCs w:val="22"/>
          <w:u w:val="none"/>
        </w:rPr>
        <w:t xml:space="preserv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função de recomendação, </w:t>
      </w:r>
      <w:r>
        <w:rPr>
          <w:rFonts w:eastAsia="Arial" w:cs="Arial" w:ascii="Arial" w:hAnsi="Arial"/>
          <w:b w:val="false"/>
          <w:bCs w:val="false"/>
          <w:color w:val="auto"/>
          <w:kern w:val="0"/>
          <w:sz w:val="22"/>
          <w:szCs w:val="22"/>
          <w:u w:val="none"/>
          <w:lang w:val="pt-BR" w:eastAsia="zh-CN" w:bidi="hi-IN"/>
        </w:rPr>
        <w:t>além de converter</w:t>
      </w:r>
      <w:r>
        <w:rPr>
          <w:rFonts w:eastAsia="Arial" w:cs="Arial" w:ascii="Arial" w:hAnsi="Arial"/>
          <w:b w:val="false"/>
          <w:bCs w:val="false"/>
          <w:sz w:val="22"/>
          <w:szCs w:val="22"/>
          <w:u w:val="none"/>
        </w:rPr>
        <w:t xml:space="preserve">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604"/>
        <w:gridCol w:w="601"/>
        <w:gridCol w:w="603"/>
        <w:gridCol w:w="601"/>
        <w:gridCol w:w="583"/>
        <w:gridCol w:w="614"/>
        <w:gridCol w:w="518"/>
        <w:gridCol w:w="571"/>
        <w:gridCol w:w="542"/>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2</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3</w:t>
            </w:r>
          </w:p>
        </w:tc>
        <w:tc>
          <w:tcPr>
            <w:tcW w:w="6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4</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7</w:t>
            </w:r>
          </w:p>
        </w:tc>
        <w:tc>
          <w:tcPr>
            <w:tcW w:w="5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8</w:t>
            </w:r>
          </w:p>
        </w:tc>
        <w:tc>
          <w:tcPr>
            <w:tcW w:w="57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9</w:t>
            </w:r>
          </w:p>
        </w:tc>
        <w:tc>
          <w:tcPr>
            <w:tcW w:w="54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4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Chomboon, K.; Chujai, P.; Teerarassamee, P.; Kerdprasop, K.; Kerdprasop, N. 2015. An Empirical Study of Distance Metrics for k-Nearest Neighbor Algorithm. Institute of Industrial Applications Engineers, Kitakyushu, Fukuoka, Japão. Disponível em: &lt;</w:t>
      </w:r>
      <w:hyperlink r:id="rId2">
        <w:r>
          <w:rPr>
            <w:rStyle w:val="Linkdainternetvisitado"/>
            <w:rFonts w:eastAsia="Arial" w:cs="Arial" w:ascii="Arial" w:hAnsi="Arial"/>
            <w:b w:val="false"/>
            <w:bCs w:val="false"/>
            <w:sz w:val="22"/>
            <w:szCs w:val="22"/>
            <w:u w:val="none"/>
          </w:rPr>
          <w:t>https://pdfs.semanticscholar.org/815f/22363962afda432435cdbb478857547a17b5.pdf</w:t>
        </w:r>
      </w:hyperlink>
      <w:r>
        <w:rPr>
          <w:rFonts w:eastAsia="Arial" w:cs="Arial" w:ascii="Arial" w:hAnsi="Arial"/>
          <w:b w:val="false"/>
          <w:bCs w:val="false"/>
          <w:sz w:val="22"/>
          <w:szCs w:val="22"/>
          <w:u w:val="none"/>
        </w:rPr>
        <w:t>&gt;. Acesso em: 15 mar. 2024.</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University of Victoria, Victoria, Colúmbia Britânica, Canadá. Disponível em:&lt;</w:t>
      </w:r>
      <w:hyperlink r:id="rId3">
        <w:r>
          <w:rPr>
            <w:rStyle w:val="Linkdainternetvisitado"/>
            <w:rFonts w:eastAsia="Arial" w:cs="Arial" w:ascii="Arial" w:hAnsi="Arial"/>
            <w:b w:val="false"/>
            <w:bCs w:val="false"/>
            <w:sz w:val="22"/>
            <w:szCs w:val="22"/>
            <w:u w:val="none"/>
          </w:rPr>
          <w:t>https://dspace.library.uvic.ca/server/api/core/bitstreams/c615f973-11b4-417c-b196-7b4d94bd55b8/content</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Rahumoto, F.; Kitasuka, T.; Aritsugi, M. 2012. Semantic Cosine Similarity. University of Seoul, Seul, Coreia do Sul. Disponível em: &lt;</w:t>
      </w:r>
      <w:hyperlink r:id="rId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sectPr>
      <w:headerReference w:type="default" r:id="rId5"/>
      <w:type w:val="nextPage"/>
      <w:pgSz w:w="11906" w:h="16838"/>
      <w:pgMar w:left="1418" w:right="1418" w:header="1417" w:top="2127" w:footer="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Arial">
    <w:altName w:val="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drawing>
        <wp:anchor behindDoc="1" distT="0" distB="0" distL="114300" distR="114300" simplePos="0" locked="0" layoutInCell="1" allowOverlap="1" relativeHeight="31">
          <wp:simplePos x="0" y="0"/>
          <wp:positionH relativeFrom="column">
            <wp:posOffset>5035550</wp:posOffset>
          </wp:positionH>
          <wp:positionV relativeFrom="paragraph">
            <wp:posOffset>-105410</wp:posOffset>
          </wp:positionV>
          <wp:extent cx="723900" cy="298450"/>
          <wp:effectExtent l="0" t="0" r="0" b="0"/>
          <wp:wrapSquare wrapText="bothSides"/>
          <wp:docPr id="1" name="image1.png"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mc:AlternateContent>
        <mc:Choice Requires="wps">
          <w:drawing>
            <wp:anchor behindDoc="1" distT="0" distB="0" distL="0" distR="0" simplePos="0" locked="0" layoutInCell="1" allowOverlap="1" relativeHeight="16">
              <wp:simplePos x="0" y="0"/>
              <wp:positionH relativeFrom="column">
                <wp:posOffset>12700</wp:posOffset>
              </wp:positionH>
              <wp:positionV relativeFrom="paragraph">
                <wp:posOffset>106680</wp:posOffset>
              </wp:positionV>
              <wp:extent cx="17780" cy="29845"/>
              <wp:effectExtent l="0" t="0" r="0" b="0"/>
              <wp:wrapNone/>
              <wp:docPr id="2" name="Figura1"/>
              <a:graphic xmlns:a="http://schemas.openxmlformats.org/drawingml/2006/main">
                <a:graphicData uri="http://schemas.microsoft.com/office/word/2010/wordprocessingShape">
                  <wps:wsp>
                    <wps:cNvSpPr/>
                    <wps:spPr>
                      <a:xfrm>
                        <a:off x="0" y="0"/>
                        <a:ext cx="17280" cy="291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semanticscholar.org/815f/22363962afda432435cdbb478857547a17b5.pdf" TargetMode="External"/><Relationship Id="rId3" Type="http://schemas.openxmlformats.org/officeDocument/2006/relationships/hyperlink" Target="https://dspace.library.uvic.ca/server/api/core/bitstreams/c615f973-11b4-417c-b196-7b4d94bd55b8/content" TargetMode="External"/><Relationship Id="rId4"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526</TotalTime>
  <Application>LibreOffice/6.3.4.2$Windows_X86_64 LibreOffice_project/60da17e045e08f1793c57c00ba83cdfce946d0aa</Application>
  <Pages>15</Pages>
  <Words>3816</Words>
  <Characters>21563</Characters>
  <CharactersWithSpaces>24952</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2024-03-16T21:13:34Z</dcterms:modified>
  <cp:revision>147</cp:revision>
  <dc:subject/>
  <dc:title/>
</cp:coreProperties>
</file>