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240"/>
        <w:ind w:left="720" w:hanging="0"/>
        <w:rPr/>
      </w:pPr>
      <w:r>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 xml:space="preserve">Portanto, o presente trabalho foi desenvolvido </w:t>
      </w:r>
      <w:r>
        <w:rPr>
          <w:rFonts w:eastAsia="Arial" w:cs="Arial" w:ascii="Arial" w:hAnsi="Arial"/>
          <w:b w:val="false"/>
          <w:bCs w:val="false"/>
          <w:color w:val="auto"/>
          <w:kern w:val="0"/>
          <w:sz w:val="22"/>
          <w:szCs w:val="22"/>
          <w:u w:val="none"/>
          <w:lang w:val="pt-BR" w:eastAsia="zh-CN" w:bidi="hi-IN"/>
        </w:rPr>
        <w:t>com o objetivo</w:t>
      </w:r>
      <w:r>
        <w:rPr>
          <w:rFonts w:eastAsia="Arial" w:cs="Arial" w:ascii="Arial" w:hAnsi="Arial"/>
          <w:b w:val="false"/>
          <w:bCs w:val="false"/>
          <w:sz w:val="22"/>
          <w:szCs w:val="22"/>
          <w:u w:val="none"/>
        </w:rPr>
        <w:t xml:space="preserve"> de analisar o desempenho, em termos de custo de hardware e tempo de execução, das principais abordagens de recomendação descritas anteriormente, a fim de pontuar os prós e contras de cada uma. </w:t>
      </w:r>
      <w:r>
        <w:rPr>
          <w:rFonts w:eastAsia="Arial" w:cs="Arial" w:ascii="Arial" w:hAnsi="Arial"/>
          <w:b w:val="false"/>
          <w:bCs w:val="false"/>
          <w:color w:val="auto"/>
          <w:kern w:val="0"/>
          <w:sz w:val="22"/>
          <w:szCs w:val="22"/>
          <w:u w:val="none"/>
          <w:lang w:val="pt-BR" w:eastAsia="zh-CN" w:bidi="hi-IN"/>
        </w:rPr>
        <w:t>C</w:t>
      </w:r>
      <w:r>
        <w:rPr>
          <w:rFonts w:eastAsia="Arial" w:cs="Arial" w:ascii="Arial" w:hAnsi="Arial"/>
          <w:b w:val="false"/>
          <w:bCs w:val="false"/>
          <w:sz w:val="22"/>
          <w:szCs w:val="22"/>
          <w:u w:val="none"/>
        </w:rPr>
        <w:t xml:space="preserve">omo objetivo secundário, </w:t>
      </w:r>
      <w:r>
        <w:rPr>
          <w:rFonts w:eastAsia="Arial" w:cs="Arial" w:ascii="Arial" w:hAnsi="Arial"/>
          <w:b w:val="false"/>
          <w:bCs w:val="false"/>
          <w:sz w:val="22"/>
          <w:szCs w:val="22"/>
          <w:u w:val="none"/>
        </w:rPr>
        <w:t xml:space="preserve">buscou-se </w:t>
      </w:r>
      <w:r>
        <w:rPr>
          <w:rFonts w:eastAsia="Arial" w:cs="Arial" w:ascii="Arial" w:hAnsi="Arial"/>
          <w:b w:val="false"/>
          <w:bCs w:val="false"/>
          <w:sz w:val="22"/>
          <w:szCs w:val="22"/>
          <w:u w:val="none"/>
        </w:rPr>
        <w:t>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24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hanging="0"/>
        <w:jc w:val="both"/>
        <w:rPr/>
      </w:pPr>
      <w:r>
        <w:rPr>
          <w:b/>
        </w:rPr>
        <w:tab/>
      </w:r>
      <w:r>
        <w:rPr>
          <w:b w:val="false"/>
          <w:bCs w:val="false"/>
        </w:rPr>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consumo de processamento 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i w:val="false"/>
          <w:i w:val="false"/>
          <w:iCs w:val="false"/>
          <w:sz w:val="22"/>
          <w:szCs w:val="22"/>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0245" cy="3328035"/>
                <wp:effectExtent l="0" t="0" r="0" b="0"/>
                <wp:wrapSquare wrapText="largest"/>
                <wp:docPr id="3" name="Quadro1"/>
                <a:graphic xmlns:a="http://schemas.openxmlformats.org/drawingml/2006/main">
                  <a:graphicData uri="http://schemas.microsoft.com/office/word/2010/wordprocessingShape">
                    <wps:wsp>
                      <wps:cNvSpPr/>
                      <wps:spPr>
                        <a:xfrm>
                          <a:off x="0" y="0"/>
                          <a:ext cx="5769720" cy="33274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4pt;margin-top:0.05pt;width:454.25pt;height:261.9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68975" cy="3326765"/>
                <wp:effectExtent l="0" t="0" r="0" b="0"/>
                <wp:wrapSquare wrapText="largest"/>
                <wp:docPr id="7" name="Quadro3"/>
                <a:graphic xmlns:a="http://schemas.openxmlformats.org/drawingml/2006/main">
                  <a:graphicData uri="http://schemas.microsoft.com/office/word/2010/wordprocessingShape">
                    <wps:wsp>
                      <wps:cNvSpPr/>
                      <wps:spPr>
                        <a:xfrm>
                          <a:off x="0" y="0"/>
                          <a:ext cx="5768280" cy="33260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35pt;margin-top:0.05pt;width:454.15pt;height:261.8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7070" cy="3324860"/>
                <wp:effectExtent l="0" t="0" r="0" b="0"/>
                <wp:wrapSquare wrapText="largest"/>
                <wp:docPr id="11" name="Quadro3"/>
                <a:graphic xmlns:a="http://schemas.openxmlformats.org/drawingml/2006/main">
                  <a:graphicData uri="http://schemas.microsoft.com/office/word/2010/wordprocessingShape">
                    <wps:wsp>
                      <wps:cNvSpPr/>
                      <wps:spPr>
                        <a:xfrm>
                          <a:off x="0" y="0"/>
                          <a:ext cx="5766480" cy="33242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3pt;margin-top:0.05pt;width:454pt;height:261.7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66435" cy="3324225"/>
                <wp:effectExtent l="0" t="0" r="0" b="0"/>
                <wp:wrapSquare wrapText="largest"/>
                <wp:docPr id="15" name="Quadro4"/>
                <a:graphic xmlns:a="http://schemas.openxmlformats.org/drawingml/2006/main">
                  <a:graphicData uri="http://schemas.microsoft.com/office/word/2010/wordprocessingShape">
                    <wps:wsp>
                      <wps:cNvSpPr/>
                      <wps:spPr>
                        <a:xfrm>
                          <a:off x="0" y="0"/>
                          <a:ext cx="5765760" cy="3323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25pt;margin-top:0.05pt;width:453.95pt;height:261.6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66435" cy="3324225"/>
                <wp:effectExtent l="0" t="0" r="0" b="0"/>
                <wp:wrapSquare wrapText="largest"/>
                <wp:docPr id="19" name="Quadro5"/>
                <a:graphic xmlns:a="http://schemas.openxmlformats.org/drawingml/2006/main">
                  <a:graphicData uri="http://schemas.microsoft.com/office/word/2010/wordprocessingShape">
                    <wps:wsp>
                      <wps:cNvSpPr/>
                      <wps:spPr>
                        <a:xfrm>
                          <a:off x="0" y="0"/>
                          <a:ext cx="5765760" cy="3323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25pt;margin-top:0.05pt;width:453.95pt;height:261.6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5763895" cy="3321685"/>
                <wp:effectExtent l="0" t="0" r="0" b="0"/>
                <wp:wrapSquare wrapText="largest"/>
                <wp:docPr id="23" name="Quadro6"/>
                <a:graphic xmlns:a="http://schemas.openxmlformats.org/drawingml/2006/main">
                  <a:graphicData uri="http://schemas.microsoft.com/office/word/2010/wordprocessingShape">
                    <wps:wsp>
                      <wps:cNvSpPr/>
                      <wps:spPr>
                        <a:xfrm>
                          <a:off x="0" y="0"/>
                          <a:ext cx="5763240" cy="33210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15pt;margin-top:0.05pt;width:453.75pt;height:261.4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 xml:space="preserve">Em linhas gerais, verificou-se que a complexidade dos algoritmos e a acurácia das recomendações são correlacionados com o maior consumo de hardware e tempo de execução. Também </w:t>
      </w:r>
      <w:r>
        <w:rPr>
          <w:rFonts w:eastAsia="Arial" w:cs="Arial"/>
          <w:b w:val="false"/>
          <w:bCs w:val="false"/>
          <w:color w:val="auto"/>
          <w:kern w:val="0"/>
          <w:sz w:val="22"/>
          <w:szCs w:val="22"/>
          <w:u w:val="none"/>
          <w:lang w:val="pt-BR" w:eastAsia="zh-CN" w:bidi="hi-IN"/>
        </w:rPr>
        <w:t>foi observado que</w:t>
      </w:r>
      <w:r>
        <w:rPr>
          <w:rFonts w:eastAsia="Arial" w:cs="Arial"/>
          <w:b w:val="false"/>
          <w:bCs w:val="false"/>
          <w:color w:val="auto"/>
          <w:kern w:val="0"/>
          <w:sz w:val="22"/>
          <w:szCs w:val="22"/>
          <w:u w:val="none"/>
          <w:lang w:val="pt-BR" w:eastAsia="zh-CN" w:bidi="hi-IN"/>
        </w:rPr>
        <w:t xml:space="preserve"> quanto maior a acurácia das recomendações desejadas, maior a variedade de dados dos usuários e dos itens r</w:t>
      </w:r>
      <w:r>
        <w:rPr>
          <w:rFonts w:eastAsia="Arial" w:cs="Arial"/>
          <w:b w:val="false"/>
          <w:bCs w:val="false"/>
          <w:color w:val="auto"/>
          <w:kern w:val="0"/>
          <w:sz w:val="22"/>
          <w:szCs w:val="22"/>
          <w:u w:val="none"/>
          <w:lang w:val="pt-BR" w:eastAsia="zh-CN" w:bidi="hi-IN"/>
        </w:rPr>
        <w:t>equerida</w:t>
      </w:r>
      <w:r>
        <w:rPr>
          <w:rFonts w:eastAsia="Arial" w:cs="Arial"/>
          <w:b w:val="false"/>
          <w:bCs w:val="false"/>
          <w:color w:val="auto"/>
          <w:kern w:val="0"/>
          <w:sz w:val="22"/>
          <w:szCs w:val="22"/>
          <w:u w:val="none"/>
          <w:lang w:val="pt-BR" w:eastAsia="zh-CN" w:bidi="hi-IN"/>
        </w:rPr>
        <w:t xml:space="preserve"> e, consequentemente, as recomendações tornam-se personalizadas e mais próximas aos gostos individuais dos usuários.</w:t>
      </w:r>
    </w:p>
    <w:p>
      <w:pPr>
        <w:pStyle w:val="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 xml:space="preserve">Em trabalhos futuros, base de dados de diferentes plataformas poderiam ser adicionadas para expandir o contexto dos modelos, além de acrescentar modelos de recomendação utilizando Aprendizado de Máquina Profunda, como </w:t>
      </w:r>
      <w:r>
        <w:rPr>
          <w:rFonts w:eastAsia="Arial" w:cs="Arial"/>
          <w:b w:val="false"/>
          <w:bCs w:val="false"/>
          <w:color w:val="auto"/>
          <w:kern w:val="0"/>
          <w:sz w:val="22"/>
          <w:szCs w:val="22"/>
          <w:u w:val="none"/>
          <w:lang w:val="pt-BR" w:eastAsia="zh-CN" w:bidi="hi-IN"/>
        </w:rPr>
        <w:t>Embelezamento de Palavras (Word Embedding) e Word2Vec, para a Filtragem Baseada em Conteúdo e Filtragem Híbrida.</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1432222"/>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24</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51">
          <wp:simplePos x="0" y="0"/>
          <wp:positionH relativeFrom="margin">
            <wp:align>right</wp:align>
          </wp:positionH>
          <wp:positionV relativeFrom="paragraph">
            <wp:posOffset>-23495</wp:posOffset>
          </wp:positionV>
          <wp:extent cx="723900" cy="298450"/>
          <wp:effectExtent l="0" t="0" r="0" b="0"/>
          <wp:wrapTight wrapText="bothSides">
            <wp:wrapPolygon edited="0">
              <wp:start x="-52" y="0"/>
              <wp:lineTo x="-52" y="20561"/>
              <wp:lineTo x="20960" y="20561"/>
              <wp:lineTo x="20960" y="0"/>
              <wp:lineTo x="-52"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8340" cy="1270"/>
              <wp:effectExtent l="0" t="0" r="0" b="0"/>
              <wp:wrapNone/>
              <wp:docPr id="2" name="Conector reto 10"/>
              <a:graphic xmlns:a="http://schemas.openxmlformats.org/drawingml/2006/main">
                <a:graphicData uri="http://schemas.microsoft.com/office/word/2010/wordprocessingShape">
                  <wps:wsp>
                    <wps:cNvSpPr/>
                    <wps:spPr>
                      <a:xfrm>
                        <a:off x="0" y="0"/>
                        <a:ext cx="576756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7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-29210</wp:posOffset>
          </wp:positionV>
          <wp:extent cx="723900" cy="298450"/>
          <wp:effectExtent l="0" t="0" r="0" b="0"/>
          <wp:wrapTight wrapText="bothSides">
            <wp:wrapPolygon edited="0">
              <wp:start x="-52" y="0"/>
              <wp:lineTo x="-52" y="20561"/>
              <wp:lineTo x="20960" y="20561"/>
              <wp:lineTo x="20960" y="0"/>
              <wp:lineTo x="-52" y="0"/>
            </wp:wrapPolygon>
          </wp:wrapTight>
          <wp:docPr id="27"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8340" cy="1270"/>
              <wp:effectExtent l="0" t="0" r="0" b="0"/>
              <wp:wrapNone/>
              <wp:docPr id="28" name="Conector reto 1"/>
              <a:graphic xmlns:a="http://schemas.openxmlformats.org/drawingml/2006/main">
                <a:graphicData uri="http://schemas.microsoft.com/office/word/2010/wordprocessingShape">
                  <wps:wsp>
                    <wps:cNvSpPr/>
                    <wps:spPr>
                      <a:xfrm>
                        <a:off x="0" y="0"/>
                        <a:ext cx="576756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7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Application>LibreOffice/6.3.4.2$Windows_X86_64 LibreOffice_project/60da17e045e08f1793c57c00ba83cdfce946d0aa</Application>
  <Pages>25</Pages>
  <Words>6078</Words>
  <Characters>35211</Characters>
  <CharactersWithSpaces>40642</CharactersWithSpaces>
  <Paragraphs>704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2024-06-08T14:02:23Z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