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24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hanging="0"/>
        <w:jc w:val="both"/>
        <w:rPr/>
      </w:pPr>
      <w:r>
        <w:rPr>
          <w:b/>
        </w:rPr>
        <w:tab/>
      </w:r>
      <w:r>
        <w:rPr>
          <w:b w:val="false"/>
          <w:bCs w:val="false"/>
        </w:rPr>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consumo de processamento 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i w:val="false"/>
          <w:i w:val="false"/>
          <w:iCs w:val="false"/>
          <w:sz w:val="22"/>
          <w:szCs w:val="22"/>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769610" cy="3327400"/>
                <wp:effectExtent l="0" t="0" r="0" b="0"/>
                <wp:wrapSquare wrapText="largest"/>
                <wp:docPr id="3" name="Quadro1"/>
                <a:graphic xmlns:a="http://schemas.openxmlformats.org/drawingml/2006/main">
                  <a:graphicData uri="http://schemas.microsoft.com/office/word/2010/wordprocessingShape">
                    <wps:wsp>
                      <wps:cNvSpPr/>
                      <wps:spPr>
                        <a:xfrm>
                          <a:off x="0" y="0"/>
                          <a:ext cx="5769000" cy="33267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4pt;margin-top:0.05pt;width:454.2pt;height:261.9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768340" cy="3326130"/>
                <wp:effectExtent l="0" t="0" r="0" b="0"/>
                <wp:wrapSquare wrapText="largest"/>
                <wp:docPr id="7" name="Quadro3"/>
                <a:graphic xmlns:a="http://schemas.openxmlformats.org/drawingml/2006/main">
                  <a:graphicData uri="http://schemas.microsoft.com/office/word/2010/wordprocessingShape">
                    <wps:wsp>
                      <wps:cNvSpPr/>
                      <wps:spPr>
                        <a:xfrm>
                          <a:off x="0" y="0"/>
                          <a:ext cx="5767560" cy="3325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35pt;margin-top:0.05pt;width:454.1pt;height:261.8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66435" cy="3324225"/>
                <wp:effectExtent l="0" t="0" r="0" b="0"/>
                <wp:wrapSquare wrapText="largest"/>
                <wp:docPr id="11" name="Quadro3"/>
                <a:graphic xmlns:a="http://schemas.openxmlformats.org/drawingml/2006/main">
                  <a:graphicData uri="http://schemas.microsoft.com/office/word/2010/wordprocessingShape">
                    <wps:wsp>
                      <wps:cNvSpPr/>
                      <wps:spPr>
                        <a:xfrm>
                          <a:off x="0" y="0"/>
                          <a:ext cx="5765760" cy="33235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25pt;margin-top:0.05pt;width:453.95pt;height:261.6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65800" cy="3323590"/>
                <wp:effectExtent l="0" t="0" r="0" b="0"/>
                <wp:wrapSquare wrapText="largest"/>
                <wp:docPr id="15" name="Quadro4"/>
                <a:graphic xmlns:a="http://schemas.openxmlformats.org/drawingml/2006/main">
                  <a:graphicData uri="http://schemas.microsoft.com/office/word/2010/wordprocessingShape">
                    <wps:wsp>
                      <wps:cNvSpPr/>
                      <wps:spPr>
                        <a:xfrm>
                          <a:off x="0" y="0"/>
                          <a:ext cx="5765040" cy="33228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25pt;margin-top:0.05pt;width:453.9pt;height:261.6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5800" cy="3323590"/>
                <wp:effectExtent l="0" t="0" r="0" b="0"/>
                <wp:wrapSquare wrapText="largest"/>
                <wp:docPr id="19" name="Quadro5"/>
                <a:graphic xmlns:a="http://schemas.openxmlformats.org/drawingml/2006/main">
                  <a:graphicData uri="http://schemas.microsoft.com/office/word/2010/wordprocessingShape">
                    <wps:wsp>
                      <wps:cNvSpPr/>
                      <wps:spPr>
                        <a:xfrm>
                          <a:off x="0" y="0"/>
                          <a:ext cx="5765040" cy="33228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25pt;margin-top:0.05pt;width:453.9pt;height:261.6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5763260" cy="3321050"/>
                <wp:effectExtent l="0" t="0" r="0" b="0"/>
                <wp:wrapSquare wrapText="largest"/>
                <wp:docPr id="23" name="Quadro6"/>
                <a:graphic xmlns:a="http://schemas.openxmlformats.org/drawingml/2006/main">
                  <a:graphicData uri="http://schemas.microsoft.com/office/word/2010/wordprocessingShape">
                    <wps:wsp>
                      <wps:cNvSpPr/>
                      <wps:spPr>
                        <a:xfrm>
                          <a:off x="0" y="0"/>
                          <a:ext cx="5762520" cy="3320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15pt;margin-top:0.05pt;width:453.7pt;height:261.4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7334931"/>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22</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49">
          <wp:simplePos x="0" y="0"/>
          <wp:positionH relativeFrom="margin">
            <wp:align>right</wp:align>
          </wp:positionH>
          <wp:positionV relativeFrom="paragraph">
            <wp:posOffset>-23495</wp:posOffset>
          </wp:positionV>
          <wp:extent cx="723900" cy="298450"/>
          <wp:effectExtent l="0" t="0" r="0" b="0"/>
          <wp:wrapTight wrapText="bothSides">
            <wp:wrapPolygon edited="0">
              <wp:start x="-50" y="0"/>
              <wp:lineTo x="-50" y="20566"/>
              <wp:lineTo x="20963" y="20566"/>
              <wp:lineTo x="20963" y="0"/>
              <wp:lineTo x="-50"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5" wp14:anchorId="450CB929">
              <wp:simplePos x="0" y="0"/>
              <wp:positionH relativeFrom="margin">
                <wp:align>right</wp:align>
              </wp:positionH>
              <wp:positionV relativeFrom="paragraph">
                <wp:posOffset>106680</wp:posOffset>
              </wp:positionV>
              <wp:extent cx="5767705" cy="1270"/>
              <wp:effectExtent l="0" t="0" r="0" b="0"/>
              <wp:wrapNone/>
              <wp:docPr id="2" name="Conector reto 10"/>
              <a:graphic xmlns:a="http://schemas.openxmlformats.org/drawingml/2006/main">
                <a:graphicData uri="http://schemas.microsoft.com/office/word/2010/wordprocessingShape">
                  <wps:wsp>
                    <wps:cNvSpPr/>
                    <wps:spPr>
                      <a:xfrm>
                        <a:off x="0" y="0"/>
                        <a:ext cx="57672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6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4">
          <wp:simplePos x="0" y="0"/>
          <wp:positionH relativeFrom="margin">
            <wp:align>right</wp:align>
          </wp:positionH>
          <wp:positionV relativeFrom="paragraph">
            <wp:posOffset>-29210</wp:posOffset>
          </wp:positionV>
          <wp:extent cx="723900" cy="298450"/>
          <wp:effectExtent l="0" t="0" r="0" b="0"/>
          <wp:wrapTight wrapText="bothSides">
            <wp:wrapPolygon edited="0">
              <wp:start x="-50" y="0"/>
              <wp:lineTo x="-50" y="20566"/>
              <wp:lineTo x="20963" y="20566"/>
              <wp:lineTo x="20963" y="0"/>
              <wp:lineTo x="-50" y="0"/>
            </wp:wrapPolygon>
          </wp:wrapTight>
          <wp:docPr id="27"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3"/>
    <w:bookmarkStart w:id="19" w:name="_Hlk33913842"/>
    <w:bookmarkEnd w:id="18"/>
    <w:bookmarkEnd w:id="19"/>
    <w:r>
      <mc:AlternateContent>
        <mc:Choice Requires="wps">
          <w:drawing>
            <wp:anchor behindDoc="1" distT="0" distB="0" distL="0" distR="0" simplePos="0" locked="0" layoutInCell="1" allowOverlap="1" relativeHeight="48" wp14:anchorId="31582EE2">
              <wp:simplePos x="0" y="0"/>
              <wp:positionH relativeFrom="margin">
                <wp:align>right</wp:align>
              </wp:positionH>
              <wp:positionV relativeFrom="paragraph">
                <wp:posOffset>106680</wp:posOffset>
              </wp:positionV>
              <wp:extent cx="5767705" cy="1270"/>
              <wp:effectExtent l="0" t="0" r="0" b="0"/>
              <wp:wrapNone/>
              <wp:docPr id="28" name="Conector reto 1"/>
              <a:graphic xmlns:a="http://schemas.openxmlformats.org/drawingml/2006/main">
                <a:graphicData uri="http://schemas.microsoft.com/office/word/2010/wordprocessingShape">
                  <wps:wsp>
                    <wps:cNvSpPr/>
                    <wps:spPr>
                      <a:xfrm>
                        <a:off x="0" y="0"/>
                        <a:ext cx="57672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6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Application>LibreOffice/6.3.4.2$Windows_X86_64 LibreOffice_project/60da17e045e08f1793c57c00ba83cdfce946d0aa</Application>
  <Pages>24</Pages>
  <Words>6029</Words>
  <Characters>34841</Characters>
  <CharactersWithSpaces>40225</CharactersWithSpaces>
  <Paragraphs>703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2024-06-05T23:12:44Z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