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BD96" w14:textId="3B4AC8D5" w:rsidR="00C2537A" w:rsidRPr="001E4D3E" w:rsidRDefault="00C2537A" w:rsidP="00C2537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E4D3E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75667FE" wp14:editId="5612936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295400" cy="1295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D3E">
        <w:rPr>
          <w:rFonts w:asciiTheme="minorHAnsi" w:hAnsiTheme="minorHAnsi" w:cstheme="minorHAnsi"/>
          <w:sz w:val="22"/>
          <w:szCs w:val="22"/>
        </w:rPr>
        <w:t>In 2018, The Council of State Governments (CSG)</w:t>
      </w:r>
      <w:r w:rsidRPr="001E4D3E">
        <w:rPr>
          <w:rFonts w:asciiTheme="minorHAnsi" w:hAnsiTheme="minorHAnsi" w:cstheme="minorHAnsi"/>
          <w:sz w:val="22"/>
          <w:szCs w:val="22"/>
        </w:rPr>
        <w:t xml:space="preserve"> </w:t>
      </w:r>
      <w:r w:rsidRPr="001E4D3E">
        <w:rPr>
          <w:rFonts w:asciiTheme="minorHAnsi" w:hAnsiTheme="minorHAnsi" w:cstheme="minorHAnsi"/>
          <w:sz w:val="22"/>
          <w:szCs w:val="22"/>
        </w:rPr>
        <w:t xml:space="preserve">Justice </w:t>
      </w:r>
      <w:r w:rsidRPr="001E4D3E">
        <w:rPr>
          <w:rFonts w:asciiTheme="minorHAnsi" w:hAnsiTheme="minorHAnsi" w:cstheme="minorHAnsi"/>
          <w:sz w:val="22"/>
          <w:szCs w:val="22"/>
        </w:rPr>
        <w:t>Center conducted</w:t>
      </w:r>
      <w:r w:rsidRPr="001E4D3E">
        <w:rPr>
          <w:rFonts w:asciiTheme="minorHAnsi" w:hAnsiTheme="minorHAnsi" w:cstheme="minorHAnsi"/>
          <w:sz w:val="22"/>
          <w:szCs w:val="22"/>
        </w:rPr>
        <w:t xml:space="preserve"> a survey to corrections departments in all 50</w:t>
      </w:r>
      <w:r w:rsidRPr="001E4D3E">
        <w:rPr>
          <w:rFonts w:asciiTheme="minorHAnsi" w:hAnsiTheme="minorHAnsi" w:cstheme="minorHAnsi"/>
          <w:sz w:val="22"/>
          <w:szCs w:val="22"/>
        </w:rPr>
        <w:t xml:space="preserve"> </w:t>
      </w:r>
      <w:r w:rsidRPr="001E4D3E">
        <w:rPr>
          <w:rFonts w:asciiTheme="minorHAnsi" w:hAnsiTheme="minorHAnsi" w:cstheme="minorHAnsi"/>
          <w:sz w:val="22"/>
          <w:szCs w:val="22"/>
        </w:rPr>
        <w:t xml:space="preserve">states to collect data on the impact of </w:t>
      </w:r>
      <w:r w:rsidRPr="001E4D3E">
        <w:rPr>
          <w:rFonts w:asciiTheme="minorHAnsi" w:hAnsiTheme="minorHAnsi" w:cstheme="minorHAnsi"/>
          <w:sz w:val="22"/>
          <w:szCs w:val="22"/>
        </w:rPr>
        <w:t>supervision revocations</w:t>
      </w:r>
      <w:r w:rsidRPr="001E4D3E">
        <w:rPr>
          <w:rFonts w:asciiTheme="minorHAnsi" w:hAnsiTheme="minorHAnsi" w:cstheme="minorHAnsi"/>
          <w:sz w:val="22"/>
          <w:szCs w:val="22"/>
        </w:rPr>
        <w:t xml:space="preserve"> of supervision on prison</w:t>
      </w:r>
      <w:r w:rsidRPr="001E4D3E">
        <w:rPr>
          <w:rFonts w:asciiTheme="minorHAnsi" w:hAnsiTheme="minorHAnsi" w:cstheme="minorHAnsi"/>
          <w:sz w:val="22"/>
          <w:szCs w:val="22"/>
        </w:rPr>
        <w:t xml:space="preserve"> </w:t>
      </w:r>
      <w:r w:rsidRPr="001E4D3E">
        <w:rPr>
          <w:rFonts w:asciiTheme="minorHAnsi" w:hAnsiTheme="minorHAnsi" w:cstheme="minorHAnsi"/>
          <w:sz w:val="22"/>
          <w:szCs w:val="22"/>
        </w:rPr>
        <w:t xml:space="preserve">populations. </w:t>
      </w:r>
      <w:hyperlink r:id="rId10" w:history="1">
        <w:r w:rsidRPr="001E4D3E">
          <w:rPr>
            <w:rStyle w:val="Hyperlink"/>
            <w:rFonts w:asciiTheme="minorHAnsi" w:hAnsiTheme="minorHAnsi" w:cstheme="minorHAnsi"/>
            <w:sz w:val="22"/>
            <w:szCs w:val="22"/>
          </w:rPr>
          <w:t>The</w:t>
        </w:r>
        <w:r w:rsidRPr="001E4D3E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</w:t>
        </w:r>
        <w:r w:rsidR="001E4D3E" w:rsidRPr="001E4D3E">
          <w:rPr>
            <w:rStyle w:val="Hyperlink"/>
            <w:rFonts w:asciiTheme="minorHAnsi" w:hAnsiTheme="minorHAnsi" w:cstheme="minorHAnsi"/>
            <w:sz w:val="22"/>
            <w:szCs w:val="22"/>
          </w:rPr>
          <w:t>Confined and Costly study</w:t>
        </w:r>
      </w:hyperlink>
      <w:r w:rsidRPr="001E4D3E">
        <w:rPr>
          <w:rFonts w:asciiTheme="minorHAnsi" w:hAnsiTheme="minorHAnsi" w:cstheme="minorHAnsi"/>
          <w:sz w:val="22"/>
          <w:szCs w:val="22"/>
        </w:rPr>
        <w:t xml:space="preserve"> found that probation and parole </w:t>
      </w:r>
      <w:r w:rsidR="001E4D3E">
        <w:rPr>
          <w:rFonts w:asciiTheme="minorHAnsi" w:hAnsiTheme="minorHAnsi" w:cstheme="minorHAnsi"/>
          <w:sz w:val="22"/>
          <w:szCs w:val="22"/>
        </w:rPr>
        <w:t>revocations</w:t>
      </w:r>
      <w:r w:rsidRPr="001E4D3E">
        <w:rPr>
          <w:rFonts w:asciiTheme="minorHAnsi" w:hAnsiTheme="minorHAnsi" w:cstheme="minorHAnsi"/>
          <w:sz w:val="22"/>
          <w:szCs w:val="22"/>
        </w:rPr>
        <w:t xml:space="preserve"> made up as much as </w:t>
      </w:r>
      <w:r w:rsidRPr="001E4D3E">
        <w:rPr>
          <w:rFonts w:asciiTheme="minorHAnsi" w:hAnsiTheme="minorHAnsi" w:cstheme="minorHAnsi"/>
          <w:b/>
          <w:bCs/>
          <w:sz w:val="22"/>
          <w:szCs w:val="22"/>
        </w:rPr>
        <w:t>45</w:t>
      </w:r>
      <w:r w:rsidRPr="001E4D3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E4D3E">
        <w:rPr>
          <w:rFonts w:asciiTheme="minorHAnsi" w:hAnsiTheme="minorHAnsi" w:cstheme="minorHAnsi"/>
          <w:b/>
          <w:bCs/>
          <w:sz w:val="22"/>
          <w:szCs w:val="22"/>
        </w:rPr>
        <w:t>percent of state prison admissions nationwide</w:t>
      </w:r>
      <w:r w:rsidRPr="001E4D3E">
        <w:rPr>
          <w:rFonts w:asciiTheme="minorHAnsi" w:hAnsiTheme="minorHAnsi" w:cstheme="minorHAnsi"/>
          <w:sz w:val="22"/>
          <w:szCs w:val="22"/>
        </w:rPr>
        <w:t>, with wide variation</w:t>
      </w:r>
      <w:r w:rsidRPr="001E4D3E">
        <w:rPr>
          <w:rFonts w:asciiTheme="minorHAnsi" w:hAnsiTheme="minorHAnsi" w:cstheme="minorHAnsi"/>
          <w:sz w:val="22"/>
          <w:szCs w:val="22"/>
        </w:rPr>
        <w:t xml:space="preserve"> across states.  With continued support from the Correctional Leaders Association and Arnold Ventures, we will be collecting these numbers annually through 2022.  </w:t>
      </w:r>
      <w:r w:rsidRPr="001E4D3E">
        <w:rPr>
          <w:rFonts w:asciiTheme="minorHAnsi" w:hAnsiTheme="minorHAnsi" w:cstheme="minorHAnsi"/>
          <w:sz w:val="22"/>
          <w:szCs w:val="22"/>
        </w:rPr>
        <w:br/>
      </w:r>
    </w:p>
    <w:p w14:paraId="6055F037" w14:textId="289A9240" w:rsidR="00397260" w:rsidRDefault="00C2537A" w:rsidP="00C2537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E4D3E">
        <w:rPr>
          <w:rFonts w:asciiTheme="minorHAnsi" w:hAnsiTheme="minorHAnsi" w:cstheme="minorHAnsi"/>
          <w:b/>
          <w:bCs/>
          <w:sz w:val="22"/>
          <w:szCs w:val="22"/>
        </w:rPr>
        <w:t>Thank you so much for returning your survey!</w:t>
      </w:r>
      <w:r w:rsidRPr="001E4D3E">
        <w:rPr>
          <w:rFonts w:asciiTheme="minorHAnsi" w:hAnsiTheme="minorHAnsi" w:cstheme="minorHAnsi"/>
          <w:sz w:val="22"/>
          <w:szCs w:val="22"/>
        </w:rPr>
        <w:t xml:space="preserve">  </w:t>
      </w:r>
      <w:r w:rsidR="00397260" w:rsidRPr="001E4D3E">
        <w:rPr>
          <w:rFonts w:asciiTheme="minorHAnsi" w:hAnsiTheme="minorHAnsi" w:cstheme="minorHAnsi"/>
          <w:sz w:val="22"/>
          <w:szCs w:val="22"/>
        </w:rPr>
        <w:t>We’d like you to review the population, admission, and cost information you provided for 2018-2020</w:t>
      </w:r>
      <w:r w:rsidRPr="001E4D3E">
        <w:rPr>
          <w:rFonts w:asciiTheme="minorHAnsi" w:hAnsiTheme="minorHAnsi" w:cstheme="minorHAnsi"/>
          <w:sz w:val="22"/>
          <w:szCs w:val="22"/>
        </w:rPr>
        <w:t xml:space="preserve"> on more time to make sure we are using the correct numbers</w:t>
      </w:r>
      <w:r w:rsidR="00397260" w:rsidRPr="001E4D3E">
        <w:rPr>
          <w:rFonts w:asciiTheme="minorHAnsi" w:hAnsiTheme="minorHAnsi" w:cstheme="minorHAnsi"/>
          <w:sz w:val="22"/>
          <w:szCs w:val="22"/>
        </w:rPr>
        <w:t xml:space="preserve">. We </w:t>
      </w:r>
      <w:r w:rsidRPr="001E4D3E">
        <w:rPr>
          <w:rFonts w:asciiTheme="minorHAnsi" w:hAnsiTheme="minorHAnsi" w:cstheme="minorHAnsi"/>
          <w:sz w:val="22"/>
          <w:szCs w:val="22"/>
        </w:rPr>
        <w:t>will be using</w:t>
      </w:r>
      <w:r w:rsidR="00397260" w:rsidRPr="001E4D3E">
        <w:rPr>
          <w:rFonts w:asciiTheme="minorHAnsi" w:hAnsiTheme="minorHAnsi" w:cstheme="minorHAnsi"/>
          <w:sz w:val="22"/>
          <w:szCs w:val="22"/>
        </w:rPr>
        <w:t xml:space="preserve"> this information to calculate the percentage of admissions or prison population that entered for a probation or parole revocation. When possible, we also calculated the technical </w:t>
      </w:r>
      <w:r w:rsidRPr="001E4D3E">
        <w:rPr>
          <w:rFonts w:asciiTheme="minorHAnsi" w:hAnsiTheme="minorHAnsi" w:cstheme="minorHAnsi"/>
          <w:sz w:val="22"/>
          <w:szCs w:val="22"/>
        </w:rPr>
        <w:t>revocation</w:t>
      </w:r>
      <w:r w:rsidR="00397260" w:rsidRPr="001E4D3E">
        <w:rPr>
          <w:rFonts w:asciiTheme="minorHAnsi" w:hAnsiTheme="minorHAnsi" w:cstheme="minorHAnsi"/>
          <w:sz w:val="22"/>
          <w:szCs w:val="22"/>
        </w:rPr>
        <w:t xml:space="preserve"> population for probation and parole. </w:t>
      </w:r>
    </w:p>
    <w:p w14:paraId="4C071634" w14:textId="77777777" w:rsidR="001E4D3E" w:rsidRPr="001E4D3E" w:rsidRDefault="001E4D3E" w:rsidP="00C2537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861EE6" w14:textId="4AFC692B" w:rsidR="0085040A" w:rsidRPr="001E4D3E" w:rsidRDefault="0085040A" w:rsidP="001E4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E4D3E">
        <w:rPr>
          <w:rFonts w:cstheme="minorHAnsi"/>
        </w:rPr>
        <w:t xml:space="preserve">If </w:t>
      </w:r>
      <w:r w:rsidR="001E4D3E">
        <w:rPr>
          <w:rFonts w:cstheme="minorHAnsi"/>
        </w:rPr>
        <w:t>you’d like to make any revisions or edits to your numbers</w:t>
      </w:r>
      <w:r w:rsidRPr="001E4D3E">
        <w:rPr>
          <w:rFonts w:cstheme="minorHAnsi"/>
        </w:rPr>
        <w:t xml:space="preserve">, please contact Jessica Gonzales-Bricker at jgonzales@csg.org. </w:t>
      </w:r>
    </w:p>
    <w:p w14:paraId="1DD7356E" w14:textId="50DEB937" w:rsidR="00DE57A9" w:rsidRPr="001E4D3E" w:rsidRDefault="0085040A">
      <w:pPr>
        <w:rPr>
          <w:rFonts w:cstheme="minorHAnsi"/>
        </w:rPr>
      </w:pPr>
      <w:r w:rsidRPr="001E4D3E">
        <w:rPr>
          <w:rFonts w:cstheme="minorHAnsi"/>
        </w:rPr>
        <w:t>The read out on your state will be as follow</w:t>
      </w:r>
      <w:r w:rsidR="00C94DC0" w:rsidRPr="001E4D3E">
        <w:rPr>
          <w:rFonts w:cstheme="minorHAnsi"/>
        </w:rPr>
        <w:t>s</w:t>
      </w:r>
      <w:r w:rsidRPr="001E4D3E">
        <w:rPr>
          <w:rFonts w:cstheme="minorHAnsi"/>
        </w:rPr>
        <w:t xml:space="preserve">: </w:t>
      </w:r>
    </w:p>
    <w:p w14:paraId="29A8FD44" w14:textId="5D7A79DC" w:rsidR="0085040A" w:rsidRPr="001E4D3E" w:rsidRDefault="0085040A">
      <w:pPr>
        <w:rPr>
          <w:rFonts w:cstheme="minorHAnsi"/>
        </w:rPr>
      </w:pPr>
      <w:r w:rsidRPr="001E4D3E">
        <w:rPr>
          <w:rFonts w:cstheme="minorHAnsi"/>
        </w:rPr>
        <w:t>“</w:t>
      </w:r>
      <w:r w:rsidR="00AA4110">
        <w:rPr>
          <w:rFonts w:cstheme="minorHAnsi"/>
        </w:rPr>
        <w:t>On any given day i</w:t>
      </w:r>
      <w:r w:rsidRPr="001E4D3E">
        <w:rPr>
          <w:rFonts w:cstheme="minorHAnsi"/>
        </w:rPr>
        <w:t xml:space="preserve">n </w:t>
      </w:r>
      <w:r w:rsidRPr="00881F0C">
        <w:rPr>
          <w:rFonts w:cstheme="minorHAnsi"/>
          <w:b/>
          <w:bCs/>
          <w:highlight w:val="yellow"/>
        </w:rPr>
        <w:t>STATE NAME</w:t>
      </w:r>
      <w:r w:rsidR="00AA4110">
        <w:rPr>
          <w:rFonts w:cstheme="minorHAnsi"/>
          <w:b/>
          <w:bCs/>
        </w:rPr>
        <w:t xml:space="preserve"> </w:t>
      </w:r>
      <w:bookmarkStart w:id="0" w:name="_GoBack"/>
      <w:r w:rsidR="00AA4110" w:rsidRPr="00AA4110">
        <w:rPr>
          <w:rFonts w:cstheme="minorHAnsi"/>
        </w:rPr>
        <w:t>in 2019</w:t>
      </w:r>
      <w:bookmarkEnd w:id="0"/>
      <w:r w:rsidRPr="001E4D3E">
        <w:rPr>
          <w:rFonts w:cstheme="minorHAnsi"/>
        </w:rPr>
        <w:t xml:space="preserve">, </w:t>
      </w:r>
      <w:r w:rsidR="00881F0C">
        <w:rPr>
          <w:rFonts w:cstheme="minorHAnsi"/>
        </w:rPr>
        <w:t xml:space="preserve">approximately </w:t>
      </w:r>
      <w:r w:rsidRPr="00881F0C">
        <w:rPr>
          <w:rFonts w:cstheme="minorHAnsi"/>
          <w:b/>
          <w:bCs/>
          <w:highlight w:val="yellow"/>
        </w:rPr>
        <w:t>X</w:t>
      </w:r>
      <w:r w:rsidRPr="001E4D3E">
        <w:rPr>
          <w:rFonts w:cstheme="minorHAnsi"/>
        </w:rPr>
        <w:t xml:space="preserve"> people </w:t>
      </w:r>
      <w:r w:rsidR="00AA4110">
        <w:rPr>
          <w:rFonts w:cstheme="minorHAnsi"/>
        </w:rPr>
        <w:t>were</w:t>
      </w:r>
      <w:r w:rsidRPr="001E4D3E">
        <w:rPr>
          <w:rFonts w:cstheme="minorHAnsi"/>
        </w:rPr>
        <w:t xml:space="preserve"> incarcerated as a result of a supervision </w:t>
      </w:r>
      <w:r w:rsidR="00C2537A" w:rsidRPr="001E4D3E">
        <w:rPr>
          <w:rFonts w:cstheme="minorHAnsi"/>
        </w:rPr>
        <w:t>revocation</w:t>
      </w:r>
      <w:r w:rsidR="00F71F7E" w:rsidRPr="001E4D3E">
        <w:rPr>
          <w:rFonts w:cstheme="minorHAnsi"/>
        </w:rPr>
        <w:t xml:space="preserve">. Annually this costs the state </w:t>
      </w:r>
      <w:r w:rsidR="00C94DC0" w:rsidRPr="00881F0C">
        <w:rPr>
          <w:rFonts w:cstheme="minorHAnsi"/>
          <w:b/>
          <w:bCs/>
          <w:highlight w:val="yellow"/>
        </w:rPr>
        <w:t>$$</w:t>
      </w:r>
      <w:r w:rsidR="00CA595E" w:rsidRPr="00881F0C">
        <w:rPr>
          <w:rFonts w:cstheme="minorHAnsi"/>
          <w:highlight w:val="yellow"/>
        </w:rPr>
        <w:t>,</w:t>
      </w:r>
      <w:r w:rsidR="00CA595E" w:rsidRPr="001E4D3E">
        <w:rPr>
          <w:rFonts w:cstheme="minorHAnsi"/>
        </w:rPr>
        <w:t xml:space="preserve"> with technical supervision </w:t>
      </w:r>
      <w:r w:rsidR="00AA4110">
        <w:rPr>
          <w:rFonts w:cstheme="minorHAnsi"/>
        </w:rPr>
        <w:t>revocations</w:t>
      </w:r>
      <w:r w:rsidR="00CA595E" w:rsidRPr="001E4D3E">
        <w:rPr>
          <w:rFonts w:cstheme="minorHAnsi"/>
        </w:rPr>
        <w:t xml:space="preserve"> alone accounting for </w:t>
      </w:r>
      <w:r w:rsidR="00C94DC0" w:rsidRPr="00881F0C">
        <w:rPr>
          <w:rFonts w:cstheme="minorHAnsi"/>
          <w:b/>
          <w:bCs/>
          <w:highlight w:val="yellow"/>
        </w:rPr>
        <w:t>$$</w:t>
      </w:r>
      <w:r w:rsidR="00CA595E" w:rsidRPr="001E4D3E">
        <w:rPr>
          <w:rFonts w:cstheme="minorHAnsi"/>
        </w:rPr>
        <w:t xml:space="preserve"> of this amount. </w:t>
      </w:r>
      <w:r w:rsidRPr="001E4D3E">
        <w:rPr>
          <w:rFonts w:cstheme="minorHAnsi"/>
        </w:rPr>
        <w:t xml:space="preserve">These figures do not entirely account for the substantial cost of keeping people in jail locally for supervision violations.” </w:t>
      </w:r>
    </w:p>
    <w:p w14:paraId="28EFBB0B" w14:textId="5328793B" w:rsidR="00397260" w:rsidRPr="001E4D3E" w:rsidRDefault="00397260">
      <w:pPr>
        <w:rPr>
          <w:rFonts w:cstheme="minorHAnsi"/>
          <w:b/>
          <w:bCs/>
        </w:rPr>
      </w:pPr>
      <w:r w:rsidRPr="001E4D3E">
        <w:rPr>
          <w:rFonts w:cstheme="minorHAnsi"/>
          <w:b/>
          <w:bCs/>
        </w:rPr>
        <w:t>Admissions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669"/>
        <w:gridCol w:w="1100"/>
        <w:gridCol w:w="788"/>
        <w:gridCol w:w="1100"/>
        <w:gridCol w:w="1057"/>
      </w:tblGrid>
      <w:tr w:rsidR="00D4055C" w:rsidRPr="001E4D3E" w14:paraId="6F1716E9" w14:textId="77777777" w:rsidTr="00D4055C">
        <w:tc>
          <w:tcPr>
            <w:tcW w:w="663" w:type="dxa"/>
          </w:tcPr>
          <w:p w14:paraId="1A755054" w14:textId="77777777" w:rsidR="00D4055C" w:rsidRPr="001E4D3E" w:rsidRDefault="00D4055C" w:rsidP="00C42AF8">
            <w:pPr>
              <w:rPr>
                <w:rFonts w:cstheme="minorHAnsi"/>
              </w:rPr>
            </w:pPr>
          </w:p>
        </w:tc>
        <w:tc>
          <w:tcPr>
            <w:tcW w:w="669" w:type="dxa"/>
          </w:tcPr>
          <w:p w14:paraId="21976588" w14:textId="4F5BB795" w:rsidR="00D4055C" w:rsidRPr="001E4D3E" w:rsidRDefault="00D4055C" w:rsidP="00C42AF8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Total</w:t>
            </w:r>
          </w:p>
        </w:tc>
        <w:tc>
          <w:tcPr>
            <w:tcW w:w="1100" w:type="dxa"/>
          </w:tcPr>
          <w:p w14:paraId="481EE307" w14:textId="094D4DE1" w:rsidR="00D4055C" w:rsidRPr="001E4D3E" w:rsidRDefault="00D4055C" w:rsidP="00C42AF8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Probation</w:t>
            </w:r>
          </w:p>
        </w:tc>
        <w:tc>
          <w:tcPr>
            <w:tcW w:w="788" w:type="dxa"/>
          </w:tcPr>
          <w:p w14:paraId="12A40CF5" w14:textId="5279057E" w:rsidR="00D4055C" w:rsidRPr="001E4D3E" w:rsidRDefault="00D4055C" w:rsidP="00C42AF8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Parole</w:t>
            </w:r>
          </w:p>
        </w:tc>
        <w:tc>
          <w:tcPr>
            <w:tcW w:w="1100" w:type="dxa"/>
          </w:tcPr>
          <w:p w14:paraId="63F86E77" w14:textId="558231BA" w:rsidR="00D4055C" w:rsidRPr="001E4D3E" w:rsidRDefault="00D4055C" w:rsidP="00C42AF8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Technical Probation</w:t>
            </w:r>
          </w:p>
        </w:tc>
        <w:tc>
          <w:tcPr>
            <w:tcW w:w="1057" w:type="dxa"/>
          </w:tcPr>
          <w:p w14:paraId="453CD248" w14:textId="77777777" w:rsidR="00D4055C" w:rsidRPr="001E4D3E" w:rsidRDefault="00D4055C" w:rsidP="00C42AF8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Technical</w:t>
            </w:r>
          </w:p>
          <w:p w14:paraId="7D9B87E3" w14:textId="1E76E7C6" w:rsidR="00D4055C" w:rsidRPr="001E4D3E" w:rsidRDefault="00D4055C" w:rsidP="00C42AF8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Parole</w:t>
            </w:r>
          </w:p>
        </w:tc>
      </w:tr>
      <w:tr w:rsidR="00D4055C" w:rsidRPr="001E4D3E" w14:paraId="5B751336" w14:textId="77777777" w:rsidTr="00D4055C">
        <w:tc>
          <w:tcPr>
            <w:tcW w:w="663" w:type="dxa"/>
          </w:tcPr>
          <w:p w14:paraId="63D6D8F6" w14:textId="73DE8E60" w:rsidR="00D4055C" w:rsidRPr="001E4D3E" w:rsidRDefault="00D4055C" w:rsidP="00C42AF8">
            <w:pPr>
              <w:rPr>
                <w:rFonts w:cstheme="minorHAnsi"/>
              </w:rPr>
            </w:pPr>
            <w:r w:rsidRPr="001E4D3E">
              <w:rPr>
                <w:rFonts w:cstheme="minorHAnsi"/>
              </w:rPr>
              <w:t>2018</w:t>
            </w:r>
          </w:p>
        </w:tc>
        <w:tc>
          <w:tcPr>
            <w:tcW w:w="669" w:type="dxa"/>
            <w:shd w:val="clear" w:color="auto" w:fill="FFFF00"/>
          </w:tcPr>
          <w:p w14:paraId="444E39FF" w14:textId="52A652CC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  <w:r w:rsidRPr="00881F0C">
              <w:rPr>
                <w:rFonts w:cstheme="minorHAnsi"/>
                <w:highlight w:val="yellow"/>
              </w:rPr>
              <w:t>#</w:t>
            </w:r>
          </w:p>
        </w:tc>
        <w:tc>
          <w:tcPr>
            <w:tcW w:w="1100" w:type="dxa"/>
            <w:shd w:val="clear" w:color="auto" w:fill="FFFF00"/>
          </w:tcPr>
          <w:p w14:paraId="0813C34E" w14:textId="77777777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  <w:tc>
          <w:tcPr>
            <w:tcW w:w="788" w:type="dxa"/>
            <w:shd w:val="clear" w:color="auto" w:fill="FFFF00"/>
          </w:tcPr>
          <w:p w14:paraId="5891AE4E" w14:textId="77777777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  <w:tc>
          <w:tcPr>
            <w:tcW w:w="1100" w:type="dxa"/>
            <w:shd w:val="clear" w:color="auto" w:fill="FFFF00"/>
          </w:tcPr>
          <w:p w14:paraId="79384EBD" w14:textId="04449C33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  <w:tc>
          <w:tcPr>
            <w:tcW w:w="1057" w:type="dxa"/>
            <w:shd w:val="clear" w:color="auto" w:fill="FFFF00"/>
          </w:tcPr>
          <w:p w14:paraId="0CC0511B" w14:textId="77777777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</w:tr>
      <w:tr w:rsidR="00D4055C" w:rsidRPr="001E4D3E" w14:paraId="71F29E61" w14:textId="77777777" w:rsidTr="00D4055C">
        <w:tc>
          <w:tcPr>
            <w:tcW w:w="663" w:type="dxa"/>
          </w:tcPr>
          <w:p w14:paraId="356ED54F" w14:textId="6A4169EA" w:rsidR="00D4055C" w:rsidRPr="001E4D3E" w:rsidRDefault="00D4055C" w:rsidP="00C42AF8">
            <w:pPr>
              <w:rPr>
                <w:rFonts w:cstheme="minorHAnsi"/>
              </w:rPr>
            </w:pPr>
            <w:r w:rsidRPr="001E4D3E">
              <w:rPr>
                <w:rFonts w:cstheme="minorHAnsi"/>
              </w:rPr>
              <w:t>2019</w:t>
            </w:r>
          </w:p>
        </w:tc>
        <w:tc>
          <w:tcPr>
            <w:tcW w:w="669" w:type="dxa"/>
            <w:shd w:val="clear" w:color="auto" w:fill="FFFF00"/>
          </w:tcPr>
          <w:p w14:paraId="77FA179B" w14:textId="51C33AF8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  <w:r w:rsidRPr="00881F0C">
              <w:rPr>
                <w:rFonts w:cstheme="minorHAnsi"/>
                <w:highlight w:val="yellow"/>
              </w:rPr>
              <w:t>#</w:t>
            </w:r>
          </w:p>
        </w:tc>
        <w:tc>
          <w:tcPr>
            <w:tcW w:w="1100" w:type="dxa"/>
            <w:shd w:val="clear" w:color="auto" w:fill="FFFF00"/>
          </w:tcPr>
          <w:p w14:paraId="50688254" w14:textId="77777777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  <w:tc>
          <w:tcPr>
            <w:tcW w:w="788" w:type="dxa"/>
            <w:shd w:val="clear" w:color="auto" w:fill="FFFF00"/>
          </w:tcPr>
          <w:p w14:paraId="351823BA" w14:textId="77777777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  <w:tc>
          <w:tcPr>
            <w:tcW w:w="1100" w:type="dxa"/>
            <w:shd w:val="clear" w:color="auto" w:fill="FFFF00"/>
          </w:tcPr>
          <w:p w14:paraId="545CB571" w14:textId="03EF11E4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  <w:tc>
          <w:tcPr>
            <w:tcW w:w="1057" w:type="dxa"/>
            <w:shd w:val="clear" w:color="auto" w:fill="FFFF00"/>
          </w:tcPr>
          <w:p w14:paraId="1DF5B525" w14:textId="77777777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</w:tr>
      <w:tr w:rsidR="00D4055C" w:rsidRPr="001E4D3E" w14:paraId="56972BA3" w14:textId="77777777" w:rsidTr="00D4055C">
        <w:tc>
          <w:tcPr>
            <w:tcW w:w="663" w:type="dxa"/>
          </w:tcPr>
          <w:p w14:paraId="03B2D9F1" w14:textId="01830DD4" w:rsidR="00D4055C" w:rsidRPr="001E4D3E" w:rsidRDefault="00D4055C" w:rsidP="00C42AF8">
            <w:pPr>
              <w:rPr>
                <w:rFonts w:cstheme="minorHAnsi"/>
              </w:rPr>
            </w:pPr>
            <w:r w:rsidRPr="001E4D3E">
              <w:rPr>
                <w:rFonts w:cstheme="minorHAnsi"/>
              </w:rPr>
              <w:t>2020</w:t>
            </w:r>
          </w:p>
        </w:tc>
        <w:tc>
          <w:tcPr>
            <w:tcW w:w="669" w:type="dxa"/>
            <w:shd w:val="clear" w:color="auto" w:fill="FFFF00"/>
          </w:tcPr>
          <w:p w14:paraId="7F5F98D6" w14:textId="49BA1449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  <w:r w:rsidRPr="00881F0C">
              <w:rPr>
                <w:rFonts w:cstheme="minorHAnsi"/>
                <w:highlight w:val="yellow"/>
              </w:rPr>
              <w:t>#</w:t>
            </w:r>
          </w:p>
        </w:tc>
        <w:tc>
          <w:tcPr>
            <w:tcW w:w="1100" w:type="dxa"/>
            <w:shd w:val="clear" w:color="auto" w:fill="FFFF00"/>
          </w:tcPr>
          <w:p w14:paraId="117742FB" w14:textId="77777777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  <w:tc>
          <w:tcPr>
            <w:tcW w:w="788" w:type="dxa"/>
            <w:shd w:val="clear" w:color="auto" w:fill="FFFF00"/>
          </w:tcPr>
          <w:p w14:paraId="5ECD170D" w14:textId="77777777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  <w:tc>
          <w:tcPr>
            <w:tcW w:w="1100" w:type="dxa"/>
            <w:shd w:val="clear" w:color="auto" w:fill="FFFF00"/>
          </w:tcPr>
          <w:p w14:paraId="275146C4" w14:textId="1ECFCFDE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  <w:tc>
          <w:tcPr>
            <w:tcW w:w="1057" w:type="dxa"/>
            <w:shd w:val="clear" w:color="auto" w:fill="FFFF00"/>
          </w:tcPr>
          <w:p w14:paraId="53906E40" w14:textId="77777777" w:rsidR="00D4055C" w:rsidRPr="00881F0C" w:rsidRDefault="00D4055C" w:rsidP="00C42AF8">
            <w:pPr>
              <w:rPr>
                <w:rFonts w:cstheme="minorHAnsi"/>
                <w:highlight w:val="yellow"/>
              </w:rPr>
            </w:pPr>
          </w:p>
        </w:tc>
      </w:tr>
    </w:tbl>
    <w:p w14:paraId="39CAF97D" w14:textId="2BD33536" w:rsidR="00397260" w:rsidRPr="001E4D3E" w:rsidRDefault="00397260">
      <w:pPr>
        <w:rPr>
          <w:rFonts w:cstheme="minorHAnsi"/>
        </w:rPr>
      </w:pPr>
    </w:p>
    <w:p w14:paraId="6F6724D2" w14:textId="2AF132C8" w:rsidR="00DE57A9" w:rsidRPr="001E4D3E" w:rsidRDefault="00DE57A9" w:rsidP="00DE57A9">
      <w:pPr>
        <w:rPr>
          <w:rFonts w:cstheme="minorHAnsi"/>
          <w:b/>
          <w:bCs/>
        </w:rPr>
      </w:pPr>
      <w:r w:rsidRPr="001E4D3E">
        <w:rPr>
          <w:rFonts w:cstheme="minorHAnsi"/>
          <w:b/>
          <w:bCs/>
        </w:rPr>
        <w:t>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669"/>
        <w:gridCol w:w="1100"/>
        <w:gridCol w:w="788"/>
        <w:gridCol w:w="1100"/>
        <w:gridCol w:w="1057"/>
      </w:tblGrid>
      <w:tr w:rsidR="00AA4110" w:rsidRPr="001E4D3E" w14:paraId="34274A75" w14:textId="77777777" w:rsidTr="004008FB">
        <w:tc>
          <w:tcPr>
            <w:tcW w:w="663" w:type="dxa"/>
          </w:tcPr>
          <w:p w14:paraId="62FC7A48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669" w:type="dxa"/>
          </w:tcPr>
          <w:p w14:paraId="0AEC0EE0" w14:textId="77777777" w:rsidR="00AA4110" w:rsidRPr="001E4D3E" w:rsidRDefault="00AA4110" w:rsidP="004008FB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Total</w:t>
            </w:r>
          </w:p>
        </w:tc>
        <w:tc>
          <w:tcPr>
            <w:tcW w:w="1100" w:type="dxa"/>
          </w:tcPr>
          <w:p w14:paraId="1D035E60" w14:textId="77777777" w:rsidR="00AA4110" w:rsidRPr="001E4D3E" w:rsidRDefault="00AA4110" w:rsidP="004008FB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Probation</w:t>
            </w:r>
          </w:p>
        </w:tc>
        <w:tc>
          <w:tcPr>
            <w:tcW w:w="788" w:type="dxa"/>
          </w:tcPr>
          <w:p w14:paraId="3AE90B63" w14:textId="77777777" w:rsidR="00AA4110" w:rsidRPr="001E4D3E" w:rsidRDefault="00AA4110" w:rsidP="004008FB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Parole</w:t>
            </w:r>
          </w:p>
        </w:tc>
        <w:tc>
          <w:tcPr>
            <w:tcW w:w="1100" w:type="dxa"/>
          </w:tcPr>
          <w:p w14:paraId="3F094ECB" w14:textId="77777777" w:rsidR="00AA4110" w:rsidRPr="001E4D3E" w:rsidRDefault="00AA4110" w:rsidP="004008FB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Technical Probation</w:t>
            </w:r>
          </w:p>
        </w:tc>
        <w:tc>
          <w:tcPr>
            <w:tcW w:w="1057" w:type="dxa"/>
          </w:tcPr>
          <w:p w14:paraId="00EBAB78" w14:textId="77777777" w:rsidR="00AA4110" w:rsidRPr="001E4D3E" w:rsidRDefault="00AA4110" w:rsidP="004008FB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Technical</w:t>
            </w:r>
          </w:p>
          <w:p w14:paraId="6C1DD39D" w14:textId="77777777" w:rsidR="00AA4110" w:rsidRPr="001E4D3E" w:rsidRDefault="00AA4110" w:rsidP="004008FB">
            <w:pPr>
              <w:jc w:val="center"/>
              <w:rPr>
                <w:rFonts w:cstheme="minorHAnsi"/>
              </w:rPr>
            </w:pPr>
            <w:r w:rsidRPr="001E4D3E">
              <w:rPr>
                <w:rFonts w:cstheme="minorHAnsi"/>
              </w:rPr>
              <w:t>Parole</w:t>
            </w:r>
          </w:p>
        </w:tc>
      </w:tr>
      <w:tr w:rsidR="00AA4110" w:rsidRPr="001E4D3E" w14:paraId="7A765A6C" w14:textId="77777777" w:rsidTr="00881F0C">
        <w:tc>
          <w:tcPr>
            <w:tcW w:w="663" w:type="dxa"/>
          </w:tcPr>
          <w:p w14:paraId="62602D0A" w14:textId="77777777" w:rsidR="00AA4110" w:rsidRPr="001E4D3E" w:rsidRDefault="00AA4110" w:rsidP="004008FB">
            <w:pPr>
              <w:rPr>
                <w:rFonts w:cstheme="minorHAnsi"/>
              </w:rPr>
            </w:pPr>
            <w:r w:rsidRPr="001E4D3E">
              <w:rPr>
                <w:rFonts w:cstheme="minorHAnsi"/>
              </w:rPr>
              <w:t>2018</w:t>
            </w:r>
          </w:p>
        </w:tc>
        <w:tc>
          <w:tcPr>
            <w:tcW w:w="669" w:type="dxa"/>
            <w:shd w:val="clear" w:color="auto" w:fill="FFFF00"/>
          </w:tcPr>
          <w:p w14:paraId="1EACBDDD" w14:textId="77777777" w:rsidR="00AA4110" w:rsidRPr="001E4D3E" w:rsidRDefault="00AA4110" w:rsidP="004008FB">
            <w:pPr>
              <w:rPr>
                <w:rFonts w:cstheme="minorHAnsi"/>
              </w:rPr>
            </w:pPr>
            <w:r w:rsidRPr="001E4D3E">
              <w:rPr>
                <w:rFonts w:cstheme="minorHAnsi"/>
              </w:rPr>
              <w:t>#</w:t>
            </w:r>
          </w:p>
        </w:tc>
        <w:tc>
          <w:tcPr>
            <w:tcW w:w="1100" w:type="dxa"/>
            <w:shd w:val="clear" w:color="auto" w:fill="FFFF00"/>
          </w:tcPr>
          <w:p w14:paraId="63FC89F8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788" w:type="dxa"/>
            <w:shd w:val="clear" w:color="auto" w:fill="FFFF00"/>
          </w:tcPr>
          <w:p w14:paraId="1605DEC9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1100" w:type="dxa"/>
            <w:shd w:val="clear" w:color="auto" w:fill="FFFF00"/>
          </w:tcPr>
          <w:p w14:paraId="1A43C4CE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1057" w:type="dxa"/>
            <w:shd w:val="clear" w:color="auto" w:fill="FFFF00"/>
          </w:tcPr>
          <w:p w14:paraId="58029462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</w:tr>
      <w:tr w:rsidR="00AA4110" w:rsidRPr="001E4D3E" w14:paraId="3179D413" w14:textId="77777777" w:rsidTr="00881F0C">
        <w:tc>
          <w:tcPr>
            <w:tcW w:w="663" w:type="dxa"/>
            <w:tcBorders>
              <w:bottom w:val="single" w:sz="4" w:space="0" w:color="auto"/>
            </w:tcBorders>
          </w:tcPr>
          <w:p w14:paraId="2977E124" w14:textId="77777777" w:rsidR="00AA4110" w:rsidRPr="001E4D3E" w:rsidRDefault="00AA4110" w:rsidP="004008FB">
            <w:pPr>
              <w:rPr>
                <w:rFonts w:cstheme="minorHAnsi"/>
              </w:rPr>
            </w:pPr>
            <w:r w:rsidRPr="001E4D3E">
              <w:rPr>
                <w:rFonts w:cstheme="minorHAnsi"/>
              </w:rPr>
              <w:t>2019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FFFF00"/>
          </w:tcPr>
          <w:p w14:paraId="7704D7F3" w14:textId="77777777" w:rsidR="00AA4110" w:rsidRPr="001E4D3E" w:rsidRDefault="00AA4110" w:rsidP="004008FB">
            <w:pPr>
              <w:rPr>
                <w:rFonts w:cstheme="minorHAnsi"/>
              </w:rPr>
            </w:pPr>
            <w:r w:rsidRPr="001E4D3E">
              <w:rPr>
                <w:rFonts w:cstheme="minorHAnsi"/>
              </w:rPr>
              <w:t>#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FFFF00"/>
          </w:tcPr>
          <w:p w14:paraId="0FDD761F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00"/>
          </w:tcPr>
          <w:p w14:paraId="05B61D9B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FFFF00"/>
          </w:tcPr>
          <w:p w14:paraId="618EEEE0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FFFF00"/>
          </w:tcPr>
          <w:p w14:paraId="12FEA769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</w:tr>
      <w:tr w:rsidR="00AA4110" w:rsidRPr="001E4D3E" w14:paraId="7D689D24" w14:textId="77777777" w:rsidTr="00881F0C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C997DF" w14:textId="77777777" w:rsidR="00AA4110" w:rsidRPr="001E4D3E" w:rsidRDefault="00AA4110" w:rsidP="004008FB">
            <w:pPr>
              <w:rPr>
                <w:rFonts w:cstheme="minorHAnsi"/>
              </w:rPr>
            </w:pPr>
            <w:r w:rsidRPr="001E4D3E">
              <w:rPr>
                <w:rFonts w:cstheme="minorHAnsi"/>
              </w:rPr>
              <w:t>2020</w:t>
            </w:r>
          </w:p>
        </w:tc>
        <w:tc>
          <w:tcPr>
            <w:tcW w:w="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35D41DFA" w14:textId="77777777" w:rsidR="00AA4110" w:rsidRPr="001E4D3E" w:rsidRDefault="00AA4110" w:rsidP="004008FB">
            <w:pPr>
              <w:rPr>
                <w:rFonts w:cstheme="minorHAnsi"/>
              </w:rPr>
            </w:pPr>
            <w:r w:rsidRPr="001E4D3E">
              <w:rPr>
                <w:rFonts w:cstheme="minorHAnsi"/>
              </w:rPr>
              <w:t>#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258EE31A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426E55CA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853E108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3FEF7D6A" w14:textId="77777777" w:rsidR="00AA4110" w:rsidRPr="001E4D3E" w:rsidRDefault="00AA4110" w:rsidP="004008FB">
            <w:pPr>
              <w:rPr>
                <w:rFonts w:cstheme="minorHAnsi"/>
              </w:rPr>
            </w:pPr>
          </w:p>
        </w:tc>
      </w:tr>
    </w:tbl>
    <w:p w14:paraId="60AD3214" w14:textId="421E557C" w:rsidR="00DE57A9" w:rsidRPr="001E4D3E" w:rsidRDefault="00DE57A9">
      <w:pPr>
        <w:rPr>
          <w:rFonts w:cstheme="minorHAnsi"/>
        </w:rPr>
      </w:pPr>
    </w:p>
    <w:p w14:paraId="20C25A3A" w14:textId="5CAB8DB0" w:rsidR="00DE57A9" w:rsidRPr="001E4D3E" w:rsidRDefault="00DE57A9" w:rsidP="00DE57A9">
      <w:pPr>
        <w:jc w:val="both"/>
        <w:rPr>
          <w:rFonts w:cstheme="minorHAnsi"/>
          <w:b/>
          <w:bCs/>
        </w:rPr>
      </w:pPr>
      <w:r w:rsidRPr="001E4D3E">
        <w:rPr>
          <w:rFonts w:cstheme="minorHAnsi"/>
          <w:b/>
          <w:bCs/>
        </w:rPr>
        <w:t>Cost Per Day</w:t>
      </w:r>
      <w:r w:rsidR="001E4D3E">
        <w:rPr>
          <w:rFonts w:cstheme="minorHAnsi"/>
          <w:b/>
          <w:bCs/>
        </w:rPr>
        <w:t>:</w:t>
      </w:r>
      <w:r w:rsidR="00881F0C">
        <w:rPr>
          <w:rFonts w:cstheme="minorHAnsi"/>
          <w:b/>
          <w:bCs/>
        </w:rPr>
        <w:t xml:space="preserve"> </w:t>
      </w:r>
      <w:r w:rsidR="00881F0C" w:rsidRPr="00881F0C">
        <w:rPr>
          <w:rFonts w:cstheme="minorHAnsi"/>
          <w:b/>
          <w:bCs/>
          <w:highlight w:val="yellow"/>
        </w:rPr>
        <w:t>$XX</w:t>
      </w:r>
    </w:p>
    <w:p w14:paraId="4C8928F0" w14:textId="2FC29F05" w:rsidR="00DE57A9" w:rsidRPr="001E4D3E" w:rsidRDefault="00DE57A9" w:rsidP="00DE57A9">
      <w:pPr>
        <w:jc w:val="both"/>
        <w:rPr>
          <w:rFonts w:cstheme="minorHAnsi"/>
          <w:b/>
          <w:bCs/>
        </w:rPr>
      </w:pPr>
      <w:r w:rsidRPr="001E4D3E">
        <w:rPr>
          <w:rFonts w:cstheme="minorHAnsi"/>
          <w:b/>
          <w:bCs/>
        </w:rPr>
        <w:t>Cost Per Year</w:t>
      </w:r>
      <w:r w:rsidR="001E4D3E">
        <w:rPr>
          <w:rFonts w:cstheme="minorHAnsi"/>
          <w:b/>
          <w:bCs/>
        </w:rPr>
        <w:t>:</w:t>
      </w:r>
      <w:r w:rsidR="00881F0C">
        <w:rPr>
          <w:rFonts w:cstheme="minorHAnsi"/>
          <w:b/>
          <w:bCs/>
        </w:rPr>
        <w:t xml:space="preserve"> </w:t>
      </w:r>
      <w:r w:rsidR="00881F0C" w:rsidRPr="00881F0C">
        <w:rPr>
          <w:rFonts w:cstheme="minorHAnsi"/>
          <w:b/>
          <w:bCs/>
          <w:highlight w:val="yellow"/>
        </w:rPr>
        <w:t>$XX</w:t>
      </w:r>
    </w:p>
    <w:p w14:paraId="379FB1A3" w14:textId="77777777" w:rsidR="00DE57A9" w:rsidRPr="001E4D3E" w:rsidRDefault="00DE57A9" w:rsidP="00DE57A9">
      <w:pPr>
        <w:jc w:val="both"/>
        <w:rPr>
          <w:rFonts w:cstheme="minorHAnsi"/>
          <w:b/>
          <w:bCs/>
        </w:rPr>
      </w:pPr>
    </w:p>
    <w:sectPr w:rsidR="00DE57A9" w:rsidRPr="001E4D3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DFAAC" w14:textId="77777777" w:rsidR="00C2537A" w:rsidRDefault="00C2537A" w:rsidP="00C2537A">
      <w:pPr>
        <w:spacing w:after="0" w:line="240" w:lineRule="auto"/>
      </w:pPr>
      <w:r>
        <w:separator/>
      </w:r>
    </w:p>
  </w:endnote>
  <w:endnote w:type="continuationSeparator" w:id="0">
    <w:p w14:paraId="07776D10" w14:textId="77777777" w:rsidR="00C2537A" w:rsidRDefault="00C2537A" w:rsidP="00C2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BC974" w14:textId="77777777" w:rsidR="00C2537A" w:rsidRDefault="00C2537A" w:rsidP="00C2537A">
      <w:pPr>
        <w:spacing w:after="0" w:line="240" w:lineRule="auto"/>
      </w:pPr>
      <w:r>
        <w:separator/>
      </w:r>
    </w:p>
  </w:footnote>
  <w:footnote w:type="continuationSeparator" w:id="0">
    <w:p w14:paraId="36BE1526" w14:textId="77777777" w:rsidR="00C2537A" w:rsidRDefault="00C2537A" w:rsidP="00C25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8FE4" w14:textId="7CDDF4AA" w:rsidR="001E4D3E" w:rsidRDefault="001E4D3E">
    <w:pPr>
      <w:pStyle w:val="Header"/>
    </w:pPr>
    <w:r w:rsidRPr="00881F0C">
      <w:rPr>
        <w:highlight w:val="yellow"/>
      </w:rPr>
      <w:t>STATE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60"/>
    <w:rsid w:val="001E4D3E"/>
    <w:rsid w:val="00245459"/>
    <w:rsid w:val="00397260"/>
    <w:rsid w:val="007E379C"/>
    <w:rsid w:val="0085040A"/>
    <w:rsid w:val="00881F0C"/>
    <w:rsid w:val="00967745"/>
    <w:rsid w:val="00AA4110"/>
    <w:rsid w:val="00C2537A"/>
    <w:rsid w:val="00C42AF8"/>
    <w:rsid w:val="00C94DC0"/>
    <w:rsid w:val="00CA595E"/>
    <w:rsid w:val="00D171A7"/>
    <w:rsid w:val="00D4055C"/>
    <w:rsid w:val="00DE57A9"/>
    <w:rsid w:val="00F7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B651"/>
  <w15:chartTrackingRefBased/>
  <w15:docId w15:val="{5317DA0F-FC54-400F-AAE1-762A242D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0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4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0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4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5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7A"/>
  </w:style>
  <w:style w:type="paragraph" w:styleId="Footer">
    <w:name w:val="footer"/>
    <w:basedOn w:val="Normal"/>
    <w:link w:val="FooterChar"/>
    <w:uiPriority w:val="99"/>
    <w:unhideWhenUsed/>
    <w:rsid w:val="00C25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7A"/>
  </w:style>
  <w:style w:type="paragraph" w:customStyle="1" w:styleId="Default">
    <w:name w:val="Default"/>
    <w:rsid w:val="00C2537A"/>
    <w:pPr>
      <w:autoSpaceDE w:val="0"/>
      <w:autoSpaceDN w:val="0"/>
      <w:adjustRightInd w:val="0"/>
      <w:spacing w:after="0" w:line="240" w:lineRule="auto"/>
    </w:pPr>
    <w:rPr>
      <w:rFonts w:ascii="Poppins Light" w:hAnsi="Poppins Light" w:cs="Poppins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sgjusticecenter.org/wp-content/uploads/2020/01/confined-and-costly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98439AFA81E498F77D25C786519F4" ma:contentTypeVersion="11" ma:contentTypeDescription="Create a new document." ma:contentTypeScope="" ma:versionID="2eee30f09807eeac4a01227db7fe7da3">
  <xsd:schema xmlns:xsd="http://www.w3.org/2001/XMLSchema" xmlns:xs="http://www.w3.org/2001/XMLSchema" xmlns:p="http://schemas.microsoft.com/office/2006/metadata/properties" xmlns:ns2="761c6e68-1cb6-4689-a9f8-1fc6e959a784" xmlns:ns3="92180e4e-06c3-4953-9d7f-e8282e53295e" targetNamespace="http://schemas.microsoft.com/office/2006/metadata/properties" ma:root="true" ma:fieldsID="12701c335ef03a3ee46b176a305484f3" ns2:_="" ns3:_="">
    <xsd:import namespace="761c6e68-1cb6-4689-a9f8-1fc6e959a784"/>
    <xsd:import namespace="92180e4e-06c3-4953-9d7f-e8282e532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c6e68-1cb6-4689-a9f8-1fc6e959a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80e4e-06c3-4953-9d7f-e8282e53295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11CAC0-112F-400E-A094-00AAE5379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c6e68-1cb6-4689-a9f8-1fc6e959a784"/>
    <ds:schemaRef ds:uri="92180e4e-06c3-4953-9d7f-e8282e532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CEA6E2-1556-47A2-8099-32BC66F00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0FB93-7AEA-4982-8A0A-443F5529F5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Gonzales-Bricker</dc:creator>
  <cp:keywords/>
  <dc:description/>
  <cp:lastModifiedBy>Jessica Saunders</cp:lastModifiedBy>
  <cp:revision>4</cp:revision>
  <dcterms:created xsi:type="dcterms:W3CDTF">2020-11-23T21:29:00Z</dcterms:created>
  <dcterms:modified xsi:type="dcterms:W3CDTF">2020-11-23T21:40:00Z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0x01010085A98439AFA81E498F77D25C786519F4</vt:lpwstr>
  </property>
</Properties>
</file>