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36284" w14:textId="77777777" w:rsidR="003A3804" w:rsidRPr="00B0593F" w:rsidRDefault="003A3804" w:rsidP="003A3804">
      <w:pPr>
        <w:pStyle w:val="Title"/>
        <w:rPr>
          <w:rFonts w:ascii="IBM Plex Sans" w:hAnsi="IBM Plex Sans"/>
          <w:b w:val="0"/>
          <w:bCs w:val="0"/>
          <w:color w:val="auto"/>
          <w:sz w:val="32"/>
          <w:szCs w:val="32"/>
          <w:lang w:val="en-GB"/>
        </w:rPr>
      </w:pPr>
      <w:r w:rsidRPr="00B0593F">
        <w:rPr>
          <w:rFonts w:ascii="IBM Plex Sans" w:hAnsi="IBM Plex Sans"/>
          <w:b w:val="0"/>
          <w:bCs w:val="0"/>
          <w:color w:val="auto"/>
          <w:sz w:val="32"/>
          <w:szCs w:val="32"/>
          <w:lang w:val="en-GB"/>
        </w:rPr>
        <w:t>Points of Confusion: Understanding “Typologically Awkward” Assemblages in the Final Palaeolithic</w:t>
      </w:r>
    </w:p>
    <w:p w14:paraId="59E740A9" w14:textId="77777777" w:rsidR="003A3804" w:rsidRPr="00B0593F" w:rsidRDefault="003A3804" w:rsidP="003A3804">
      <w:pPr>
        <w:pStyle w:val="Author"/>
        <w:spacing w:after="0"/>
        <w:rPr>
          <w:rFonts w:ascii="IBM Plex Sans" w:hAnsi="IBM Plex Sans"/>
          <w:sz w:val="20"/>
          <w:szCs w:val="20"/>
          <w:lang w:val="en-GB"/>
        </w:rPr>
      </w:pPr>
      <w:r w:rsidRPr="00B0593F">
        <w:rPr>
          <w:rFonts w:ascii="IBM Plex Sans" w:hAnsi="IBM Plex Sans"/>
          <w:sz w:val="20"/>
          <w:szCs w:val="20"/>
          <w:lang w:val="en-GB"/>
        </w:rPr>
        <w:t>Christian Steven Hoggard (University of Southampton, UK)</w:t>
      </w:r>
    </w:p>
    <w:p w14:paraId="17A88404" w14:textId="77777777" w:rsidR="003A3804" w:rsidRPr="00B0593F" w:rsidRDefault="003A3804" w:rsidP="003A3804">
      <w:pPr>
        <w:pStyle w:val="Author"/>
        <w:spacing w:after="0"/>
        <w:rPr>
          <w:rFonts w:ascii="IBM Plex Sans" w:hAnsi="IBM Plex Sans"/>
          <w:sz w:val="20"/>
          <w:szCs w:val="20"/>
          <w:lang w:val="en-GB"/>
        </w:rPr>
      </w:pPr>
      <w:r w:rsidRPr="00B0593F">
        <w:rPr>
          <w:rFonts w:ascii="IBM Plex Sans" w:hAnsi="IBM Plex Sans"/>
          <w:sz w:val="20"/>
          <w:szCs w:val="20"/>
          <w:lang w:val="en-GB"/>
        </w:rPr>
        <w:t>Felix Riede (Aarhus University, DK)</w:t>
      </w:r>
    </w:p>
    <w:p w14:paraId="36DD4128" w14:textId="345902C0" w:rsidR="003A3804" w:rsidRDefault="003A3804" w:rsidP="003A3804">
      <w:pPr>
        <w:pStyle w:val="Date"/>
        <w:spacing w:after="0"/>
        <w:rPr>
          <w:rFonts w:ascii="IBM Plex Sans" w:hAnsi="IBM Plex Sans"/>
          <w:sz w:val="20"/>
          <w:szCs w:val="20"/>
          <w:lang w:val="en-GB"/>
        </w:rPr>
      </w:pPr>
      <w:r>
        <w:rPr>
          <w:rFonts w:ascii="IBM Plex Sans" w:hAnsi="IBM Plex Sans"/>
          <w:sz w:val="20"/>
          <w:szCs w:val="20"/>
          <w:lang w:val="en-GB"/>
        </w:rPr>
        <w:t>April</w:t>
      </w:r>
      <w:r w:rsidRPr="00B0593F">
        <w:rPr>
          <w:rFonts w:ascii="IBM Plex Sans" w:hAnsi="IBM Plex Sans"/>
          <w:sz w:val="20"/>
          <w:szCs w:val="20"/>
          <w:lang w:val="en-GB"/>
        </w:rPr>
        <w:t xml:space="preserve"> </w:t>
      </w:r>
      <w:r w:rsidRPr="00B0593F">
        <w:rPr>
          <w:rFonts w:ascii="IBM Plex Sans" w:hAnsi="IBM Plex Sans"/>
          <w:sz w:val="20"/>
          <w:szCs w:val="20"/>
          <w:lang w:val="en-GB"/>
        </w:rPr>
        <w:t>2021</w:t>
      </w:r>
    </w:p>
    <w:p w14:paraId="55CB5FCF" w14:textId="76275CCA" w:rsidR="003A3804" w:rsidRDefault="003A3804" w:rsidP="003A3804">
      <w:pPr>
        <w:pStyle w:val="BodyText"/>
      </w:pPr>
    </w:p>
    <w:p w14:paraId="5F1FB45B" w14:textId="77777777" w:rsidR="003A3804" w:rsidRPr="003A3804" w:rsidRDefault="003A3804" w:rsidP="003A3804">
      <w:pPr>
        <w:pStyle w:val="BodyText"/>
      </w:pPr>
    </w:p>
    <w:p w14:paraId="7DE09D5B" w14:textId="6CBB1B01" w:rsidR="003A3804" w:rsidRDefault="003A3804">
      <w:pPr>
        <w:rPr>
          <w:rFonts w:ascii="IBM Plex Sans" w:hAnsi="IBM Plex Sans"/>
          <w:b/>
          <w:bCs/>
          <w:sz w:val="28"/>
          <w:szCs w:val="28"/>
        </w:rPr>
      </w:pPr>
      <w:r>
        <w:rPr>
          <w:rFonts w:ascii="IBM Plex Sans" w:hAnsi="IBM Plex Sans"/>
          <w:b/>
          <w:bCs/>
          <w:sz w:val="28"/>
          <w:szCs w:val="28"/>
        </w:rPr>
        <w:t>Introduction</w:t>
      </w:r>
    </w:p>
    <w:p w14:paraId="753A6C7E" w14:textId="77777777" w:rsidR="003A3804" w:rsidRPr="00B0593F" w:rsidRDefault="003A3804" w:rsidP="003A3804">
      <w:pPr>
        <w:pStyle w:val="FirstParagraph"/>
        <w:jc w:val="both"/>
        <w:rPr>
          <w:rFonts w:ascii="IBM Plex Sans" w:hAnsi="IBM Plex Sans"/>
          <w:sz w:val="20"/>
          <w:szCs w:val="20"/>
          <w:lang w:val="en-GB"/>
        </w:rPr>
      </w:pPr>
      <w:r w:rsidRPr="00B0593F">
        <w:rPr>
          <w:rFonts w:ascii="IBM Plex Sans" w:hAnsi="IBM Plex Sans"/>
          <w:sz w:val="20"/>
          <w:szCs w:val="20"/>
          <w:lang w:val="en-GB"/>
        </w:rPr>
        <w:t xml:space="preserve">The Late Glacial, the first pronounced warming sandwiched between the Last Glacial Maximum and the beginning of the Holocene (c. 16,000-11,700 cal BP), is traditionally viewed as a period of increasing cultural diversity in northern Europe, with groups belonging to the Magdalenian and Epigravettian beginning to migrate northwards (Gamble et al. 2005; Riede, 2014; Wygal and Heidenreich, 2014). Groups occupying particular regions in northern Europe began to develop consistent differences in their toolkits, with variances in shouldered points (e.g. the Hamburgian: Burdukiewicz, 1986), backed points (e.g. the Federmessergruppen and </w:t>
      </w:r>
      <w:proofErr w:type="spellStart"/>
      <w:r w:rsidRPr="00B0593F">
        <w:rPr>
          <w:rFonts w:ascii="IBM Plex Sans" w:hAnsi="IBM Plex Sans"/>
          <w:sz w:val="20"/>
          <w:szCs w:val="20"/>
          <w:lang w:val="en-GB"/>
        </w:rPr>
        <w:t>Azilian</w:t>
      </w:r>
      <w:proofErr w:type="spellEnd"/>
      <w:r w:rsidRPr="00B0593F">
        <w:rPr>
          <w:rFonts w:ascii="IBM Plex Sans" w:hAnsi="IBM Plex Sans"/>
          <w:sz w:val="20"/>
          <w:szCs w:val="20"/>
          <w:lang w:val="en-GB"/>
        </w:rPr>
        <w:t xml:space="preserve">: Schild, 1996), large tanged points (e.g. the Bromme: </w:t>
      </w:r>
      <w:proofErr w:type="spellStart"/>
      <w:r w:rsidRPr="00B0593F">
        <w:rPr>
          <w:rFonts w:ascii="IBM Plex Sans" w:hAnsi="IBM Plex Sans"/>
          <w:sz w:val="20"/>
          <w:szCs w:val="20"/>
          <w:lang w:val="en-GB"/>
        </w:rPr>
        <w:t>Taute</w:t>
      </w:r>
      <w:proofErr w:type="spellEnd"/>
      <w:r w:rsidRPr="00B0593F">
        <w:rPr>
          <w:rFonts w:ascii="IBM Plex Sans" w:hAnsi="IBM Plex Sans"/>
          <w:sz w:val="20"/>
          <w:szCs w:val="20"/>
          <w:lang w:val="en-GB"/>
        </w:rPr>
        <w:t xml:space="preserve">, 1968) and small tanged points (e.g. the Ahrensburgian and </w:t>
      </w:r>
      <w:proofErr w:type="spellStart"/>
      <w:r w:rsidRPr="00B0593F">
        <w:rPr>
          <w:rFonts w:ascii="IBM Plex Sans" w:hAnsi="IBM Plex Sans"/>
          <w:sz w:val="20"/>
          <w:szCs w:val="20"/>
          <w:lang w:val="en-GB"/>
        </w:rPr>
        <w:t>Swiderian</w:t>
      </w:r>
      <w:proofErr w:type="spellEnd"/>
      <w:r w:rsidRPr="00B0593F">
        <w:rPr>
          <w:rFonts w:ascii="IBM Plex Sans" w:hAnsi="IBM Plex Sans"/>
          <w:sz w:val="20"/>
          <w:szCs w:val="20"/>
          <w:lang w:val="en-GB"/>
        </w:rPr>
        <w:t xml:space="preserve">: </w:t>
      </w:r>
      <w:proofErr w:type="spellStart"/>
      <w:r w:rsidRPr="00B0593F">
        <w:rPr>
          <w:rFonts w:ascii="IBM Plex Sans" w:hAnsi="IBM Plex Sans"/>
          <w:sz w:val="20"/>
          <w:szCs w:val="20"/>
          <w:lang w:val="en-GB"/>
        </w:rPr>
        <w:t>Taute</w:t>
      </w:r>
      <w:proofErr w:type="spellEnd"/>
      <w:r w:rsidRPr="00B0593F">
        <w:rPr>
          <w:rFonts w:ascii="IBM Plex Sans" w:hAnsi="IBM Plex Sans"/>
          <w:sz w:val="20"/>
          <w:szCs w:val="20"/>
          <w:lang w:val="en-GB"/>
        </w:rPr>
        <w:t xml:space="preserve">, 1968; </w:t>
      </w:r>
      <w:proofErr w:type="spellStart"/>
      <w:r w:rsidRPr="00B0593F">
        <w:rPr>
          <w:rFonts w:ascii="IBM Plex Sans" w:hAnsi="IBM Plex Sans"/>
          <w:sz w:val="20"/>
          <w:szCs w:val="20"/>
          <w:lang w:val="en-GB"/>
        </w:rPr>
        <w:t>Kobusiewicz</w:t>
      </w:r>
      <w:proofErr w:type="spellEnd"/>
      <w:r w:rsidRPr="00B0593F">
        <w:rPr>
          <w:rFonts w:ascii="IBM Plex Sans" w:hAnsi="IBM Plex Sans"/>
          <w:sz w:val="20"/>
          <w:szCs w:val="20"/>
          <w:lang w:val="en-GB"/>
        </w:rPr>
        <w:t>, 2002) traditionally considered as important markers of this diversification. These regional cultural entities in turn provide the framework for inferring patterns and processes of migration, adaptation, and potentially even emerging ethnicity for this period. Cultural units are not static, and once their attendant territories are defined, cultures can move around, their economic focus can change, and cultures can interact. It is for this reason that the identification of robust archaeological taxonomic units are a fundamental precondition in our archaeological understanding of this period; without these units, the goal of understanding such past processes cannot be realised (Roberts and Vander Linden, 2011).</w:t>
      </w:r>
    </w:p>
    <w:p w14:paraId="6107CA63" w14:textId="39E90A2B" w:rsidR="003A3804" w:rsidRDefault="003A3804" w:rsidP="003A3804">
      <w:pPr>
        <w:pStyle w:val="BodyText"/>
        <w:jc w:val="both"/>
        <w:rPr>
          <w:rFonts w:ascii="IBM Plex Sans" w:hAnsi="IBM Plex Sans"/>
          <w:sz w:val="20"/>
          <w:szCs w:val="20"/>
        </w:rPr>
      </w:pPr>
      <w:r w:rsidRPr="00B0593F">
        <w:rPr>
          <w:rFonts w:ascii="IBM Plex Sans" w:hAnsi="IBM Plex Sans"/>
          <w:sz w:val="20"/>
          <w:szCs w:val="20"/>
        </w:rPr>
        <w:t xml:space="preserve">Yet, </w:t>
      </w:r>
      <w:r>
        <w:rPr>
          <w:rFonts w:ascii="IBM Plex Sans" w:hAnsi="IBM Plex Sans"/>
          <w:sz w:val="20"/>
          <w:szCs w:val="20"/>
        </w:rPr>
        <w:t xml:space="preserve">the creation and utilisation of </w:t>
      </w:r>
      <w:r w:rsidRPr="00B0593F">
        <w:rPr>
          <w:rFonts w:ascii="IBM Plex Sans" w:hAnsi="IBM Plex Sans"/>
          <w:sz w:val="20"/>
          <w:szCs w:val="20"/>
        </w:rPr>
        <w:t>techno-typological classifications for the European Palaeolithic (and further afield) have been repeatedly critiqued (</w:t>
      </w:r>
      <w:proofErr w:type="spellStart"/>
      <w:r w:rsidRPr="00B0593F">
        <w:rPr>
          <w:rFonts w:ascii="IBM Plex Sans" w:hAnsi="IBM Plex Sans"/>
          <w:sz w:val="20"/>
          <w:szCs w:val="20"/>
        </w:rPr>
        <w:t>Otte</w:t>
      </w:r>
      <w:proofErr w:type="spellEnd"/>
      <w:r w:rsidRPr="00B0593F">
        <w:rPr>
          <w:rFonts w:ascii="IBM Plex Sans" w:hAnsi="IBM Plex Sans"/>
          <w:sz w:val="20"/>
          <w:szCs w:val="20"/>
        </w:rPr>
        <w:t xml:space="preserve"> and Keeley, 1990; Neeley and Barton, 1994; Barton and Neeley, 1996; </w:t>
      </w:r>
      <w:proofErr w:type="spellStart"/>
      <w:r w:rsidRPr="00B0593F">
        <w:rPr>
          <w:rFonts w:ascii="IBM Plex Sans" w:hAnsi="IBM Plex Sans"/>
          <w:sz w:val="20"/>
          <w:szCs w:val="20"/>
        </w:rPr>
        <w:t>Felgenhauer</w:t>
      </w:r>
      <w:proofErr w:type="spellEnd"/>
      <w:r w:rsidRPr="00B0593F">
        <w:rPr>
          <w:rFonts w:ascii="IBM Plex Sans" w:hAnsi="IBM Plex Sans"/>
          <w:sz w:val="20"/>
          <w:szCs w:val="20"/>
        </w:rPr>
        <w:t xml:space="preserve">, 1996; Clark, 1999, </w:t>
      </w:r>
      <w:proofErr w:type="spellStart"/>
      <w:r w:rsidRPr="00B0593F">
        <w:rPr>
          <w:rFonts w:ascii="IBM Plex Sans" w:hAnsi="IBM Plex Sans"/>
          <w:sz w:val="20"/>
          <w:szCs w:val="20"/>
        </w:rPr>
        <w:t>Vasil’ev</w:t>
      </w:r>
      <w:proofErr w:type="spellEnd"/>
      <w:r w:rsidRPr="00B0593F">
        <w:rPr>
          <w:rFonts w:ascii="IBM Plex Sans" w:hAnsi="IBM Plex Sans"/>
          <w:sz w:val="20"/>
          <w:szCs w:val="20"/>
        </w:rPr>
        <w:t xml:space="preserve">, 2001; 2009; </w:t>
      </w:r>
      <w:proofErr w:type="spellStart"/>
      <w:r w:rsidRPr="00B0593F">
        <w:rPr>
          <w:rFonts w:ascii="IBM Plex Sans" w:hAnsi="IBM Plex Sans"/>
          <w:sz w:val="20"/>
          <w:szCs w:val="20"/>
        </w:rPr>
        <w:t>Tomášková</w:t>
      </w:r>
      <w:proofErr w:type="spellEnd"/>
      <w:r w:rsidRPr="00B0593F">
        <w:rPr>
          <w:rFonts w:ascii="IBM Plex Sans" w:hAnsi="IBM Plex Sans"/>
          <w:sz w:val="20"/>
          <w:szCs w:val="20"/>
        </w:rPr>
        <w:t xml:space="preserve">, 2013; Clark and Riel-Salvatore, 2006; Shea, 2014; Lisitsyn, 2017; </w:t>
      </w:r>
      <w:proofErr w:type="spellStart"/>
      <w:r w:rsidRPr="00B0593F">
        <w:rPr>
          <w:rFonts w:ascii="IBM Plex Sans" w:hAnsi="IBM Plex Sans"/>
          <w:sz w:val="20"/>
          <w:szCs w:val="20"/>
        </w:rPr>
        <w:t>Ivanovaitė</w:t>
      </w:r>
      <w:proofErr w:type="spellEnd"/>
      <w:r w:rsidRPr="00B0593F">
        <w:rPr>
          <w:rFonts w:ascii="IBM Plex Sans" w:hAnsi="IBM Plex Sans"/>
          <w:sz w:val="20"/>
          <w:szCs w:val="20"/>
        </w:rPr>
        <w:t xml:space="preserve"> and Riede, 2018; Riede et al. 2019; Reynolds and Riede, 2019; Ivanovaite et al. 2019). </w:t>
      </w:r>
      <w:proofErr w:type="spellStart"/>
      <w:r w:rsidRPr="00B0593F">
        <w:rPr>
          <w:rFonts w:ascii="IBM Plex Sans" w:hAnsi="IBM Plex Sans"/>
          <w:sz w:val="20"/>
          <w:szCs w:val="20"/>
        </w:rPr>
        <w:t>Otte</w:t>
      </w:r>
      <w:proofErr w:type="spellEnd"/>
      <w:r w:rsidRPr="00B0593F">
        <w:rPr>
          <w:rFonts w:ascii="IBM Plex Sans" w:hAnsi="IBM Plex Sans"/>
          <w:sz w:val="20"/>
          <w:szCs w:val="20"/>
        </w:rPr>
        <w:t xml:space="preserve"> and Keeley (1990) note that many of the taxonomic units for the Final Palaeolithic, the </w:t>
      </w:r>
      <w:r w:rsidRPr="00B0593F">
        <w:rPr>
          <w:rFonts w:ascii="IBM Plex Sans" w:hAnsi="IBM Plex Sans"/>
          <w:i/>
          <w:sz w:val="20"/>
          <w:szCs w:val="20"/>
        </w:rPr>
        <w:t xml:space="preserve">fossils </w:t>
      </w:r>
      <w:proofErr w:type="spellStart"/>
      <w:r w:rsidRPr="00B0593F">
        <w:rPr>
          <w:rFonts w:ascii="IBM Plex Sans" w:hAnsi="IBM Plex Sans"/>
          <w:i/>
          <w:sz w:val="20"/>
          <w:szCs w:val="20"/>
        </w:rPr>
        <w:t>directeurs</w:t>
      </w:r>
      <w:proofErr w:type="spellEnd"/>
      <w:r w:rsidRPr="00B0593F">
        <w:rPr>
          <w:rFonts w:ascii="IBM Plex Sans" w:hAnsi="IBM Plex Sans"/>
          <w:sz w:val="20"/>
          <w:szCs w:val="20"/>
        </w:rPr>
        <w:t xml:space="preserve"> of prehistoric ethno-geographic variability, are usually rooted in early antiquarian excavations, consisting of only a few key sites as aptly reflected in the practice of naming archaeological units after </w:t>
      </w:r>
      <w:r w:rsidRPr="00B0593F">
        <w:rPr>
          <w:rFonts w:ascii="IBM Plex Sans" w:hAnsi="IBM Plex Sans"/>
          <w:i/>
          <w:sz w:val="20"/>
          <w:szCs w:val="20"/>
        </w:rPr>
        <w:t xml:space="preserve">loci </w:t>
      </w:r>
      <w:proofErr w:type="spellStart"/>
      <w:r w:rsidRPr="00B0593F">
        <w:rPr>
          <w:rFonts w:ascii="IBM Plex Sans" w:hAnsi="IBM Plex Sans"/>
          <w:i/>
          <w:sz w:val="20"/>
          <w:szCs w:val="20"/>
        </w:rPr>
        <w:t>classici</w:t>
      </w:r>
      <w:proofErr w:type="spellEnd"/>
      <w:r w:rsidRPr="00B0593F">
        <w:rPr>
          <w:rFonts w:ascii="IBM Plex Sans" w:hAnsi="IBM Plex Sans"/>
          <w:sz w:val="20"/>
          <w:szCs w:val="20"/>
        </w:rPr>
        <w:t xml:space="preserve">. Sauer and Riede (2019) have highlighted that, for the Final Palaeolithic of Central Europe, units appear to reflect differing research histories more than empirical variation between assemblages. A more acerbic critique has been voiced by </w:t>
      </w:r>
      <w:proofErr w:type="spellStart"/>
      <w:r w:rsidRPr="00B0593F">
        <w:rPr>
          <w:rFonts w:ascii="IBM Plex Sans" w:hAnsi="IBM Plex Sans"/>
          <w:sz w:val="20"/>
          <w:szCs w:val="20"/>
        </w:rPr>
        <w:t>Houtsma</w:t>
      </w:r>
      <w:proofErr w:type="spellEnd"/>
      <w:r w:rsidRPr="00B0593F">
        <w:rPr>
          <w:rFonts w:ascii="IBM Plex Sans" w:hAnsi="IBM Plex Sans"/>
          <w:sz w:val="20"/>
          <w:szCs w:val="20"/>
        </w:rPr>
        <w:t xml:space="preserve"> et al. (1996: 143), arguing that ‘[o]</w:t>
      </w:r>
      <w:proofErr w:type="spellStart"/>
      <w:r w:rsidRPr="00B0593F">
        <w:rPr>
          <w:rFonts w:ascii="IBM Plex Sans" w:hAnsi="IBM Plex Sans"/>
          <w:sz w:val="20"/>
          <w:szCs w:val="20"/>
        </w:rPr>
        <w:t>nly</w:t>
      </w:r>
      <w:proofErr w:type="spellEnd"/>
      <w:r w:rsidRPr="00B0593F">
        <w:rPr>
          <w:rFonts w:ascii="IBM Plex Sans" w:hAnsi="IBM Plex Sans"/>
          <w:sz w:val="20"/>
          <w:szCs w:val="20"/>
        </w:rPr>
        <w:t xml:space="preserve"> when researchers of the Late Palaeolithic habitation of the Northwest European Plain escape the constraints of contemporary national borders and the paradigmatic straight-jackets of provincialism and regional chauvinism, which lead to insularity, will we be in a position to gain analytical control of the totality of extant data partitioned into uniform and mutually comparable sets of demonstrably relevant attributes’.</w:t>
      </w:r>
    </w:p>
    <w:p w14:paraId="3C37D436" w14:textId="0B8C5A48" w:rsidR="003A3804" w:rsidRDefault="003A3804" w:rsidP="003A3804">
      <w:pPr>
        <w:pStyle w:val="BodyText"/>
        <w:jc w:val="both"/>
        <w:rPr>
          <w:rFonts w:ascii="IBM Plex Sans" w:hAnsi="IBM Plex Sans"/>
          <w:sz w:val="20"/>
          <w:szCs w:val="20"/>
        </w:rPr>
      </w:pPr>
      <w:r w:rsidRPr="00731BF5">
        <w:rPr>
          <w:rFonts w:ascii="IBM Plex Sans" w:hAnsi="IBM Plex Sans"/>
          <w:sz w:val="20"/>
          <w:szCs w:val="20"/>
        </w:rPr>
        <w:t xml:space="preserve">Attempts are currently underway to provide a more robust comparative framework for the European Final Palaeolithic (Riede et al. 2019; Ivanovaite et al. 2019). This approach is theoretically motivated by cultural evolutionary theory, in which culture is conceptualised as a system of information transmission across generations; as a learned craft, elements of material culture such a lithics can be used as a proxy for such social transmission. In combination with novel computational tools such as </w:t>
      </w:r>
      <w:r w:rsidRPr="00731BF5">
        <w:rPr>
          <w:rFonts w:ascii="IBM Plex Sans" w:hAnsi="IBM Plex Sans"/>
          <w:sz w:val="20"/>
          <w:szCs w:val="20"/>
        </w:rPr>
        <w:lastRenderedPageBreak/>
        <w:t xml:space="preserve">geometric morphometrics, such an approach should in principle facilitate reproducible assessments of archaeological taxonomic units. Yet, these efforts have so far focused almost exclusively on the analysis of projectile points as cultural markers. In doing so, they take advantage of the relative ease with which large datasets of projectile point shapes can be amassed from the </w:t>
      </w:r>
      <w:proofErr w:type="gramStart"/>
      <w:r w:rsidRPr="00731BF5">
        <w:rPr>
          <w:rFonts w:ascii="IBM Plex Sans" w:hAnsi="IBM Plex Sans"/>
          <w:sz w:val="20"/>
          <w:szCs w:val="20"/>
        </w:rPr>
        <w:t>literature, but</w:t>
      </w:r>
      <w:proofErr w:type="gramEnd"/>
      <w:r w:rsidRPr="00731BF5">
        <w:rPr>
          <w:rFonts w:ascii="IBM Plex Sans" w:hAnsi="IBM Plex Sans"/>
          <w:sz w:val="20"/>
          <w:szCs w:val="20"/>
        </w:rPr>
        <w:t xml:space="preserve"> have side-stepped the long-standing debate about the relationship of finished tools and production processes (see </w:t>
      </w:r>
      <w:proofErr w:type="spellStart"/>
      <w:r w:rsidRPr="00731BF5">
        <w:rPr>
          <w:rFonts w:ascii="IBM Plex Sans" w:hAnsi="IBM Plex Sans"/>
          <w:sz w:val="20"/>
          <w:szCs w:val="20"/>
        </w:rPr>
        <w:t>Tostevin</w:t>
      </w:r>
      <w:proofErr w:type="spellEnd"/>
      <w:r w:rsidRPr="00731BF5">
        <w:rPr>
          <w:rFonts w:ascii="IBM Plex Sans" w:hAnsi="IBM Plex Sans"/>
          <w:sz w:val="20"/>
          <w:szCs w:val="20"/>
        </w:rPr>
        <w:t xml:space="preserve"> 2011). Projectile points – especially simple and often rather variable forms as the ones prevalent in the European Final Palaeolithic (see Dev and Riede 2012) – are easily copied in their shape (Carr 1995) or may suffer from strong convergent trends in their overall design (cf. O’Brien et al. 2018). In addition, many assemblages </w:t>
      </w:r>
      <w:proofErr w:type="gramStart"/>
      <w:r w:rsidRPr="00731BF5">
        <w:rPr>
          <w:rFonts w:ascii="IBM Plex Sans" w:hAnsi="IBM Plex Sans"/>
          <w:sz w:val="20"/>
          <w:szCs w:val="20"/>
        </w:rPr>
        <w:t>actually contain</w:t>
      </w:r>
      <w:proofErr w:type="gramEnd"/>
      <w:r w:rsidRPr="00731BF5">
        <w:rPr>
          <w:rFonts w:ascii="IBM Plex Sans" w:hAnsi="IBM Plex Sans"/>
          <w:sz w:val="20"/>
          <w:szCs w:val="20"/>
        </w:rPr>
        <w:t xml:space="preserve"> multiple supposed lithic diagnostics, which maybe the result of genuine cultural contact, gifting or </w:t>
      </w:r>
      <w:proofErr w:type="spellStart"/>
      <w:r w:rsidRPr="00731BF5">
        <w:rPr>
          <w:rFonts w:ascii="IBM Plex Sans" w:hAnsi="IBM Plex Sans"/>
          <w:sz w:val="20"/>
          <w:szCs w:val="20"/>
        </w:rPr>
        <w:t>taphonomic</w:t>
      </w:r>
      <w:proofErr w:type="spellEnd"/>
      <w:r w:rsidRPr="00731BF5">
        <w:rPr>
          <w:rFonts w:ascii="IBM Plex Sans" w:hAnsi="IBM Plex Sans"/>
          <w:sz w:val="20"/>
          <w:szCs w:val="20"/>
        </w:rPr>
        <w:t xml:space="preserve"> processes such as post-depositional mixing. All these confounding factors compromise, in different and often difficult-to-account-for ways, the utility of lithic projectile points as exclusive indicators of cultural affiliation in the Final Palaeolithic.</w:t>
      </w:r>
    </w:p>
    <w:p w14:paraId="7F01702E" w14:textId="77777777" w:rsidR="003A3804" w:rsidRDefault="003A3804" w:rsidP="003A3804">
      <w:pPr>
        <w:pStyle w:val="BodyText"/>
        <w:jc w:val="both"/>
        <w:rPr>
          <w:rFonts w:ascii="IBM Plex Sans" w:hAnsi="IBM Plex Sans"/>
          <w:sz w:val="20"/>
          <w:szCs w:val="20"/>
        </w:rPr>
      </w:pPr>
      <w:r w:rsidRPr="00731BF5">
        <w:rPr>
          <w:rFonts w:ascii="IBM Plex Sans" w:hAnsi="IBM Plex Sans"/>
          <w:sz w:val="20"/>
          <w:szCs w:val="20"/>
        </w:rPr>
        <w:t>While sharing the analytical concerns with the research cited above, this article therefore considers Final Palaeolithic taxonomy through detailed technological analysis of selected assemblages. These assemblages are ‘typologically awkward’, i.e. they represent archaeological contexts with multiple techno-typological identifiers</w:t>
      </w:r>
      <w:r>
        <w:rPr>
          <w:rFonts w:ascii="IBM Plex Sans" w:hAnsi="IBM Plex Sans"/>
          <w:sz w:val="20"/>
          <w:szCs w:val="20"/>
        </w:rPr>
        <w:t xml:space="preserve"> (see Table 1 for a list of taxonomies discussed in this article)</w:t>
      </w:r>
      <w:r w:rsidRPr="00731BF5">
        <w:rPr>
          <w:rFonts w:ascii="IBM Plex Sans" w:hAnsi="IBM Plex Sans"/>
          <w:sz w:val="20"/>
          <w:szCs w:val="20"/>
        </w:rPr>
        <w:t xml:space="preserve">. Our analysis is centred on the two Final Palaeolithic contexts of Häcklingen and Bienenbuttel, both in Germany, and we compare and contextualise these with ten additional assemblages representing broadly contemporaneous cultural taxonomic units from Germany and Denmark. Final Palaeolithic technologies have been compared before (e.g. Hartz 1987, De </w:t>
      </w:r>
      <w:proofErr w:type="spellStart"/>
      <w:r w:rsidRPr="00731BF5">
        <w:rPr>
          <w:rFonts w:ascii="IBM Plex Sans" w:hAnsi="IBM Plex Sans"/>
          <w:sz w:val="20"/>
          <w:szCs w:val="20"/>
        </w:rPr>
        <w:t>Bie</w:t>
      </w:r>
      <w:proofErr w:type="spellEnd"/>
      <w:r w:rsidRPr="00731BF5">
        <w:rPr>
          <w:rFonts w:ascii="IBM Plex Sans" w:hAnsi="IBM Plex Sans"/>
          <w:sz w:val="20"/>
          <w:szCs w:val="20"/>
        </w:rPr>
        <w:t xml:space="preserve"> 1999; Berg-Hansen 2019; </w:t>
      </w:r>
      <w:proofErr w:type="spellStart"/>
      <w:r w:rsidRPr="00731BF5">
        <w:rPr>
          <w:rFonts w:ascii="IBM Plex Sans" w:hAnsi="IBM Plex Sans"/>
          <w:sz w:val="20"/>
          <w:szCs w:val="20"/>
        </w:rPr>
        <w:t>Kotthaus</w:t>
      </w:r>
      <w:proofErr w:type="spellEnd"/>
      <w:r w:rsidRPr="00731BF5">
        <w:rPr>
          <w:rFonts w:ascii="IBM Plex Sans" w:hAnsi="IBM Plex Sans"/>
          <w:sz w:val="20"/>
          <w:szCs w:val="20"/>
        </w:rPr>
        <w:t xml:space="preserve"> 2019) but analytical protocols and data have rarely been presented in a way that allows assessments to be replicated or up-scaled. In addition, we refrain from pre-classifying our assemblages </w:t>
      </w:r>
      <w:proofErr w:type="gramStart"/>
      <w:r w:rsidRPr="00731BF5">
        <w:rPr>
          <w:rFonts w:ascii="IBM Plex Sans" w:hAnsi="IBM Plex Sans"/>
          <w:sz w:val="20"/>
          <w:szCs w:val="20"/>
        </w:rPr>
        <w:t>on the basis of</w:t>
      </w:r>
      <w:proofErr w:type="gramEnd"/>
      <w:r w:rsidRPr="00731BF5">
        <w:rPr>
          <w:rFonts w:ascii="IBM Plex Sans" w:hAnsi="IBM Plex Sans"/>
          <w:sz w:val="20"/>
          <w:szCs w:val="20"/>
        </w:rPr>
        <w:t xml:space="preserve"> supposed projectile point or other diagnostics so as to avoid the seeking differences due to normative biases. Deploying a similar approach, </w:t>
      </w:r>
      <w:proofErr w:type="gramStart"/>
      <w:r w:rsidRPr="00731BF5">
        <w:rPr>
          <w:rFonts w:ascii="IBM Plex Sans" w:hAnsi="IBM Plex Sans"/>
          <w:sz w:val="20"/>
          <w:szCs w:val="20"/>
        </w:rPr>
        <w:t>Weiss</w:t>
      </w:r>
      <w:proofErr w:type="gramEnd"/>
      <w:r w:rsidRPr="00731BF5">
        <w:rPr>
          <w:rFonts w:ascii="IBM Plex Sans" w:hAnsi="IBM Plex Sans"/>
          <w:sz w:val="20"/>
          <w:szCs w:val="20"/>
        </w:rPr>
        <w:t xml:space="preserve"> and colleagues (2017) have recently shown for the Late Middle Palaeolithic how a quantitative technological analysis provides new perspectives on assemblage variability, independently of supposed diagnostics. In line with this effort, we here highlight how an empirical assessment of Final Palaeolithic flint technology can shed light on the positioning of our target inventories within the wider cultural taxonomic landscape, and we further highlight some of the outstanding issues in techno-typological classifications</w:t>
      </w:r>
      <w:r>
        <w:rPr>
          <w:rFonts w:ascii="IBM Plex Sans" w:hAnsi="IBM Plex Sans"/>
          <w:sz w:val="20"/>
          <w:szCs w:val="20"/>
        </w:rPr>
        <w:t>.</w:t>
      </w:r>
    </w:p>
    <w:p w14:paraId="70503D85" w14:textId="77777777" w:rsidR="003A3804" w:rsidRDefault="003A3804" w:rsidP="003A3804">
      <w:pPr>
        <w:pStyle w:val="BodyText"/>
        <w:jc w:val="both"/>
        <w:rPr>
          <w:rFonts w:ascii="IBM Plex Sans" w:hAnsi="IBM Plex Sans"/>
          <w:sz w:val="20"/>
          <w:szCs w:val="20"/>
        </w:rPr>
      </w:pPr>
    </w:p>
    <w:p w14:paraId="515501B7" w14:textId="2D6DDB0C" w:rsidR="003A3804" w:rsidRDefault="003A3804" w:rsidP="003A3804">
      <w:pPr>
        <w:rPr>
          <w:rFonts w:ascii="IBM Plex Sans" w:hAnsi="IBM Plex Sans"/>
          <w:b/>
          <w:bCs/>
          <w:sz w:val="28"/>
          <w:szCs w:val="28"/>
        </w:rPr>
      </w:pPr>
      <w:r>
        <w:rPr>
          <w:rFonts w:ascii="IBM Plex Sans" w:hAnsi="IBM Plex Sans"/>
          <w:b/>
          <w:bCs/>
          <w:sz w:val="28"/>
          <w:szCs w:val="28"/>
        </w:rPr>
        <w:t xml:space="preserve">Site Overviews: </w:t>
      </w:r>
      <w:r w:rsidRPr="003A3804">
        <w:rPr>
          <w:rFonts w:ascii="IBM Plex Sans" w:hAnsi="IBM Plex Sans"/>
          <w:b/>
          <w:bCs/>
          <w:sz w:val="28"/>
          <w:szCs w:val="28"/>
        </w:rPr>
        <w:t>Häcklingen and Bienenbuttel</w:t>
      </w:r>
    </w:p>
    <w:p w14:paraId="7C683100" w14:textId="370B7B24" w:rsidR="003A3804" w:rsidRPr="00AF6E00" w:rsidRDefault="003A3804" w:rsidP="003A3804">
      <w:pPr>
        <w:pStyle w:val="FirstParagraph"/>
        <w:jc w:val="both"/>
        <w:rPr>
          <w:rFonts w:ascii="IBM Plex Sans" w:hAnsi="IBM Plex Sans"/>
          <w:sz w:val="20"/>
          <w:szCs w:val="20"/>
          <w:lang w:val="en-GB"/>
        </w:rPr>
      </w:pPr>
      <w:r w:rsidRPr="00AF6E00">
        <w:rPr>
          <w:rFonts w:ascii="IBM Plex Sans" w:hAnsi="IBM Plex Sans"/>
          <w:sz w:val="20"/>
          <w:szCs w:val="20"/>
          <w:lang w:val="en-GB"/>
        </w:rPr>
        <w:t xml:space="preserve">Bienenbüttel-15 is situated on the north-east bank of the </w:t>
      </w:r>
      <w:proofErr w:type="spellStart"/>
      <w:r w:rsidRPr="00AF6E00">
        <w:rPr>
          <w:rFonts w:ascii="IBM Plex Sans" w:hAnsi="IBM Plex Sans"/>
          <w:sz w:val="20"/>
          <w:szCs w:val="20"/>
          <w:lang w:val="en-GB"/>
        </w:rPr>
        <w:t>Ilmenau</w:t>
      </w:r>
      <w:proofErr w:type="spellEnd"/>
      <w:r w:rsidRPr="00AF6E00">
        <w:rPr>
          <w:rFonts w:ascii="IBM Plex Sans" w:hAnsi="IBM Plex Sans"/>
          <w:sz w:val="20"/>
          <w:szCs w:val="20"/>
          <w:lang w:val="en-GB"/>
        </w:rPr>
        <w:t xml:space="preserve"> river, between the villages of Bienenbüttel and </w:t>
      </w:r>
      <w:proofErr w:type="spellStart"/>
      <w:r w:rsidRPr="00AF6E00">
        <w:rPr>
          <w:rFonts w:ascii="IBM Plex Sans" w:hAnsi="IBM Plex Sans"/>
          <w:sz w:val="20"/>
          <w:szCs w:val="20"/>
          <w:lang w:val="en-GB"/>
        </w:rPr>
        <w:t>Wichmannsburg</w:t>
      </w:r>
      <w:proofErr w:type="spellEnd"/>
      <w:r w:rsidRPr="00AF6E00">
        <w:rPr>
          <w:rFonts w:ascii="IBM Plex Sans" w:hAnsi="IBM Plex Sans"/>
          <w:sz w:val="20"/>
          <w:szCs w:val="20"/>
          <w:lang w:val="en-GB"/>
        </w:rPr>
        <w:t xml:space="preserve">, and is approximately 11km to the south-east of Häcklingen. Following test cuttings in autumn 1997, a more detailed investigation commenced in 1998 by the </w:t>
      </w:r>
      <w:proofErr w:type="spellStart"/>
      <w:r w:rsidRPr="00AF6E00">
        <w:rPr>
          <w:rFonts w:ascii="IBM Plex Sans" w:hAnsi="IBM Plex Sans"/>
          <w:sz w:val="20"/>
          <w:szCs w:val="20"/>
          <w:lang w:val="en-GB"/>
        </w:rPr>
        <w:t>Bezirksarchäologie</w:t>
      </w:r>
      <w:proofErr w:type="spellEnd"/>
      <w:r w:rsidRPr="00AF6E00">
        <w:rPr>
          <w:rFonts w:ascii="IBM Plex Sans" w:hAnsi="IBM Plex Sans"/>
          <w:sz w:val="20"/>
          <w:szCs w:val="20"/>
          <w:lang w:val="en-GB"/>
        </w:rPr>
        <w:t xml:space="preserve"> Lüneburg </w:t>
      </w:r>
      <w:proofErr w:type="spellStart"/>
      <w:r w:rsidRPr="00AF6E00">
        <w:rPr>
          <w:rFonts w:ascii="IBM Plex Sans" w:hAnsi="IBM Plex Sans"/>
          <w:sz w:val="20"/>
          <w:szCs w:val="20"/>
          <w:lang w:val="en-GB"/>
        </w:rPr>
        <w:t>Ausgrabungen</w:t>
      </w:r>
      <w:proofErr w:type="spellEnd"/>
      <w:r w:rsidRPr="00AF6E00">
        <w:rPr>
          <w:rFonts w:ascii="IBM Plex Sans" w:hAnsi="IBM Plex Sans"/>
          <w:sz w:val="20"/>
          <w:szCs w:val="20"/>
          <w:lang w:val="en-GB"/>
        </w:rPr>
        <w:t xml:space="preserve"> (Lüneburg </w:t>
      </w:r>
      <w:proofErr w:type="spellStart"/>
      <w:r w:rsidRPr="00AF6E00">
        <w:rPr>
          <w:rFonts w:ascii="IBM Plex Sans" w:hAnsi="IBM Plex Sans"/>
          <w:sz w:val="20"/>
          <w:szCs w:val="20"/>
          <w:lang w:val="en-GB"/>
        </w:rPr>
        <w:t>Distict</w:t>
      </w:r>
      <w:proofErr w:type="spellEnd"/>
      <w:r w:rsidRPr="00AF6E00">
        <w:rPr>
          <w:rFonts w:ascii="IBM Plex Sans" w:hAnsi="IBM Plex Sans"/>
          <w:sz w:val="20"/>
          <w:szCs w:val="20"/>
          <w:lang w:val="en-GB"/>
        </w:rPr>
        <w:t xml:space="preserve"> Archaeological Unit), following proposed building development in the area.</w:t>
      </w:r>
    </w:p>
    <w:p w14:paraId="442CDA8A" w14:textId="77777777" w:rsidR="003A3804" w:rsidRPr="00AF6E00" w:rsidRDefault="003A3804" w:rsidP="003A3804">
      <w:pPr>
        <w:pStyle w:val="BodyText"/>
        <w:jc w:val="both"/>
        <w:rPr>
          <w:rFonts w:ascii="IBM Plex Sans" w:hAnsi="IBM Plex Sans"/>
          <w:sz w:val="20"/>
          <w:szCs w:val="20"/>
        </w:rPr>
      </w:pPr>
      <w:r w:rsidRPr="00AF6E00">
        <w:rPr>
          <w:rFonts w:ascii="IBM Plex Sans" w:hAnsi="IBM Plex Sans"/>
          <w:sz w:val="20"/>
          <w:szCs w:val="20"/>
        </w:rPr>
        <w:t xml:space="preserve">Excavations revealed a wealth of Neolithic material including post-hole features, ceramic material in addition to a cooking pit; later prehistoric material from the Bronze Age was also recovered (Richter 2001). Below, </w:t>
      </w:r>
      <w:proofErr w:type="gramStart"/>
      <w:r w:rsidRPr="00AF6E00">
        <w:rPr>
          <w:rFonts w:ascii="IBM Plex Sans" w:hAnsi="IBM Plex Sans"/>
          <w:sz w:val="20"/>
          <w:szCs w:val="20"/>
        </w:rPr>
        <w:t>a number of</w:t>
      </w:r>
      <w:proofErr w:type="gramEnd"/>
      <w:r w:rsidRPr="00AF6E00">
        <w:rPr>
          <w:rFonts w:ascii="IBM Plex Sans" w:hAnsi="IBM Plex Sans"/>
          <w:sz w:val="20"/>
          <w:szCs w:val="20"/>
        </w:rPr>
        <w:t xml:space="preserve"> backed points were identified, in addition a number of scrapers, blade cores, burins and blades. Among these were </w:t>
      </w:r>
      <w:r>
        <w:rPr>
          <w:rFonts w:ascii="IBM Plex Sans" w:hAnsi="IBM Plex Sans"/>
          <w:sz w:val="20"/>
          <w:szCs w:val="20"/>
        </w:rPr>
        <w:t>several</w:t>
      </w:r>
      <w:r w:rsidRPr="00AF6E00">
        <w:rPr>
          <w:rFonts w:ascii="IBM Plex Sans" w:hAnsi="IBM Plex Sans"/>
          <w:sz w:val="20"/>
          <w:szCs w:val="20"/>
        </w:rPr>
        <w:t xml:space="preserve"> fragmented and complete Federmesser and Creswellian points, </w:t>
      </w:r>
      <w:r>
        <w:rPr>
          <w:rFonts w:ascii="IBM Plex Sans" w:hAnsi="IBM Plex Sans"/>
          <w:sz w:val="20"/>
          <w:szCs w:val="20"/>
        </w:rPr>
        <w:t>in addition to</w:t>
      </w:r>
      <w:r w:rsidRPr="00AF6E00">
        <w:rPr>
          <w:rFonts w:ascii="IBM Plex Sans" w:hAnsi="IBM Plex Sans"/>
          <w:sz w:val="20"/>
          <w:szCs w:val="20"/>
        </w:rPr>
        <w:t xml:space="preserve"> three Zonhoven points (</w:t>
      </w:r>
      <w:r w:rsidRPr="00AF6E00">
        <w:rPr>
          <w:rFonts w:ascii="IBM Plex Sans" w:hAnsi="IBM Plex Sans"/>
          <w:i/>
          <w:iCs/>
          <w:sz w:val="20"/>
          <w:szCs w:val="20"/>
        </w:rPr>
        <w:t>sensu</w:t>
      </w:r>
      <w:r w:rsidRPr="00AF6E00">
        <w:rPr>
          <w:rFonts w:ascii="IBM Plex Sans" w:hAnsi="IBM Plex Sans"/>
          <w:sz w:val="20"/>
          <w:szCs w:val="20"/>
        </w:rPr>
        <w:t xml:space="preserve"> </w:t>
      </w:r>
      <w:proofErr w:type="spellStart"/>
      <w:r w:rsidRPr="00AF6E00">
        <w:rPr>
          <w:rFonts w:ascii="IBM Plex Sans" w:hAnsi="IBM Plex Sans"/>
          <w:sz w:val="20"/>
          <w:szCs w:val="20"/>
        </w:rPr>
        <w:t>Schwabedissen</w:t>
      </w:r>
      <w:proofErr w:type="spellEnd"/>
      <w:r w:rsidRPr="00AF6E00">
        <w:rPr>
          <w:rFonts w:ascii="IBM Plex Sans" w:hAnsi="IBM Plex Sans"/>
          <w:sz w:val="20"/>
          <w:szCs w:val="20"/>
        </w:rPr>
        <w:t xml:space="preserve"> 1954), blades typical of the Ahrensburgian featuring sloping retouched tips. One Hamburgian point, belonging to the </w:t>
      </w:r>
      <w:proofErr w:type="spellStart"/>
      <w:r w:rsidRPr="00AF6E00">
        <w:rPr>
          <w:rFonts w:ascii="IBM Plex Sans" w:hAnsi="IBM Plex Sans"/>
          <w:sz w:val="20"/>
          <w:szCs w:val="20"/>
        </w:rPr>
        <w:t>Havelte</w:t>
      </w:r>
      <w:proofErr w:type="spellEnd"/>
      <w:r w:rsidRPr="00AF6E00">
        <w:rPr>
          <w:rFonts w:ascii="IBM Plex Sans" w:hAnsi="IBM Plex Sans"/>
          <w:sz w:val="20"/>
          <w:szCs w:val="20"/>
        </w:rPr>
        <w:t xml:space="preserve"> Group (</w:t>
      </w:r>
      <w:r w:rsidRPr="00AF6E00">
        <w:rPr>
          <w:rFonts w:ascii="IBM Plex Sans" w:hAnsi="IBM Plex Sans"/>
          <w:i/>
          <w:iCs/>
          <w:sz w:val="20"/>
          <w:szCs w:val="20"/>
        </w:rPr>
        <w:t>sensu</w:t>
      </w:r>
      <w:r w:rsidRPr="00AF6E00">
        <w:rPr>
          <w:rFonts w:ascii="IBM Plex Sans" w:hAnsi="IBM Plex Sans"/>
          <w:sz w:val="20"/>
          <w:szCs w:val="20"/>
        </w:rPr>
        <w:t xml:space="preserve"> </w:t>
      </w:r>
      <w:proofErr w:type="spellStart"/>
      <w:r w:rsidRPr="00AF6E00">
        <w:rPr>
          <w:rFonts w:ascii="IBM Plex Sans" w:hAnsi="IBM Plex Sans"/>
          <w:sz w:val="20"/>
          <w:szCs w:val="20"/>
        </w:rPr>
        <w:t>Bohmers</w:t>
      </w:r>
      <w:proofErr w:type="spellEnd"/>
      <w:r w:rsidRPr="00AF6E00">
        <w:rPr>
          <w:rFonts w:ascii="IBM Plex Sans" w:hAnsi="IBM Plex Sans"/>
          <w:sz w:val="20"/>
          <w:szCs w:val="20"/>
        </w:rPr>
        <w:t xml:space="preserve"> 1956 and </w:t>
      </w:r>
      <w:proofErr w:type="spellStart"/>
      <w:r w:rsidRPr="00AF6E00">
        <w:rPr>
          <w:rFonts w:ascii="IBM Plex Sans" w:hAnsi="IBM Plex Sans"/>
          <w:sz w:val="20"/>
          <w:szCs w:val="20"/>
        </w:rPr>
        <w:t>Stapert</w:t>
      </w:r>
      <w:proofErr w:type="spellEnd"/>
      <w:r w:rsidRPr="00AF6E00">
        <w:rPr>
          <w:rFonts w:ascii="IBM Plex Sans" w:hAnsi="IBM Plex Sans"/>
          <w:sz w:val="20"/>
          <w:szCs w:val="20"/>
        </w:rPr>
        <w:t xml:space="preserve"> 1997) was also identified among the assemblage. A clear temporal separation between the Final Palaeolithic and Neolithic material was acknowledged, with little mechanical redeposition in evidence. An absolute chronometric date was not, however, </w:t>
      </w:r>
      <w:r>
        <w:rPr>
          <w:rFonts w:ascii="IBM Plex Sans" w:hAnsi="IBM Plex Sans"/>
          <w:sz w:val="20"/>
          <w:szCs w:val="20"/>
        </w:rPr>
        <w:t>determined</w:t>
      </w:r>
      <w:r w:rsidRPr="00AF6E00">
        <w:rPr>
          <w:rFonts w:ascii="IBM Plex Sans" w:hAnsi="IBM Plex Sans"/>
          <w:sz w:val="20"/>
          <w:szCs w:val="20"/>
        </w:rPr>
        <w:t>.</w:t>
      </w:r>
    </w:p>
    <w:p w14:paraId="79D93ADD" w14:textId="208A2F95" w:rsidR="003A3804" w:rsidRDefault="003A3804" w:rsidP="003A3804">
      <w:pPr>
        <w:pStyle w:val="BodyText"/>
        <w:jc w:val="both"/>
        <w:rPr>
          <w:rFonts w:ascii="IBM Plex Sans" w:hAnsi="IBM Plex Sans"/>
          <w:sz w:val="20"/>
          <w:szCs w:val="20"/>
        </w:rPr>
        <w:sectPr w:rsidR="003A3804">
          <w:footerReference w:type="default" r:id="rId7"/>
          <w:pgSz w:w="11906" w:h="16838"/>
          <w:pgMar w:top="1440" w:right="1440" w:bottom="1440" w:left="1440" w:header="708" w:footer="708" w:gutter="0"/>
          <w:cols w:space="708"/>
          <w:docGrid w:linePitch="360"/>
        </w:sectPr>
      </w:pPr>
    </w:p>
    <w:tbl>
      <w:tblPr>
        <w:tblStyle w:val="TableGridLight"/>
        <w:tblW w:w="14061" w:type="dxa"/>
        <w:tblLook w:val="04A0" w:firstRow="1" w:lastRow="0" w:firstColumn="1" w:lastColumn="0" w:noHBand="0" w:noVBand="1"/>
      </w:tblPr>
      <w:tblGrid>
        <w:gridCol w:w="2126"/>
        <w:gridCol w:w="8677"/>
        <w:gridCol w:w="3258"/>
      </w:tblGrid>
      <w:tr w:rsidR="003A3804" w14:paraId="1DD38530" w14:textId="77777777" w:rsidTr="003A3804">
        <w:tc>
          <w:tcPr>
            <w:tcW w:w="2126" w:type="dxa"/>
            <w:vAlign w:val="center"/>
          </w:tcPr>
          <w:p w14:paraId="011BC555" w14:textId="5E2BA0BA" w:rsidR="003A3804" w:rsidRPr="0044340F" w:rsidRDefault="003A3804" w:rsidP="003A3804">
            <w:pPr>
              <w:pStyle w:val="BodyText"/>
              <w:spacing w:after="0"/>
              <w:jc w:val="center"/>
              <w:rPr>
                <w:rFonts w:ascii="IBM Plex Sans" w:hAnsi="IBM Plex Sans"/>
                <w:b/>
                <w:bCs/>
                <w:sz w:val="20"/>
                <w:szCs w:val="20"/>
                <w:lang w:val="en-GB"/>
              </w:rPr>
            </w:pPr>
            <w:r>
              <w:rPr>
                <w:rFonts w:ascii="IBM Plex Sans" w:hAnsi="IBM Plex Sans"/>
                <w:b/>
                <w:bCs/>
                <w:sz w:val="20"/>
                <w:szCs w:val="20"/>
                <w:lang w:val="en-GB"/>
              </w:rPr>
              <w:lastRenderedPageBreak/>
              <w:t>Taxonomic Unit</w:t>
            </w:r>
          </w:p>
        </w:tc>
        <w:tc>
          <w:tcPr>
            <w:tcW w:w="8677" w:type="dxa"/>
            <w:vAlign w:val="center"/>
          </w:tcPr>
          <w:p w14:paraId="216E0747" w14:textId="77777777" w:rsidR="003A3804" w:rsidRPr="0044340F" w:rsidRDefault="003A3804" w:rsidP="0044340F">
            <w:pPr>
              <w:pStyle w:val="BodyText"/>
              <w:spacing w:after="0"/>
              <w:rPr>
                <w:rFonts w:ascii="IBM Plex Sans" w:hAnsi="IBM Plex Sans"/>
                <w:b/>
                <w:bCs/>
                <w:sz w:val="20"/>
                <w:szCs w:val="20"/>
                <w:lang w:val="en-GB"/>
              </w:rPr>
            </w:pPr>
            <w:r w:rsidRPr="0044340F">
              <w:rPr>
                <w:rFonts w:ascii="IBM Plex Sans" w:hAnsi="IBM Plex Sans"/>
                <w:b/>
                <w:bCs/>
                <w:sz w:val="20"/>
                <w:szCs w:val="20"/>
                <w:lang w:val="en-GB"/>
              </w:rPr>
              <w:t>Description</w:t>
            </w:r>
          </w:p>
        </w:tc>
        <w:tc>
          <w:tcPr>
            <w:tcW w:w="3258" w:type="dxa"/>
            <w:vAlign w:val="center"/>
          </w:tcPr>
          <w:p w14:paraId="1519E785" w14:textId="77777777" w:rsidR="003A3804" w:rsidRPr="0044340F" w:rsidRDefault="003A3804" w:rsidP="0044340F">
            <w:pPr>
              <w:pStyle w:val="BodyText"/>
              <w:spacing w:after="0"/>
              <w:rPr>
                <w:rFonts w:ascii="IBM Plex Sans" w:hAnsi="IBM Plex Sans"/>
                <w:b/>
                <w:bCs/>
                <w:sz w:val="20"/>
                <w:szCs w:val="20"/>
                <w:lang w:val="en-GB"/>
              </w:rPr>
            </w:pPr>
            <w:r w:rsidRPr="0044340F">
              <w:rPr>
                <w:rFonts w:ascii="IBM Plex Sans" w:hAnsi="IBM Plex Sans"/>
                <w:b/>
                <w:bCs/>
                <w:sz w:val="20"/>
                <w:szCs w:val="20"/>
                <w:lang w:val="en-GB"/>
              </w:rPr>
              <w:t>Reference(s)</w:t>
            </w:r>
          </w:p>
        </w:tc>
      </w:tr>
      <w:tr w:rsidR="003A3804" w14:paraId="26E5A4FE" w14:textId="77777777" w:rsidTr="003A3804">
        <w:trPr>
          <w:trHeight w:val="890"/>
        </w:trPr>
        <w:tc>
          <w:tcPr>
            <w:tcW w:w="2126" w:type="dxa"/>
            <w:vAlign w:val="center"/>
          </w:tcPr>
          <w:p w14:paraId="3969FB5C" w14:textId="77777777" w:rsidR="003A3804" w:rsidRPr="0044340F" w:rsidRDefault="003A3804" w:rsidP="003A3804">
            <w:pPr>
              <w:pStyle w:val="BodyText"/>
              <w:spacing w:after="0"/>
              <w:jc w:val="center"/>
              <w:rPr>
                <w:rFonts w:ascii="IBM Plex Sans" w:hAnsi="IBM Plex Sans"/>
                <w:b/>
                <w:bCs/>
                <w:sz w:val="18"/>
                <w:szCs w:val="18"/>
                <w:lang w:val="en-GB"/>
              </w:rPr>
            </w:pPr>
            <w:r w:rsidRPr="00341517">
              <w:rPr>
                <w:rFonts w:ascii="IBM Plex Sans" w:hAnsi="IBM Plex Sans"/>
                <w:b/>
                <w:bCs/>
                <w:sz w:val="18"/>
                <w:szCs w:val="18"/>
                <w:lang w:val="en-GB"/>
              </w:rPr>
              <w:t>Hamburgian</w:t>
            </w:r>
          </w:p>
        </w:tc>
        <w:tc>
          <w:tcPr>
            <w:tcW w:w="8677" w:type="dxa"/>
            <w:vAlign w:val="center"/>
          </w:tcPr>
          <w:p w14:paraId="31DCC6F3" w14:textId="77777777" w:rsidR="003A3804" w:rsidRPr="0044340F"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Dated to the Older Dryas and comprising of two phases: </w:t>
            </w:r>
            <w:proofErr w:type="gramStart"/>
            <w:r>
              <w:rPr>
                <w:rFonts w:ascii="IBM Plex Sans" w:hAnsi="IBM Plex Sans"/>
                <w:sz w:val="18"/>
                <w:szCs w:val="18"/>
                <w:lang w:val="en-GB"/>
              </w:rPr>
              <w:t>a</w:t>
            </w:r>
            <w:proofErr w:type="gramEnd"/>
            <w:r>
              <w:rPr>
                <w:rFonts w:ascii="IBM Plex Sans" w:hAnsi="IBM Plex Sans"/>
                <w:sz w:val="18"/>
                <w:szCs w:val="18"/>
                <w:lang w:val="en-GB"/>
              </w:rPr>
              <w:t xml:space="preserve"> </w:t>
            </w:r>
            <w:r w:rsidRPr="00341517">
              <w:rPr>
                <w:rFonts w:ascii="IBM Plex Sans" w:hAnsi="IBM Plex Sans"/>
                <w:b/>
                <w:bCs/>
                <w:sz w:val="18"/>
                <w:szCs w:val="18"/>
                <w:lang w:val="en-GB"/>
              </w:rPr>
              <w:t>Classic Hamburgian</w:t>
            </w:r>
            <w:r>
              <w:rPr>
                <w:rFonts w:ascii="IBM Plex Sans" w:hAnsi="IBM Plex Sans"/>
                <w:sz w:val="18"/>
                <w:szCs w:val="18"/>
                <w:lang w:val="en-GB"/>
              </w:rPr>
              <w:t xml:space="preserve"> group (defined by shouldered points) and the </w:t>
            </w:r>
            <w:proofErr w:type="spellStart"/>
            <w:r w:rsidRPr="00341517">
              <w:rPr>
                <w:rFonts w:ascii="IBM Plex Sans" w:hAnsi="IBM Plex Sans"/>
                <w:b/>
                <w:bCs/>
                <w:sz w:val="18"/>
                <w:szCs w:val="18"/>
                <w:lang w:val="en-GB"/>
              </w:rPr>
              <w:t>Havelte</w:t>
            </w:r>
            <w:proofErr w:type="spellEnd"/>
            <w:r w:rsidRPr="00341517">
              <w:rPr>
                <w:rFonts w:ascii="IBM Plex Sans" w:hAnsi="IBM Plex Sans"/>
                <w:b/>
                <w:bCs/>
                <w:sz w:val="18"/>
                <w:szCs w:val="18"/>
                <w:lang w:val="en-GB"/>
              </w:rPr>
              <w:t xml:space="preserve"> Group</w:t>
            </w:r>
            <w:r>
              <w:rPr>
                <w:rFonts w:ascii="IBM Plex Sans" w:hAnsi="IBM Plex Sans"/>
                <w:sz w:val="18"/>
                <w:szCs w:val="18"/>
                <w:lang w:val="en-GB"/>
              </w:rPr>
              <w:t xml:space="preserve"> (defined by both shouldered and tanged points); colonisation in the Western Baltic viewed as ephemeral and possibly unsuccessful.</w:t>
            </w:r>
          </w:p>
        </w:tc>
        <w:tc>
          <w:tcPr>
            <w:tcW w:w="3258" w:type="dxa"/>
            <w:vAlign w:val="center"/>
          </w:tcPr>
          <w:p w14:paraId="7DC91989" w14:textId="77777777" w:rsidR="003A3804" w:rsidRPr="0044340F" w:rsidRDefault="003A3804" w:rsidP="003A3804">
            <w:pPr>
              <w:pStyle w:val="BodyText"/>
              <w:spacing w:after="0"/>
              <w:rPr>
                <w:rFonts w:ascii="IBM Plex Sans" w:hAnsi="IBM Plex Sans"/>
                <w:sz w:val="18"/>
                <w:szCs w:val="18"/>
                <w:lang w:val="en-GB"/>
              </w:rPr>
            </w:pPr>
            <w:proofErr w:type="spellStart"/>
            <w:r>
              <w:rPr>
                <w:rFonts w:ascii="IBM Plex Sans" w:hAnsi="IBM Plex Sans"/>
                <w:sz w:val="18"/>
                <w:szCs w:val="18"/>
                <w:lang w:val="en-GB"/>
              </w:rPr>
              <w:t>Schwabedissen</w:t>
            </w:r>
            <w:proofErr w:type="spellEnd"/>
            <w:r>
              <w:rPr>
                <w:rFonts w:ascii="IBM Plex Sans" w:hAnsi="IBM Plex Sans"/>
                <w:sz w:val="18"/>
                <w:szCs w:val="18"/>
                <w:lang w:val="en-GB"/>
              </w:rPr>
              <w:t xml:space="preserve"> (1937); </w:t>
            </w:r>
            <w:proofErr w:type="spellStart"/>
            <w:r>
              <w:rPr>
                <w:rFonts w:ascii="IBM Plex Sans" w:hAnsi="IBM Plex Sans"/>
                <w:sz w:val="18"/>
                <w:szCs w:val="18"/>
                <w:lang w:val="en-GB"/>
              </w:rPr>
              <w:t>Bohmers</w:t>
            </w:r>
            <w:proofErr w:type="spellEnd"/>
            <w:r>
              <w:rPr>
                <w:rFonts w:ascii="IBM Plex Sans" w:hAnsi="IBM Plex Sans"/>
                <w:sz w:val="18"/>
                <w:szCs w:val="18"/>
                <w:lang w:val="en-GB"/>
              </w:rPr>
              <w:t xml:space="preserve"> (1947); </w:t>
            </w:r>
            <w:proofErr w:type="spellStart"/>
            <w:r>
              <w:rPr>
                <w:rFonts w:ascii="IBM Plex Sans" w:hAnsi="IBM Plex Sans"/>
                <w:sz w:val="18"/>
                <w:szCs w:val="18"/>
                <w:lang w:val="en-GB"/>
              </w:rPr>
              <w:t>Teberger</w:t>
            </w:r>
            <w:proofErr w:type="spellEnd"/>
            <w:r>
              <w:rPr>
                <w:rFonts w:ascii="IBM Plex Sans" w:hAnsi="IBM Plex Sans"/>
                <w:sz w:val="18"/>
                <w:szCs w:val="18"/>
                <w:lang w:val="en-GB"/>
              </w:rPr>
              <w:t xml:space="preserve"> 1996; </w:t>
            </w:r>
            <w:proofErr w:type="spellStart"/>
            <w:r>
              <w:rPr>
                <w:rFonts w:ascii="IBM Plex Sans" w:hAnsi="IBM Plex Sans"/>
                <w:sz w:val="18"/>
                <w:szCs w:val="18"/>
                <w:lang w:val="en-GB"/>
              </w:rPr>
              <w:t>Terberger</w:t>
            </w:r>
            <w:proofErr w:type="spellEnd"/>
            <w:r>
              <w:rPr>
                <w:rFonts w:ascii="IBM Plex Sans" w:hAnsi="IBM Plex Sans"/>
                <w:sz w:val="18"/>
                <w:szCs w:val="18"/>
                <w:lang w:val="en-GB"/>
              </w:rPr>
              <w:t xml:space="preserve"> et al. (2004); Grimm and Weber (2008); Riede and Pedersen (2018)</w:t>
            </w:r>
          </w:p>
        </w:tc>
      </w:tr>
      <w:tr w:rsidR="003A3804" w14:paraId="3975A91F" w14:textId="77777777" w:rsidTr="003A3804">
        <w:trPr>
          <w:trHeight w:val="755"/>
        </w:trPr>
        <w:tc>
          <w:tcPr>
            <w:tcW w:w="2126" w:type="dxa"/>
            <w:vAlign w:val="center"/>
          </w:tcPr>
          <w:p w14:paraId="773BA36B" w14:textId="77777777" w:rsidR="003A3804" w:rsidRPr="00556493" w:rsidRDefault="003A3804" w:rsidP="003A3804">
            <w:pPr>
              <w:pStyle w:val="BodyText"/>
              <w:spacing w:after="0"/>
              <w:jc w:val="center"/>
              <w:rPr>
                <w:rFonts w:ascii="IBM Plex Sans" w:hAnsi="IBM Plex Sans"/>
                <w:b/>
                <w:bCs/>
                <w:sz w:val="18"/>
                <w:szCs w:val="18"/>
                <w:lang w:val="en-GB"/>
              </w:rPr>
            </w:pPr>
            <w:r w:rsidRPr="00361DF6">
              <w:rPr>
                <w:rFonts w:ascii="IBM Plex Sans" w:hAnsi="IBM Plex Sans"/>
                <w:b/>
                <w:bCs/>
                <w:sz w:val="18"/>
                <w:szCs w:val="18"/>
                <w:lang w:val="en-GB"/>
              </w:rPr>
              <w:t>Creswellian</w:t>
            </w:r>
          </w:p>
        </w:tc>
        <w:tc>
          <w:tcPr>
            <w:tcW w:w="8677" w:type="dxa"/>
            <w:vAlign w:val="center"/>
          </w:tcPr>
          <w:p w14:paraId="45F92DF1" w14:textId="77777777" w:rsidR="003A3804"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Dated to the </w:t>
            </w:r>
            <w:proofErr w:type="spellStart"/>
            <w:r w:rsidRPr="004504AA">
              <w:rPr>
                <w:rFonts w:ascii="IBM Plex Sans" w:hAnsi="IBM Plex Sans"/>
                <w:sz w:val="18"/>
                <w:szCs w:val="18"/>
                <w:lang w:val="en-GB"/>
              </w:rPr>
              <w:t>Bølling</w:t>
            </w:r>
            <w:proofErr w:type="spellEnd"/>
            <w:r>
              <w:rPr>
                <w:rFonts w:ascii="IBM Plex Sans" w:hAnsi="IBM Plex Sans"/>
                <w:sz w:val="18"/>
                <w:szCs w:val="18"/>
                <w:lang w:val="en-GB"/>
              </w:rPr>
              <w:t xml:space="preserve"> period and defined by angle-backed Creswell and trapezoidal Cheddar points; distributed throughout the United Kingdom, </w:t>
            </w:r>
            <w:proofErr w:type="gramStart"/>
            <w:r>
              <w:rPr>
                <w:rFonts w:ascii="IBM Plex Sans" w:hAnsi="IBM Plex Sans"/>
                <w:sz w:val="18"/>
                <w:szCs w:val="18"/>
                <w:lang w:val="en-GB"/>
              </w:rPr>
              <w:t>Belgium</w:t>
            </w:r>
            <w:proofErr w:type="gramEnd"/>
            <w:r>
              <w:rPr>
                <w:rFonts w:ascii="IBM Plex Sans" w:hAnsi="IBM Plex Sans"/>
                <w:sz w:val="18"/>
                <w:szCs w:val="18"/>
                <w:lang w:val="en-GB"/>
              </w:rPr>
              <w:t xml:space="preserve"> and The Netherlands; closely related to the Hamburgian and both rooted in the Magdalenian.</w:t>
            </w:r>
          </w:p>
        </w:tc>
        <w:tc>
          <w:tcPr>
            <w:tcW w:w="3258" w:type="dxa"/>
            <w:vAlign w:val="center"/>
          </w:tcPr>
          <w:p w14:paraId="036449F3" w14:textId="77777777" w:rsidR="003A3804"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Garrod (1926a, 1926b); Campbell (1977, 1980); Jacobi (1991); Jacobi and Roberts (1992); Maier (2015)</w:t>
            </w:r>
          </w:p>
        </w:tc>
      </w:tr>
      <w:tr w:rsidR="003A3804" w14:paraId="79786882" w14:textId="77777777" w:rsidTr="003A3804">
        <w:trPr>
          <w:trHeight w:val="1295"/>
        </w:trPr>
        <w:tc>
          <w:tcPr>
            <w:tcW w:w="2126" w:type="dxa"/>
            <w:vAlign w:val="center"/>
          </w:tcPr>
          <w:p w14:paraId="1CB9FC1E" w14:textId="77777777" w:rsidR="003A3804" w:rsidRPr="0044340F" w:rsidRDefault="003A3804" w:rsidP="003A3804">
            <w:pPr>
              <w:pStyle w:val="BodyText"/>
              <w:spacing w:after="0"/>
              <w:jc w:val="center"/>
              <w:rPr>
                <w:rFonts w:ascii="IBM Plex Sans" w:hAnsi="IBM Plex Sans"/>
                <w:b/>
                <w:bCs/>
                <w:sz w:val="18"/>
                <w:szCs w:val="18"/>
                <w:lang w:val="en-GB"/>
              </w:rPr>
            </w:pPr>
            <w:r w:rsidRPr="0044340F">
              <w:rPr>
                <w:rFonts w:ascii="IBM Plex Sans" w:hAnsi="IBM Plex Sans"/>
                <w:b/>
                <w:bCs/>
                <w:sz w:val="18"/>
                <w:szCs w:val="18"/>
                <w:lang w:val="en-GB"/>
              </w:rPr>
              <w:t>Federmesser</w:t>
            </w:r>
          </w:p>
        </w:tc>
        <w:tc>
          <w:tcPr>
            <w:tcW w:w="8677" w:type="dxa"/>
            <w:vAlign w:val="center"/>
          </w:tcPr>
          <w:p w14:paraId="2609D2C2" w14:textId="4AC1E8B2" w:rsidR="003A3804" w:rsidRPr="0044340F"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Dated to the </w:t>
            </w:r>
            <w:proofErr w:type="spellStart"/>
            <w:r w:rsidRPr="0010073E">
              <w:rPr>
                <w:rFonts w:ascii="IBM Plex Sans" w:hAnsi="IBM Plex Sans"/>
                <w:sz w:val="18"/>
                <w:szCs w:val="18"/>
                <w:lang w:val="en-GB"/>
              </w:rPr>
              <w:t>Bölling</w:t>
            </w:r>
            <w:r>
              <w:rPr>
                <w:rFonts w:ascii="IBM Plex Sans" w:hAnsi="IBM Plex Sans"/>
                <w:sz w:val="18"/>
                <w:szCs w:val="18"/>
                <w:lang w:val="en-GB"/>
              </w:rPr>
              <w:t>-</w:t>
            </w:r>
            <w:r w:rsidRPr="0010073E">
              <w:rPr>
                <w:rFonts w:ascii="IBM Plex Sans" w:hAnsi="IBM Plex Sans"/>
                <w:sz w:val="18"/>
                <w:szCs w:val="18"/>
                <w:lang w:val="en-GB"/>
              </w:rPr>
              <w:t>Alleröd</w:t>
            </w:r>
            <w:proofErr w:type="spellEnd"/>
            <w:r>
              <w:rPr>
                <w:rFonts w:ascii="IBM Plex Sans" w:hAnsi="IBM Plex Sans"/>
                <w:sz w:val="18"/>
                <w:szCs w:val="18"/>
                <w:lang w:val="en-GB"/>
              </w:rPr>
              <w:t xml:space="preserve"> warming period and characterised by arch-backed points; </w:t>
            </w:r>
            <w:proofErr w:type="spellStart"/>
            <w:r>
              <w:rPr>
                <w:rFonts w:ascii="IBM Plex Sans" w:hAnsi="IBM Plex Sans"/>
                <w:sz w:val="18"/>
                <w:szCs w:val="18"/>
                <w:lang w:val="en-GB"/>
              </w:rPr>
              <w:t>Schwabedissen</w:t>
            </w:r>
            <w:proofErr w:type="spellEnd"/>
            <w:r>
              <w:rPr>
                <w:rFonts w:ascii="IBM Plex Sans" w:hAnsi="IBM Plex Sans"/>
                <w:sz w:val="18"/>
                <w:szCs w:val="18"/>
                <w:lang w:val="en-GB"/>
              </w:rPr>
              <w:t xml:space="preserve"> (1954) proposed three sub-divisions: the </w:t>
            </w:r>
            <w:proofErr w:type="spellStart"/>
            <w:r w:rsidRPr="0044340F">
              <w:rPr>
                <w:rFonts w:ascii="IBM Plex Sans" w:hAnsi="IBM Plex Sans"/>
                <w:b/>
                <w:bCs/>
                <w:sz w:val="18"/>
                <w:szCs w:val="18"/>
                <w:lang w:val="en-GB"/>
              </w:rPr>
              <w:t>Rissen</w:t>
            </w:r>
            <w:r>
              <w:rPr>
                <w:rFonts w:ascii="IBM Plex Sans" w:hAnsi="IBM Plex Sans"/>
                <w:b/>
                <w:bCs/>
                <w:sz w:val="18"/>
                <w:szCs w:val="18"/>
                <w:lang w:val="en-GB"/>
              </w:rPr>
              <w:t>er</w:t>
            </w:r>
            <w:proofErr w:type="spellEnd"/>
            <w:r>
              <w:rPr>
                <w:rFonts w:ascii="IBM Plex Sans" w:hAnsi="IBM Plex Sans"/>
                <w:sz w:val="18"/>
                <w:szCs w:val="18"/>
                <w:lang w:val="en-GB"/>
              </w:rPr>
              <w:t xml:space="preserve"> (inclusion of backed bladelets), </w:t>
            </w:r>
            <w:proofErr w:type="spellStart"/>
            <w:r w:rsidRPr="0044340F">
              <w:rPr>
                <w:rFonts w:ascii="IBM Plex Sans" w:hAnsi="IBM Plex Sans"/>
                <w:b/>
                <w:bCs/>
                <w:sz w:val="18"/>
                <w:szCs w:val="18"/>
                <w:lang w:val="en-GB"/>
              </w:rPr>
              <w:t>Tjonger</w:t>
            </w:r>
            <w:proofErr w:type="spellEnd"/>
            <w:r>
              <w:rPr>
                <w:rFonts w:ascii="IBM Plex Sans" w:hAnsi="IBM Plex Sans"/>
                <w:sz w:val="18"/>
                <w:szCs w:val="18"/>
                <w:lang w:val="en-GB"/>
              </w:rPr>
              <w:t xml:space="preserve"> (large backed points and short end-scrapers) and </w:t>
            </w:r>
            <w:proofErr w:type="spellStart"/>
            <w:r w:rsidRPr="0044340F">
              <w:rPr>
                <w:rFonts w:ascii="IBM Plex Sans" w:hAnsi="IBM Plex Sans"/>
                <w:b/>
                <w:bCs/>
                <w:sz w:val="18"/>
                <w:szCs w:val="18"/>
                <w:lang w:val="en-GB"/>
              </w:rPr>
              <w:t>Wehlen</w:t>
            </w:r>
            <w:r>
              <w:rPr>
                <w:rFonts w:ascii="IBM Plex Sans" w:hAnsi="IBM Plex Sans"/>
                <w:b/>
                <w:bCs/>
                <w:sz w:val="18"/>
                <w:szCs w:val="18"/>
                <w:lang w:val="en-GB"/>
              </w:rPr>
              <w:t>er</w:t>
            </w:r>
            <w:proofErr w:type="spellEnd"/>
            <w:r>
              <w:rPr>
                <w:rFonts w:ascii="IBM Plex Sans" w:hAnsi="IBM Plex Sans"/>
                <w:sz w:val="18"/>
                <w:szCs w:val="18"/>
                <w:lang w:val="en-GB"/>
              </w:rPr>
              <w:t xml:space="preserve"> (inclusion of tanged end-scrapers) local units; difficult to differentiate from Bromme culture assemblages in the absence of ‘diagnostic’ tools; parallels the Franco-Cantabrian </w:t>
            </w:r>
            <w:proofErr w:type="spellStart"/>
            <w:r w:rsidRPr="0044340F">
              <w:rPr>
                <w:rFonts w:ascii="IBM Plex Sans" w:hAnsi="IBM Plex Sans"/>
                <w:b/>
                <w:bCs/>
                <w:sz w:val="18"/>
                <w:szCs w:val="18"/>
                <w:lang w:val="en-GB"/>
              </w:rPr>
              <w:t>Azilian</w:t>
            </w:r>
            <w:proofErr w:type="spellEnd"/>
            <w:r>
              <w:rPr>
                <w:rFonts w:ascii="IBM Plex Sans" w:hAnsi="IBM Plex Sans"/>
                <w:b/>
                <w:bCs/>
                <w:sz w:val="18"/>
                <w:szCs w:val="18"/>
                <w:lang w:val="en-GB"/>
              </w:rPr>
              <w:t>.</w:t>
            </w:r>
          </w:p>
        </w:tc>
        <w:tc>
          <w:tcPr>
            <w:tcW w:w="3258" w:type="dxa"/>
            <w:vAlign w:val="center"/>
          </w:tcPr>
          <w:p w14:paraId="61E7175E" w14:textId="77777777" w:rsidR="003A3804" w:rsidRPr="0044340F" w:rsidRDefault="003A3804" w:rsidP="003A3804">
            <w:pPr>
              <w:pStyle w:val="BodyText"/>
              <w:spacing w:after="0"/>
              <w:rPr>
                <w:rFonts w:ascii="IBM Plex Sans" w:hAnsi="IBM Plex Sans"/>
                <w:sz w:val="18"/>
                <w:szCs w:val="18"/>
                <w:lang w:val="en-GB"/>
              </w:rPr>
            </w:pPr>
            <w:proofErr w:type="spellStart"/>
            <w:r>
              <w:rPr>
                <w:rFonts w:ascii="IBM Plex Sans" w:hAnsi="IBM Plex Sans"/>
                <w:sz w:val="18"/>
                <w:szCs w:val="18"/>
                <w:lang w:val="en-GB"/>
              </w:rPr>
              <w:t>Schwabedissen</w:t>
            </w:r>
            <w:proofErr w:type="spellEnd"/>
            <w:r>
              <w:rPr>
                <w:rFonts w:ascii="IBM Plex Sans" w:hAnsi="IBM Plex Sans"/>
                <w:sz w:val="18"/>
                <w:szCs w:val="18"/>
                <w:lang w:val="en-GB"/>
              </w:rPr>
              <w:t xml:space="preserve"> (1954); Eriksen (2000); </w:t>
            </w:r>
            <w:proofErr w:type="spellStart"/>
            <w:r>
              <w:rPr>
                <w:rFonts w:ascii="IBM Plex Sans" w:hAnsi="IBM Plex Sans"/>
                <w:sz w:val="18"/>
                <w:szCs w:val="18"/>
                <w:lang w:val="en-GB"/>
              </w:rPr>
              <w:t>Kobusiewicz</w:t>
            </w:r>
            <w:proofErr w:type="spellEnd"/>
            <w:r>
              <w:rPr>
                <w:rFonts w:ascii="IBM Plex Sans" w:hAnsi="IBM Plex Sans"/>
                <w:sz w:val="18"/>
                <w:szCs w:val="18"/>
                <w:lang w:val="en-GB"/>
              </w:rPr>
              <w:t xml:space="preserve"> (2009); Riede et al. (2011); Riede (2017)</w:t>
            </w:r>
          </w:p>
        </w:tc>
      </w:tr>
      <w:tr w:rsidR="003A3804" w14:paraId="4B242671" w14:textId="77777777" w:rsidTr="003A3804">
        <w:trPr>
          <w:trHeight w:val="575"/>
        </w:trPr>
        <w:tc>
          <w:tcPr>
            <w:tcW w:w="2126" w:type="dxa"/>
            <w:vAlign w:val="center"/>
          </w:tcPr>
          <w:p w14:paraId="20C62F71" w14:textId="2FF17123" w:rsidR="003A3804" w:rsidRPr="0044340F" w:rsidRDefault="003A3804" w:rsidP="003A3804">
            <w:pPr>
              <w:pStyle w:val="BodyText"/>
              <w:spacing w:after="0"/>
              <w:jc w:val="center"/>
              <w:rPr>
                <w:rFonts w:ascii="IBM Plex Sans" w:hAnsi="IBM Plex Sans"/>
                <w:b/>
                <w:bCs/>
                <w:sz w:val="18"/>
                <w:szCs w:val="18"/>
                <w:lang w:val="en-GB"/>
              </w:rPr>
            </w:pPr>
            <w:r w:rsidRPr="0044340F">
              <w:rPr>
                <w:rFonts w:ascii="IBM Plex Sans" w:hAnsi="IBM Plex Sans"/>
                <w:b/>
                <w:bCs/>
                <w:sz w:val="18"/>
                <w:szCs w:val="18"/>
                <w:lang w:val="en-GB"/>
              </w:rPr>
              <w:t>Bromme</w:t>
            </w:r>
          </w:p>
        </w:tc>
        <w:tc>
          <w:tcPr>
            <w:tcW w:w="8677" w:type="dxa"/>
            <w:vAlign w:val="center"/>
          </w:tcPr>
          <w:p w14:paraId="6E16CA6E" w14:textId="77777777" w:rsidR="003A3804" w:rsidRPr="0044340F"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Dated to the end of the </w:t>
            </w:r>
            <w:proofErr w:type="spellStart"/>
            <w:r w:rsidRPr="0010073E">
              <w:rPr>
                <w:rFonts w:ascii="IBM Plex Sans" w:hAnsi="IBM Plex Sans"/>
                <w:sz w:val="18"/>
                <w:szCs w:val="18"/>
                <w:lang w:val="en-GB"/>
              </w:rPr>
              <w:t>Alleröd</w:t>
            </w:r>
            <w:proofErr w:type="spellEnd"/>
            <w:r>
              <w:rPr>
                <w:rFonts w:ascii="IBM Plex Sans" w:hAnsi="IBM Plex Sans"/>
                <w:sz w:val="18"/>
                <w:szCs w:val="18"/>
                <w:lang w:val="en-GB"/>
              </w:rPr>
              <w:t xml:space="preserve"> and earliest Younger Dryas and characterised by large tanged points, single-</w:t>
            </w:r>
            <w:proofErr w:type="spellStart"/>
            <w:r>
              <w:rPr>
                <w:rFonts w:ascii="IBM Plex Sans" w:hAnsi="IBM Plex Sans"/>
                <w:sz w:val="18"/>
                <w:szCs w:val="18"/>
                <w:lang w:val="en-GB"/>
              </w:rPr>
              <w:t>latform</w:t>
            </w:r>
            <w:proofErr w:type="spellEnd"/>
            <w:r>
              <w:rPr>
                <w:rFonts w:ascii="IBM Plex Sans" w:hAnsi="IBM Plex Sans"/>
                <w:sz w:val="18"/>
                <w:szCs w:val="18"/>
                <w:lang w:val="en-GB"/>
              </w:rPr>
              <w:t xml:space="preserve"> prismatic cores (and very rarely double-platform cores).</w:t>
            </w:r>
          </w:p>
        </w:tc>
        <w:tc>
          <w:tcPr>
            <w:tcW w:w="3258" w:type="dxa"/>
            <w:vAlign w:val="center"/>
          </w:tcPr>
          <w:p w14:paraId="7B60C9A1" w14:textId="77777777" w:rsidR="003A3804" w:rsidRPr="0044340F" w:rsidRDefault="003A3804" w:rsidP="003A3804">
            <w:pPr>
              <w:pStyle w:val="BodyText"/>
              <w:spacing w:after="0"/>
              <w:rPr>
                <w:rFonts w:ascii="IBM Plex Sans" w:hAnsi="IBM Plex Sans"/>
                <w:sz w:val="18"/>
                <w:szCs w:val="18"/>
                <w:lang w:val="en-GB"/>
              </w:rPr>
            </w:pPr>
            <w:proofErr w:type="spellStart"/>
            <w:r>
              <w:rPr>
                <w:rFonts w:ascii="IBM Plex Sans" w:hAnsi="IBM Plex Sans"/>
                <w:sz w:val="18"/>
                <w:szCs w:val="18"/>
                <w:lang w:val="en-GB"/>
              </w:rPr>
              <w:t>Taute</w:t>
            </w:r>
            <w:proofErr w:type="spellEnd"/>
            <w:r>
              <w:rPr>
                <w:rFonts w:ascii="IBM Plex Sans" w:hAnsi="IBM Plex Sans"/>
                <w:sz w:val="18"/>
                <w:szCs w:val="18"/>
                <w:lang w:val="en-GB"/>
              </w:rPr>
              <w:t xml:space="preserve"> (1968); Riede (2017)</w:t>
            </w:r>
          </w:p>
        </w:tc>
      </w:tr>
      <w:tr w:rsidR="003A3804" w14:paraId="636E4A73" w14:textId="77777777" w:rsidTr="003A3804">
        <w:trPr>
          <w:trHeight w:val="548"/>
        </w:trPr>
        <w:tc>
          <w:tcPr>
            <w:tcW w:w="2126" w:type="dxa"/>
            <w:vAlign w:val="center"/>
          </w:tcPr>
          <w:p w14:paraId="67DBD49F" w14:textId="77777777" w:rsidR="003A3804" w:rsidRPr="0044340F" w:rsidRDefault="003A3804" w:rsidP="003A3804">
            <w:pPr>
              <w:pStyle w:val="BodyText"/>
              <w:spacing w:after="0"/>
              <w:jc w:val="center"/>
              <w:rPr>
                <w:rFonts w:ascii="IBM Plex Sans" w:hAnsi="IBM Plex Sans"/>
                <w:b/>
                <w:bCs/>
                <w:sz w:val="18"/>
                <w:szCs w:val="18"/>
                <w:lang w:val="en-GB"/>
              </w:rPr>
            </w:pPr>
            <w:r w:rsidRPr="0044340F">
              <w:rPr>
                <w:rFonts w:ascii="IBM Plex Sans" w:hAnsi="IBM Plex Sans"/>
                <w:b/>
                <w:bCs/>
                <w:sz w:val="18"/>
                <w:szCs w:val="18"/>
                <w:lang w:val="en-GB"/>
              </w:rPr>
              <w:t>Lyngby</w:t>
            </w:r>
          </w:p>
        </w:tc>
        <w:tc>
          <w:tcPr>
            <w:tcW w:w="8677" w:type="dxa"/>
            <w:vAlign w:val="center"/>
          </w:tcPr>
          <w:p w14:paraId="7778CBF9" w14:textId="0C08C870" w:rsidR="003A3804" w:rsidRPr="0044340F"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Research-historical predecessor of the Bromme; </w:t>
            </w:r>
            <w:proofErr w:type="spellStart"/>
            <w:r w:rsidRPr="0044340F">
              <w:rPr>
                <w:rFonts w:ascii="IBM Plex Sans" w:hAnsi="IBM Plex Sans"/>
                <w:b/>
                <w:bCs/>
                <w:sz w:val="18"/>
                <w:szCs w:val="18"/>
                <w:lang w:val="en-GB"/>
              </w:rPr>
              <w:t>Tolk-Sprenge</w:t>
            </w:r>
            <w:proofErr w:type="spellEnd"/>
            <w:r>
              <w:rPr>
                <w:rFonts w:ascii="IBM Plex Sans" w:hAnsi="IBM Plex Sans"/>
                <w:sz w:val="18"/>
                <w:szCs w:val="18"/>
                <w:lang w:val="en-GB"/>
              </w:rPr>
              <w:t xml:space="preserve"> viewed as a sub-division defined by tanged points outweighing backed tool types.</w:t>
            </w:r>
          </w:p>
        </w:tc>
        <w:tc>
          <w:tcPr>
            <w:tcW w:w="3258" w:type="dxa"/>
            <w:vAlign w:val="center"/>
          </w:tcPr>
          <w:p w14:paraId="70360518" w14:textId="77777777" w:rsidR="003A3804" w:rsidRPr="0044340F" w:rsidRDefault="003A3804" w:rsidP="003A3804">
            <w:pPr>
              <w:pStyle w:val="BodyText"/>
              <w:spacing w:after="0"/>
              <w:rPr>
                <w:rFonts w:ascii="IBM Plex Sans" w:hAnsi="IBM Plex Sans"/>
                <w:sz w:val="18"/>
                <w:szCs w:val="18"/>
                <w:lang w:val="en-GB"/>
              </w:rPr>
            </w:pPr>
            <w:proofErr w:type="spellStart"/>
            <w:r>
              <w:rPr>
                <w:rFonts w:ascii="IBM Plex Sans" w:hAnsi="IBM Plex Sans"/>
                <w:sz w:val="18"/>
                <w:szCs w:val="18"/>
                <w:lang w:val="en-GB"/>
              </w:rPr>
              <w:t>Taute</w:t>
            </w:r>
            <w:proofErr w:type="spellEnd"/>
            <w:r>
              <w:rPr>
                <w:rFonts w:ascii="IBM Plex Sans" w:hAnsi="IBM Plex Sans"/>
                <w:sz w:val="18"/>
                <w:szCs w:val="18"/>
                <w:lang w:val="en-GB"/>
              </w:rPr>
              <w:t xml:space="preserve"> (1968); </w:t>
            </w:r>
            <w:proofErr w:type="spellStart"/>
            <w:r>
              <w:rPr>
                <w:rFonts w:ascii="IBM Plex Sans" w:hAnsi="IBM Plex Sans"/>
                <w:sz w:val="18"/>
                <w:szCs w:val="18"/>
                <w:lang w:val="en-GB"/>
              </w:rPr>
              <w:t>Brinch</w:t>
            </w:r>
            <w:proofErr w:type="spellEnd"/>
            <w:r>
              <w:rPr>
                <w:rFonts w:ascii="IBM Plex Sans" w:hAnsi="IBM Plex Sans"/>
                <w:sz w:val="18"/>
                <w:szCs w:val="18"/>
                <w:lang w:val="en-GB"/>
              </w:rPr>
              <w:t xml:space="preserve"> Petersen (1970)</w:t>
            </w:r>
          </w:p>
        </w:tc>
      </w:tr>
      <w:tr w:rsidR="003A3804" w14:paraId="29A06728" w14:textId="77777777" w:rsidTr="003A3804">
        <w:trPr>
          <w:trHeight w:val="782"/>
        </w:trPr>
        <w:tc>
          <w:tcPr>
            <w:tcW w:w="2126" w:type="dxa"/>
            <w:vAlign w:val="center"/>
          </w:tcPr>
          <w:p w14:paraId="234A18F7" w14:textId="77777777" w:rsidR="003A3804" w:rsidRPr="00556493" w:rsidRDefault="003A3804" w:rsidP="003A3804">
            <w:pPr>
              <w:pStyle w:val="BodyText"/>
              <w:spacing w:after="0"/>
              <w:jc w:val="center"/>
              <w:rPr>
                <w:rFonts w:ascii="IBM Plex Sans" w:hAnsi="IBM Plex Sans"/>
                <w:b/>
                <w:bCs/>
                <w:sz w:val="18"/>
                <w:szCs w:val="18"/>
                <w:lang w:val="en-GB"/>
              </w:rPr>
            </w:pPr>
            <w:r w:rsidRPr="000F5B4A">
              <w:rPr>
                <w:rFonts w:ascii="IBM Plex Sans" w:hAnsi="IBM Plex Sans"/>
                <w:b/>
                <w:bCs/>
                <w:sz w:val="18"/>
                <w:szCs w:val="18"/>
                <w:lang w:val="en-GB"/>
              </w:rPr>
              <w:t>Ahren</w:t>
            </w:r>
            <w:r>
              <w:rPr>
                <w:rFonts w:ascii="IBM Plex Sans" w:hAnsi="IBM Plex Sans"/>
                <w:b/>
                <w:bCs/>
                <w:sz w:val="18"/>
                <w:szCs w:val="18"/>
                <w:lang w:val="en-GB"/>
              </w:rPr>
              <w:t>s</w:t>
            </w:r>
            <w:r w:rsidRPr="000F5B4A">
              <w:rPr>
                <w:rFonts w:ascii="IBM Plex Sans" w:hAnsi="IBM Plex Sans"/>
                <w:b/>
                <w:bCs/>
                <w:sz w:val="18"/>
                <w:szCs w:val="18"/>
                <w:lang w:val="en-GB"/>
              </w:rPr>
              <w:t>burgian</w:t>
            </w:r>
          </w:p>
        </w:tc>
        <w:tc>
          <w:tcPr>
            <w:tcW w:w="8677" w:type="dxa"/>
            <w:vAlign w:val="center"/>
          </w:tcPr>
          <w:p w14:paraId="6CAC81F0" w14:textId="77777777" w:rsidR="003A3804"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Dated to the terminal period of the Late Glacial; specialised reindeer hunters; characterised by Ahrensburgian points (small laterally retouched tanged points) and antler artefacts; subdivision of the Tanged Points Technocomplex; high diversity of microliths.</w:t>
            </w:r>
          </w:p>
        </w:tc>
        <w:tc>
          <w:tcPr>
            <w:tcW w:w="3258" w:type="dxa"/>
            <w:vAlign w:val="center"/>
          </w:tcPr>
          <w:p w14:paraId="3101B598" w14:textId="77777777" w:rsidR="003A3804"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Rust (1937); </w:t>
            </w:r>
            <w:proofErr w:type="spellStart"/>
            <w:r>
              <w:rPr>
                <w:rFonts w:ascii="IBM Plex Sans" w:hAnsi="IBM Plex Sans"/>
                <w:sz w:val="18"/>
                <w:szCs w:val="18"/>
                <w:lang w:val="en-GB"/>
              </w:rPr>
              <w:t>Taute</w:t>
            </w:r>
            <w:proofErr w:type="spellEnd"/>
            <w:r>
              <w:rPr>
                <w:rFonts w:ascii="IBM Plex Sans" w:hAnsi="IBM Plex Sans"/>
                <w:sz w:val="18"/>
                <w:szCs w:val="18"/>
                <w:lang w:val="en-GB"/>
              </w:rPr>
              <w:t xml:space="preserve"> (1968)</w:t>
            </w:r>
          </w:p>
        </w:tc>
      </w:tr>
      <w:tr w:rsidR="003A3804" w14:paraId="5F358687" w14:textId="77777777" w:rsidTr="003A3804">
        <w:trPr>
          <w:trHeight w:val="800"/>
        </w:trPr>
        <w:tc>
          <w:tcPr>
            <w:tcW w:w="2126" w:type="dxa"/>
            <w:vAlign w:val="center"/>
          </w:tcPr>
          <w:p w14:paraId="2C0BBE38" w14:textId="77777777" w:rsidR="003A3804" w:rsidRPr="0044340F" w:rsidRDefault="003A3804" w:rsidP="003A3804">
            <w:pPr>
              <w:pStyle w:val="BodyText"/>
              <w:spacing w:after="0"/>
              <w:jc w:val="center"/>
              <w:rPr>
                <w:rFonts w:ascii="IBM Plex Sans" w:hAnsi="IBM Plex Sans"/>
                <w:b/>
                <w:bCs/>
                <w:sz w:val="18"/>
                <w:szCs w:val="18"/>
                <w:lang w:val="en-GB"/>
              </w:rPr>
            </w:pPr>
            <w:r w:rsidRPr="0044340F">
              <w:rPr>
                <w:rFonts w:ascii="IBM Plex Sans" w:hAnsi="IBM Plex Sans"/>
                <w:b/>
                <w:bCs/>
                <w:sz w:val="18"/>
                <w:szCs w:val="18"/>
                <w:lang w:val="en-GB"/>
              </w:rPr>
              <w:t xml:space="preserve">Tanged Point </w:t>
            </w:r>
            <w:r>
              <w:rPr>
                <w:rFonts w:ascii="IBM Plex Sans" w:hAnsi="IBM Plex Sans"/>
                <w:b/>
                <w:bCs/>
                <w:sz w:val="18"/>
                <w:szCs w:val="18"/>
                <w:lang w:val="en-GB"/>
              </w:rPr>
              <w:t>Technocomplex (TPT)</w:t>
            </w:r>
          </w:p>
        </w:tc>
        <w:tc>
          <w:tcPr>
            <w:tcW w:w="8677" w:type="dxa"/>
            <w:vAlign w:val="center"/>
          </w:tcPr>
          <w:p w14:paraId="598D2BAE" w14:textId="77777777" w:rsidR="003A3804" w:rsidRPr="0044340F"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The first of two broad groups with which Late Palaeolithic cultures are commonly ascribed; includes units from Eastern Europe e.g. </w:t>
            </w:r>
            <w:proofErr w:type="spellStart"/>
            <w:r w:rsidRPr="0044340F">
              <w:rPr>
                <w:rFonts w:ascii="IBM Plex Sans" w:hAnsi="IBM Plex Sans"/>
                <w:b/>
                <w:bCs/>
                <w:sz w:val="18"/>
                <w:szCs w:val="18"/>
                <w:lang w:val="en-GB"/>
              </w:rPr>
              <w:t>Witowian</w:t>
            </w:r>
            <w:proofErr w:type="spellEnd"/>
            <w:r>
              <w:rPr>
                <w:rFonts w:ascii="IBM Plex Sans" w:hAnsi="IBM Plex Sans"/>
                <w:sz w:val="18"/>
                <w:szCs w:val="18"/>
                <w:lang w:val="en-GB"/>
              </w:rPr>
              <w:t xml:space="preserve"> </w:t>
            </w:r>
            <w:r w:rsidRPr="001B1EDA">
              <w:rPr>
                <w:rFonts w:ascii="IBM Plex Sans" w:hAnsi="IBM Plex Sans"/>
                <w:sz w:val="18"/>
                <w:szCs w:val="18"/>
                <w:lang w:val="en-GB"/>
              </w:rPr>
              <w:t>(</w:t>
            </w:r>
            <w:proofErr w:type="spellStart"/>
            <w:r w:rsidRPr="001B1EDA">
              <w:rPr>
                <w:rFonts w:ascii="IBM Plex Sans" w:hAnsi="IBM Plex Sans"/>
                <w:sz w:val="18"/>
                <w:szCs w:val="18"/>
                <w:lang w:val="en-GB"/>
              </w:rPr>
              <w:t>Chmielewska</w:t>
            </w:r>
            <w:proofErr w:type="spellEnd"/>
            <w:r w:rsidRPr="001B1EDA">
              <w:rPr>
                <w:rFonts w:ascii="IBM Plex Sans" w:hAnsi="IBM Plex Sans"/>
                <w:sz w:val="18"/>
                <w:szCs w:val="18"/>
                <w:lang w:val="en-GB"/>
              </w:rPr>
              <w:t xml:space="preserve"> 1961a; 1961b; Schild 1975)</w:t>
            </w:r>
            <w:r>
              <w:rPr>
                <w:rFonts w:ascii="IBM Plex Sans" w:hAnsi="IBM Plex Sans"/>
                <w:sz w:val="18"/>
                <w:szCs w:val="18"/>
                <w:lang w:val="en-GB"/>
              </w:rPr>
              <w:t xml:space="preserve"> and </w:t>
            </w:r>
            <w:proofErr w:type="spellStart"/>
            <w:r w:rsidRPr="0044340F">
              <w:rPr>
                <w:rFonts w:ascii="IBM Plex Sans" w:hAnsi="IBM Plex Sans"/>
                <w:b/>
                <w:bCs/>
                <w:sz w:val="18"/>
                <w:szCs w:val="18"/>
                <w:lang w:val="en-GB"/>
              </w:rPr>
              <w:t>Tarnowian</w:t>
            </w:r>
            <w:proofErr w:type="spellEnd"/>
            <w:r>
              <w:rPr>
                <w:rFonts w:ascii="IBM Plex Sans" w:hAnsi="IBM Plex Sans"/>
                <w:b/>
                <w:bCs/>
                <w:sz w:val="18"/>
                <w:szCs w:val="18"/>
                <w:lang w:val="en-GB"/>
              </w:rPr>
              <w:t xml:space="preserve"> </w:t>
            </w:r>
            <w:r>
              <w:rPr>
                <w:rFonts w:ascii="IBM Plex Sans" w:hAnsi="IBM Plex Sans"/>
                <w:sz w:val="18"/>
                <w:szCs w:val="18"/>
                <w:lang w:val="en-GB"/>
              </w:rPr>
              <w:t>groups.</w:t>
            </w:r>
          </w:p>
        </w:tc>
        <w:tc>
          <w:tcPr>
            <w:tcW w:w="3258" w:type="dxa"/>
            <w:vAlign w:val="center"/>
          </w:tcPr>
          <w:p w14:paraId="17D19B0A" w14:textId="77777777" w:rsidR="003A3804" w:rsidRPr="0044340F" w:rsidRDefault="003A3804" w:rsidP="003A3804">
            <w:pPr>
              <w:pStyle w:val="BodyText"/>
              <w:spacing w:after="0"/>
              <w:rPr>
                <w:rFonts w:ascii="IBM Plex Sans" w:hAnsi="IBM Plex Sans"/>
                <w:sz w:val="18"/>
                <w:szCs w:val="18"/>
                <w:lang w:val="en-GB"/>
              </w:rPr>
            </w:pPr>
            <w:proofErr w:type="spellStart"/>
            <w:r w:rsidRPr="000708B5">
              <w:rPr>
                <w:rFonts w:ascii="IBM Plex Sans" w:hAnsi="IBM Plex Sans"/>
                <w:sz w:val="18"/>
                <w:szCs w:val="18"/>
                <w:lang w:val="en-GB"/>
              </w:rPr>
              <w:t>Valde</w:t>
            </w:r>
            <w:proofErr w:type="spellEnd"/>
            <w:r w:rsidRPr="000708B5">
              <w:rPr>
                <w:rFonts w:ascii="IBM Plex Sans" w:hAnsi="IBM Plex Sans"/>
                <w:sz w:val="18"/>
                <w:szCs w:val="18"/>
                <w:lang w:val="en-GB"/>
              </w:rPr>
              <w:t>-Nowak et al.</w:t>
            </w:r>
            <w:r>
              <w:rPr>
                <w:rFonts w:ascii="IBM Plex Sans" w:hAnsi="IBM Plex Sans"/>
                <w:sz w:val="18"/>
                <w:szCs w:val="18"/>
                <w:lang w:val="en-GB"/>
              </w:rPr>
              <w:t xml:space="preserve"> (</w:t>
            </w:r>
            <w:r w:rsidRPr="000708B5">
              <w:rPr>
                <w:rFonts w:ascii="IBM Plex Sans" w:hAnsi="IBM Plex Sans"/>
                <w:sz w:val="18"/>
                <w:szCs w:val="18"/>
                <w:lang w:val="en-GB"/>
              </w:rPr>
              <w:t>2012</w:t>
            </w:r>
            <w:r>
              <w:rPr>
                <w:rFonts w:ascii="IBM Plex Sans" w:hAnsi="IBM Plex Sans"/>
                <w:sz w:val="18"/>
                <w:szCs w:val="18"/>
                <w:lang w:val="en-GB"/>
              </w:rPr>
              <w:t>)</w:t>
            </w:r>
          </w:p>
        </w:tc>
      </w:tr>
      <w:tr w:rsidR="003A3804" w14:paraId="080B6469" w14:textId="77777777" w:rsidTr="003A3804">
        <w:trPr>
          <w:trHeight w:val="620"/>
        </w:trPr>
        <w:tc>
          <w:tcPr>
            <w:tcW w:w="2126" w:type="dxa"/>
            <w:vAlign w:val="center"/>
          </w:tcPr>
          <w:p w14:paraId="2104C869" w14:textId="77777777" w:rsidR="003A3804" w:rsidRPr="000708B5" w:rsidRDefault="003A3804" w:rsidP="003A3804">
            <w:pPr>
              <w:pStyle w:val="BodyText"/>
              <w:spacing w:after="0"/>
              <w:jc w:val="center"/>
              <w:rPr>
                <w:rFonts w:ascii="IBM Plex Sans" w:hAnsi="IBM Plex Sans"/>
                <w:b/>
                <w:bCs/>
                <w:sz w:val="18"/>
                <w:szCs w:val="18"/>
                <w:lang w:val="en-GB"/>
              </w:rPr>
            </w:pPr>
            <w:r>
              <w:rPr>
                <w:rFonts w:ascii="IBM Plex Sans" w:hAnsi="IBM Plex Sans"/>
                <w:b/>
                <w:bCs/>
                <w:sz w:val="18"/>
                <w:szCs w:val="18"/>
                <w:lang w:val="en-GB"/>
              </w:rPr>
              <w:t>Arch-backed Point Technocomplex (APT)</w:t>
            </w:r>
          </w:p>
        </w:tc>
        <w:tc>
          <w:tcPr>
            <w:tcW w:w="8677" w:type="dxa"/>
            <w:vAlign w:val="center"/>
          </w:tcPr>
          <w:p w14:paraId="4F89221C" w14:textId="77777777" w:rsidR="003A3804" w:rsidRPr="000708B5" w:rsidRDefault="003A3804" w:rsidP="003A3804">
            <w:pPr>
              <w:pStyle w:val="BodyText"/>
              <w:spacing w:after="0"/>
              <w:rPr>
                <w:rFonts w:ascii="IBM Plex Sans" w:hAnsi="IBM Plex Sans"/>
                <w:sz w:val="18"/>
                <w:szCs w:val="18"/>
                <w:lang w:val="en-GB"/>
              </w:rPr>
            </w:pPr>
            <w:r>
              <w:rPr>
                <w:rFonts w:ascii="IBM Plex Sans" w:hAnsi="IBM Plex Sans"/>
                <w:sz w:val="18"/>
                <w:szCs w:val="18"/>
                <w:lang w:val="en-GB"/>
              </w:rPr>
              <w:t xml:space="preserve">The second of two broad groups with which Late Palaeolithic cultures are commonly ascribed; includes units from Eastern Europe e.g. </w:t>
            </w:r>
            <w:proofErr w:type="spellStart"/>
            <w:r w:rsidRPr="0044340F">
              <w:rPr>
                <w:rFonts w:ascii="IBM Plex Sans" w:hAnsi="IBM Plex Sans"/>
                <w:b/>
                <w:bCs/>
                <w:sz w:val="18"/>
                <w:szCs w:val="18"/>
                <w:lang w:val="en-GB"/>
              </w:rPr>
              <w:t>Swiderian</w:t>
            </w:r>
            <w:proofErr w:type="spellEnd"/>
            <w:r>
              <w:rPr>
                <w:rFonts w:ascii="IBM Plex Sans" w:hAnsi="IBM Plex Sans"/>
                <w:sz w:val="18"/>
                <w:szCs w:val="18"/>
                <w:lang w:val="en-GB"/>
              </w:rPr>
              <w:t xml:space="preserve"> (</w:t>
            </w:r>
            <w:proofErr w:type="spellStart"/>
            <w:r w:rsidRPr="00556493">
              <w:rPr>
                <w:rFonts w:ascii="IBM Plex Sans" w:hAnsi="IBM Plex Sans"/>
                <w:sz w:val="18"/>
                <w:szCs w:val="18"/>
                <w:lang w:val="en-GB"/>
              </w:rPr>
              <w:t>Kozłowski</w:t>
            </w:r>
            <w:proofErr w:type="spellEnd"/>
            <w:r w:rsidRPr="00556493">
              <w:rPr>
                <w:rFonts w:ascii="IBM Plex Sans" w:hAnsi="IBM Plex Sans"/>
                <w:sz w:val="18"/>
                <w:szCs w:val="18"/>
                <w:lang w:val="en-GB"/>
              </w:rPr>
              <w:t xml:space="preserve"> 1999; </w:t>
            </w:r>
            <w:proofErr w:type="spellStart"/>
            <w:r w:rsidRPr="00556493">
              <w:rPr>
                <w:rFonts w:ascii="IBM Plex Sans" w:hAnsi="IBM Plex Sans"/>
                <w:sz w:val="18"/>
                <w:szCs w:val="18"/>
                <w:lang w:val="en-GB"/>
              </w:rPr>
              <w:t>Szymczak</w:t>
            </w:r>
            <w:proofErr w:type="spellEnd"/>
            <w:r w:rsidRPr="00556493">
              <w:rPr>
                <w:rFonts w:ascii="IBM Plex Sans" w:hAnsi="IBM Plex Sans"/>
                <w:sz w:val="18"/>
                <w:szCs w:val="18"/>
                <w:lang w:val="en-GB"/>
              </w:rPr>
              <w:t xml:space="preserve"> 1999; Burdukiewicz 2011</w:t>
            </w:r>
            <w:r>
              <w:rPr>
                <w:rFonts w:ascii="IBM Plex Sans" w:hAnsi="IBM Plex Sans"/>
                <w:sz w:val="18"/>
                <w:szCs w:val="18"/>
                <w:lang w:val="en-GB"/>
              </w:rPr>
              <w:t>).</w:t>
            </w:r>
          </w:p>
        </w:tc>
        <w:tc>
          <w:tcPr>
            <w:tcW w:w="3258" w:type="dxa"/>
            <w:vAlign w:val="center"/>
          </w:tcPr>
          <w:p w14:paraId="5AEE6E54" w14:textId="77777777" w:rsidR="003A3804" w:rsidRPr="000708B5" w:rsidRDefault="003A3804" w:rsidP="003A3804">
            <w:pPr>
              <w:pStyle w:val="BodyText"/>
              <w:spacing w:after="0"/>
              <w:rPr>
                <w:rFonts w:ascii="IBM Plex Sans" w:hAnsi="IBM Plex Sans"/>
                <w:sz w:val="18"/>
                <w:szCs w:val="18"/>
                <w:lang w:val="en-GB"/>
              </w:rPr>
            </w:pPr>
            <w:proofErr w:type="spellStart"/>
            <w:r w:rsidRPr="000708B5">
              <w:rPr>
                <w:rFonts w:ascii="IBM Plex Sans" w:hAnsi="IBM Plex Sans"/>
                <w:sz w:val="18"/>
                <w:szCs w:val="18"/>
                <w:lang w:val="en-GB"/>
              </w:rPr>
              <w:t>Valde</w:t>
            </w:r>
            <w:proofErr w:type="spellEnd"/>
            <w:r w:rsidRPr="000708B5">
              <w:rPr>
                <w:rFonts w:ascii="IBM Plex Sans" w:hAnsi="IBM Plex Sans"/>
                <w:sz w:val="18"/>
                <w:szCs w:val="18"/>
                <w:lang w:val="en-GB"/>
              </w:rPr>
              <w:t>-Nowak et al.</w:t>
            </w:r>
            <w:r>
              <w:rPr>
                <w:rFonts w:ascii="IBM Plex Sans" w:hAnsi="IBM Plex Sans"/>
                <w:sz w:val="18"/>
                <w:szCs w:val="18"/>
                <w:lang w:val="en-GB"/>
              </w:rPr>
              <w:t xml:space="preserve"> (</w:t>
            </w:r>
            <w:r w:rsidRPr="000708B5">
              <w:rPr>
                <w:rFonts w:ascii="IBM Plex Sans" w:hAnsi="IBM Plex Sans"/>
                <w:sz w:val="18"/>
                <w:szCs w:val="18"/>
                <w:lang w:val="en-GB"/>
              </w:rPr>
              <w:t>2012</w:t>
            </w:r>
            <w:r>
              <w:rPr>
                <w:rFonts w:ascii="IBM Plex Sans" w:hAnsi="IBM Plex Sans"/>
                <w:sz w:val="18"/>
                <w:szCs w:val="18"/>
                <w:lang w:val="en-GB"/>
              </w:rPr>
              <w:t>)</w:t>
            </w:r>
          </w:p>
        </w:tc>
      </w:tr>
    </w:tbl>
    <w:p w14:paraId="039730BA" w14:textId="77777777" w:rsidR="003A3804" w:rsidRDefault="003A3804" w:rsidP="003A3804">
      <w:pPr>
        <w:pStyle w:val="BodyText"/>
        <w:jc w:val="both"/>
        <w:rPr>
          <w:rFonts w:ascii="IBM Plex Sans" w:hAnsi="IBM Plex Sans"/>
          <w:sz w:val="20"/>
          <w:szCs w:val="20"/>
        </w:rPr>
      </w:pPr>
    </w:p>
    <w:p w14:paraId="4015E5C5" w14:textId="2B418CFD" w:rsidR="003A3804" w:rsidRDefault="003A3804" w:rsidP="003A3804">
      <w:pPr>
        <w:jc w:val="center"/>
        <w:rPr>
          <w:rFonts w:ascii="IBM Plex Sans" w:hAnsi="IBM Plex Sans"/>
          <w:sz w:val="20"/>
          <w:szCs w:val="20"/>
        </w:rPr>
      </w:pPr>
      <w:r>
        <w:rPr>
          <w:rFonts w:ascii="IBM Plex Sans" w:hAnsi="IBM Plex Sans"/>
          <w:sz w:val="20"/>
          <w:szCs w:val="20"/>
        </w:rPr>
        <w:t>Table 1. A list of archaeological taxonomic units discussed throughout this article.</w:t>
      </w:r>
    </w:p>
    <w:p w14:paraId="21A16098" w14:textId="231C9C65" w:rsidR="003A3804" w:rsidRPr="003A3804" w:rsidRDefault="003A3804" w:rsidP="003A3804">
      <w:pPr>
        <w:tabs>
          <w:tab w:val="center" w:pos="6979"/>
        </w:tabs>
        <w:sectPr w:rsidR="003A3804" w:rsidRPr="003A3804" w:rsidSect="003A3804">
          <w:pgSz w:w="16838" w:h="11906" w:orient="landscape"/>
          <w:pgMar w:top="1440" w:right="1440" w:bottom="1440" w:left="1440" w:header="708" w:footer="708" w:gutter="0"/>
          <w:cols w:space="708"/>
          <w:docGrid w:linePitch="360"/>
        </w:sectPr>
      </w:pPr>
      <w:r>
        <w:tab/>
      </w:r>
    </w:p>
    <w:p w14:paraId="5776A3F5" w14:textId="1039E1EA" w:rsidR="003A3804" w:rsidRDefault="003A3804" w:rsidP="003A3804">
      <w:pPr>
        <w:pStyle w:val="BodyText"/>
        <w:jc w:val="both"/>
        <w:rPr>
          <w:rFonts w:ascii="IBM Plex Sans" w:hAnsi="IBM Plex Sans"/>
          <w:sz w:val="20"/>
          <w:szCs w:val="20"/>
        </w:rPr>
      </w:pPr>
      <w:r w:rsidRPr="00AF6E00">
        <w:rPr>
          <w:rFonts w:ascii="IBM Plex Sans" w:hAnsi="IBM Plex Sans"/>
          <w:sz w:val="20"/>
          <w:szCs w:val="20"/>
        </w:rPr>
        <w:lastRenderedPageBreak/>
        <w:t xml:space="preserve">Richter (2001) first suggested, on the basis blades with obliquely retouched tips, and the end-scraper component of the assemblage, the site shows affinities to both the </w:t>
      </w:r>
      <w:proofErr w:type="spellStart"/>
      <w:r w:rsidRPr="00AF6E00">
        <w:rPr>
          <w:rFonts w:ascii="IBM Plex Sans" w:hAnsi="IBM Plex Sans"/>
          <w:sz w:val="20"/>
          <w:szCs w:val="20"/>
        </w:rPr>
        <w:t>Wehlen</w:t>
      </w:r>
      <w:proofErr w:type="spellEnd"/>
      <w:r w:rsidRPr="00AF6E00">
        <w:rPr>
          <w:rFonts w:ascii="IBM Plex Sans" w:hAnsi="IBM Plex Sans"/>
          <w:sz w:val="20"/>
          <w:szCs w:val="20"/>
        </w:rPr>
        <w:t xml:space="preserve"> and </w:t>
      </w:r>
      <w:proofErr w:type="spellStart"/>
      <w:r w:rsidRPr="00AF6E00">
        <w:rPr>
          <w:rFonts w:ascii="IBM Plex Sans" w:hAnsi="IBM Plex Sans"/>
          <w:sz w:val="20"/>
          <w:szCs w:val="20"/>
        </w:rPr>
        <w:t>Tjonger</w:t>
      </w:r>
      <w:proofErr w:type="spellEnd"/>
      <w:r w:rsidRPr="00AF6E00">
        <w:rPr>
          <w:rFonts w:ascii="IBM Plex Sans" w:hAnsi="IBM Plex Sans"/>
          <w:sz w:val="20"/>
          <w:szCs w:val="20"/>
        </w:rPr>
        <w:t xml:space="preserve"> Federmesser sub-groups (</w:t>
      </w:r>
      <w:r w:rsidRPr="00AF6E00">
        <w:rPr>
          <w:rFonts w:ascii="IBM Plex Sans" w:hAnsi="IBM Plex Sans"/>
          <w:i/>
          <w:sz w:val="20"/>
          <w:szCs w:val="20"/>
        </w:rPr>
        <w:t>sensu</w:t>
      </w:r>
      <w:r w:rsidRPr="00AF6E00">
        <w:rPr>
          <w:rFonts w:ascii="IBM Plex Sans" w:hAnsi="IBM Plex Sans"/>
          <w:sz w:val="20"/>
          <w:szCs w:val="20"/>
        </w:rPr>
        <w:t xml:space="preserve"> </w:t>
      </w:r>
      <w:proofErr w:type="spellStart"/>
      <w:r w:rsidRPr="00AF6E00">
        <w:rPr>
          <w:rFonts w:ascii="IBM Plex Sans" w:hAnsi="IBM Plex Sans"/>
          <w:sz w:val="20"/>
          <w:szCs w:val="20"/>
        </w:rPr>
        <w:t>Schwabedissen</w:t>
      </w:r>
      <w:proofErr w:type="spellEnd"/>
      <w:r w:rsidRPr="00AF6E00">
        <w:rPr>
          <w:rFonts w:ascii="IBM Plex Sans" w:hAnsi="IBM Plex Sans"/>
          <w:sz w:val="20"/>
          <w:szCs w:val="20"/>
        </w:rPr>
        <w:t xml:space="preserve"> 1954). However, with the clear presence of Creswellian – as well as Ahrensburgian and Hamburgian elements – Richter (2001) voiced concerns regarding a unanimous cultural taxonomic assignment of Bienbüttel-15. In doing so, </w:t>
      </w:r>
      <w:r>
        <w:rPr>
          <w:rFonts w:ascii="IBM Plex Sans" w:hAnsi="IBM Plex Sans"/>
          <w:sz w:val="20"/>
          <w:szCs w:val="20"/>
        </w:rPr>
        <w:t>Richter (2001)</w:t>
      </w:r>
      <w:r w:rsidRPr="00AF6E00">
        <w:rPr>
          <w:rFonts w:ascii="IBM Plex Sans" w:hAnsi="IBM Plex Sans"/>
          <w:sz w:val="20"/>
          <w:szCs w:val="20"/>
        </w:rPr>
        <w:t xml:space="preserve"> </w:t>
      </w:r>
      <w:r w:rsidRPr="00AF6E00">
        <w:rPr>
          <w:rFonts w:ascii="IBM Plex Sans" w:hAnsi="IBM Plex Sans"/>
          <w:sz w:val="20"/>
          <w:szCs w:val="20"/>
        </w:rPr>
        <w:t xml:space="preserve">echoed similar doubts formulated earlier by </w:t>
      </w:r>
      <w:proofErr w:type="spellStart"/>
      <w:r w:rsidRPr="00AF6E00">
        <w:rPr>
          <w:rFonts w:ascii="IBM Plex Sans" w:hAnsi="IBM Plex Sans"/>
          <w:sz w:val="20"/>
          <w:szCs w:val="20"/>
        </w:rPr>
        <w:t>Paddaya</w:t>
      </w:r>
      <w:proofErr w:type="spellEnd"/>
      <w:r w:rsidRPr="00AF6E00">
        <w:rPr>
          <w:rFonts w:ascii="IBM Plex Sans" w:hAnsi="IBM Plex Sans"/>
          <w:sz w:val="20"/>
          <w:szCs w:val="20"/>
        </w:rPr>
        <w:t xml:space="preserve"> (1971) and </w:t>
      </w:r>
      <w:proofErr w:type="spellStart"/>
      <w:r w:rsidRPr="00AF6E00">
        <w:rPr>
          <w:rFonts w:ascii="IBM Plex Sans" w:hAnsi="IBM Plex Sans"/>
          <w:sz w:val="20"/>
          <w:szCs w:val="20"/>
        </w:rPr>
        <w:t>Ikinger</w:t>
      </w:r>
      <w:proofErr w:type="spellEnd"/>
      <w:r w:rsidRPr="00AF6E00">
        <w:rPr>
          <w:rFonts w:ascii="IBM Plex Sans" w:hAnsi="IBM Plex Sans"/>
          <w:sz w:val="20"/>
          <w:szCs w:val="20"/>
        </w:rPr>
        <w:t xml:space="preserve"> (1998), </w:t>
      </w:r>
      <w:r>
        <w:rPr>
          <w:rFonts w:ascii="IBM Plex Sans" w:hAnsi="IBM Plex Sans"/>
          <w:sz w:val="20"/>
          <w:szCs w:val="20"/>
        </w:rPr>
        <w:t xml:space="preserve">stressing </w:t>
      </w:r>
      <w:r w:rsidRPr="00AF6E00">
        <w:rPr>
          <w:rFonts w:ascii="IBM Plex Sans" w:hAnsi="IBM Plex Sans"/>
          <w:sz w:val="20"/>
          <w:szCs w:val="20"/>
        </w:rPr>
        <w:t>the lack of precise qualitative and quantitative analyses in understanding potential Final Palaeolithic group structure and variability (Richter, 2001: 34).</w:t>
      </w:r>
    </w:p>
    <w:p w14:paraId="6DD4D90A" w14:textId="77777777" w:rsidR="003A3804" w:rsidRPr="00E00B6E" w:rsidRDefault="003A3804" w:rsidP="003A3804">
      <w:pPr>
        <w:pStyle w:val="FirstParagraph"/>
        <w:jc w:val="both"/>
        <w:rPr>
          <w:rFonts w:ascii="IBM Plex Sans" w:hAnsi="IBM Plex Sans"/>
          <w:sz w:val="20"/>
          <w:szCs w:val="20"/>
          <w:lang w:val="en-GB"/>
        </w:rPr>
      </w:pPr>
      <w:r w:rsidRPr="00E00B6E">
        <w:rPr>
          <w:rFonts w:ascii="IBM Plex Sans" w:hAnsi="IBM Plex Sans"/>
          <w:sz w:val="20"/>
          <w:szCs w:val="20"/>
          <w:lang w:val="en-GB"/>
        </w:rPr>
        <w:t>Excavations close to the village of Häcklingen, situated near the town of Lüneburg (Lower Saxony, Germany), first began from 1983-1985, following the identification of Palaeolithic and Neolithic material during routine surface inspection (</w:t>
      </w:r>
      <w:proofErr w:type="spellStart"/>
      <w:r w:rsidRPr="00E00B6E">
        <w:rPr>
          <w:rFonts w:ascii="IBM Plex Sans" w:hAnsi="IBM Plex Sans"/>
          <w:sz w:val="20"/>
          <w:szCs w:val="20"/>
          <w:lang w:val="en-GB"/>
        </w:rPr>
        <w:t>Assendorp</w:t>
      </w:r>
      <w:proofErr w:type="spellEnd"/>
      <w:r w:rsidRPr="00E00B6E">
        <w:rPr>
          <w:rFonts w:ascii="IBM Plex Sans" w:hAnsi="IBM Plex Sans"/>
          <w:sz w:val="20"/>
          <w:szCs w:val="20"/>
          <w:lang w:val="en-GB"/>
        </w:rPr>
        <w:t>, 1997). Following the identification of Neolithic pit features, ceramic material, burned bone fragments and hazelnut shells, student excavations led by the University of Hamburg and University of Prague were undertaken towards the end of the twentieth century.</w:t>
      </w:r>
    </w:p>
    <w:p w14:paraId="179C9A36" w14:textId="28DB21F3" w:rsidR="003A3804" w:rsidRDefault="003A3804" w:rsidP="003A3804">
      <w:pPr>
        <w:pStyle w:val="BodyText"/>
        <w:jc w:val="both"/>
        <w:rPr>
          <w:rFonts w:ascii="IBM Plex Sans" w:hAnsi="IBM Plex Sans"/>
          <w:sz w:val="20"/>
          <w:szCs w:val="20"/>
        </w:rPr>
      </w:pPr>
      <w:r w:rsidRPr="00E00B6E">
        <w:rPr>
          <w:rFonts w:ascii="IBM Plex Sans" w:hAnsi="IBM Plex Sans"/>
          <w:sz w:val="20"/>
          <w:szCs w:val="20"/>
        </w:rPr>
        <w:t xml:space="preserve">With ice wedge formations thought to have occurred at this site, as described elsewhere for northern Germany (Clausen, 1995, 1997; Zoller, 1981), and artefacts separated from discoloured areas in the soil, a vertical shift in archaeological material </w:t>
      </w:r>
      <w:r>
        <w:rPr>
          <w:rFonts w:ascii="IBM Plex Sans" w:hAnsi="IBM Plex Sans"/>
          <w:sz w:val="20"/>
          <w:szCs w:val="20"/>
        </w:rPr>
        <w:t>was</w:t>
      </w:r>
      <w:r w:rsidRPr="00E00B6E">
        <w:rPr>
          <w:rFonts w:ascii="IBM Plex Sans" w:hAnsi="IBM Plex Sans"/>
          <w:sz w:val="20"/>
          <w:szCs w:val="20"/>
        </w:rPr>
        <w:t xml:space="preserve"> </w:t>
      </w:r>
      <w:r w:rsidRPr="00E00B6E">
        <w:rPr>
          <w:rFonts w:ascii="IBM Plex Sans" w:hAnsi="IBM Plex Sans"/>
          <w:sz w:val="20"/>
          <w:szCs w:val="20"/>
        </w:rPr>
        <w:t xml:space="preserve">hypothesised (Richter, 2001). This is evident in the examination of the Final Palaeolithic material, with patination and minor edge damage contrasting the fresh-edged and largely </w:t>
      </w:r>
      <w:r w:rsidRPr="00E00B6E">
        <w:rPr>
          <w:rFonts w:ascii="IBM Plex Sans" w:hAnsi="IBM Plex Sans"/>
          <w:i/>
          <w:iCs/>
          <w:sz w:val="20"/>
          <w:szCs w:val="20"/>
        </w:rPr>
        <w:t>in situ</w:t>
      </w:r>
      <w:r w:rsidRPr="00E00B6E">
        <w:rPr>
          <w:rFonts w:ascii="IBM Plex Sans" w:hAnsi="IBM Plex Sans"/>
          <w:sz w:val="20"/>
          <w:szCs w:val="20"/>
        </w:rPr>
        <w:t xml:space="preserve"> Neolithic material, and contrasts the sequence at Bienenbüttel-15.</w:t>
      </w:r>
    </w:p>
    <w:p w14:paraId="79B22251" w14:textId="486EE88A" w:rsidR="003A3804" w:rsidRDefault="003A3804" w:rsidP="003A3804">
      <w:pPr>
        <w:pStyle w:val="BodyText"/>
        <w:jc w:val="both"/>
        <w:rPr>
          <w:rFonts w:ascii="IBM Plex Sans" w:hAnsi="IBM Plex Sans"/>
          <w:sz w:val="20"/>
          <w:szCs w:val="20"/>
        </w:rPr>
      </w:pPr>
      <w:r w:rsidRPr="00E00B6E">
        <w:rPr>
          <w:rFonts w:ascii="IBM Plex Sans" w:hAnsi="IBM Plex Sans"/>
          <w:sz w:val="20"/>
          <w:szCs w:val="20"/>
        </w:rPr>
        <w:t xml:space="preserve">Among the Final Palaeolithic material were a variety of tanged point and backed point forms, including small Ahrensburgian and Chwalibogowice tanged points, as well as larger Lyngby points, in addition to </w:t>
      </w:r>
      <w:proofErr w:type="gramStart"/>
      <w:r w:rsidRPr="00E00B6E">
        <w:rPr>
          <w:rFonts w:ascii="IBM Plex Sans" w:hAnsi="IBM Plex Sans"/>
          <w:sz w:val="20"/>
          <w:szCs w:val="20"/>
        </w:rPr>
        <w:t>a number of</w:t>
      </w:r>
      <w:proofErr w:type="gramEnd"/>
      <w:r w:rsidRPr="00E00B6E">
        <w:rPr>
          <w:rFonts w:ascii="IBM Plex Sans" w:hAnsi="IBM Plex Sans"/>
          <w:sz w:val="20"/>
          <w:szCs w:val="20"/>
        </w:rPr>
        <w:t xml:space="preserve"> Penknife backed points. Given this typological co-occurrence, Richter (2002) noted that, according to traditional classification </w:t>
      </w:r>
      <w:r w:rsidRPr="00E00B6E">
        <w:rPr>
          <w:rFonts w:ascii="IBM Plex Sans" w:hAnsi="IBM Plex Sans"/>
          <w:i/>
          <w:sz w:val="20"/>
          <w:szCs w:val="20"/>
        </w:rPr>
        <w:t>sensu</w:t>
      </w:r>
      <w:r w:rsidRPr="00E00B6E">
        <w:rPr>
          <w:rFonts w:ascii="IBM Plex Sans" w:hAnsi="IBM Plex Sans"/>
          <w:sz w:val="20"/>
          <w:szCs w:val="20"/>
        </w:rPr>
        <w:t xml:space="preserve"> </w:t>
      </w:r>
      <w:proofErr w:type="spellStart"/>
      <w:r w:rsidRPr="00E00B6E">
        <w:rPr>
          <w:rFonts w:ascii="IBM Plex Sans" w:hAnsi="IBM Plex Sans"/>
          <w:sz w:val="20"/>
          <w:szCs w:val="20"/>
        </w:rPr>
        <w:t>Schwabedissen</w:t>
      </w:r>
      <w:proofErr w:type="spellEnd"/>
      <w:r w:rsidRPr="00E00B6E">
        <w:rPr>
          <w:rFonts w:ascii="IBM Plex Sans" w:hAnsi="IBM Plex Sans"/>
          <w:sz w:val="20"/>
          <w:szCs w:val="20"/>
        </w:rPr>
        <w:t xml:space="preserve"> (1954), Häcklingen can be attributed to the </w:t>
      </w:r>
      <w:proofErr w:type="spellStart"/>
      <w:r w:rsidRPr="00E00B6E">
        <w:rPr>
          <w:rFonts w:ascii="IBM Plex Sans" w:hAnsi="IBM Plex Sans"/>
          <w:sz w:val="20"/>
          <w:szCs w:val="20"/>
        </w:rPr>
        <w:t>Rissener</w:t>
      </w:r>
      <w:proofErr w:type="spellEnd"/>
      <w:r w:rsidRPr="00E00B6E">
        <w:rPr>
          <w:rFonts w:ascii="IBM Plex Sans" w:hAnsi="IBM Plex Sans"/>
          <w:sz w:val="20"/>
          <w:szCs w:val="20"/>
        </w:rPr>
        <w:t xml:space="preserve"> sub-group of the Federmessergruppen, before highlighting that the </w:t>
      </w:r>
      <w:proofErr w:type="spellStart"/>
      <w:r w:rsidRPr="00E00B6E">
        <w:rPr>
          <w:rFonts w:ascii="IBM Plex Sans" w:hAnsi="IBM Plex Sans"/>
          <w:sz w:val="20"/>
          <w:szCs w:val="20"/>
        </w:rPr>
        <w:t>Rissener</w:t>
      </w:r>
      <w:proofErr w:type="spellEnd"/>
      <w:r w:rsidRPr="00E00B6E">
        <w:rPr>
          <w:rFonts w:ascii="IBM Plex Sans" w:hAnsi="IBM Plex Sans"/>
          <w:sz w:val="20"/>
          <w:szCs w:val="20"/>
        </w:rPr>
        <w:t xml:space="preserve"> categorisation, and the sub-categories of the Federmesser more generally are unsatisfactory (</w:t>
      </w:r>
      <w:proofErr w:type="spellStart"/>
      <w:r w:rsidRPr="00E00B6E">
        <w:rPr>
          <w:rFonts w:ascii="IBM Plex Sans" w:hAnsi="IBM Plex Sans"/>
          <w:sz w:val="20"/>
          <w:szCs w:val="20"/>
        </w:rPr>
        <w:t>Ikinger</w:t>
      </w:r>
      <w:proofErr w:type="spellEnd"/>
      <w:r w:rsidRPr="00E00B6E">
        <w:rPr>
          <w:rFonts w:ascii="IBM Plex Sans" w:hAnsi="IBM Plex Sans"/>
          <w:sz w:val="20"/>
          <w:szCs w:val="20"/>
        </w:rPr>
        <w:t xml:space="preserve">, 1998; Richter, 2001). This led to Richter (2002) considering the assemblage’s placement within the </w:t>
      </w:r>
      <w:proofErr w:type="spellStart"/>
      <w:r w:rsidRPr="00E00B6E">
        <w:rPr>
          <w:rFonts w:ascii="IBM Plex Sans" w:hAnsi="IBM Plex Sans"/>
          <w:sz w:val="20"/>
          <w:szCs w:val="20"/>
        </w:rPr>
        <w:t>Tolk-Sprenge</w:t>
      </w:r>
      <w:proofErr w:type="spellEnd"/>
      <w:r w:rsidRPr="00E00B6E">
        <w:rPr>
          <w:rFonts w:ascii="IBM Plex Sans" w:hAnsi="IBM Plex Sans"/>
          <w:sz w:val="20"/>
          <w:szCs w:val="20"/>
        </w:rPr>
        <w:t xml:space="preserve"> subdivision of the Tanged-Point-Groups </w:t>
      </w:r>
      <w:r w:rsidRPr="00E00B6E">
        <w:rPr>
          <w:rFonts w:ascii="IBM Plex Sans" w:hAnsi="IBM Plex Sans"/>
          <w:i/>
          <w:sz w:val="20"/>
          <w:szCs w:val="20"/>
        </w:rPr>
        <w:t>sensu</w:t>
      </w:r>
      <w:r w:rsidRPr="00E00B6E">
        <w:rPr>
          <w:rFonts w:ascii="IBM Plex Sans" w:hAnsi="IBM Plex Sans"/>
          <w:sz w:val="20"/>
          <w:szCs w:val="20"/>
        </w:rPr>
        <w:t xml:space="preserve"> </w:t>
      </w:r>
      <w:proofErr w:type="spellStart"/>
      <w:r w:rsidRPr="00E00B6E">
        <w:rPr>
          <w:rFonts w:ascii="IBM Plex Sans" w:hAnsi="IBM Plex Sans"/>
          <w:sz w:val="20"/>
          <w:szCs w:val="20"/>
        </w:rPr>
        <w:t>Taute</w:t>
      </w:r>
      <w:proofErr w:type="spellEnd"/>
      <w:r w:rsidRPr="00E00B6E">
        <w:rPr>
          <w:rFonts w:ascii="IBM Plex Sans" w:hAnsi="IBM Plex Sans"/>
          <w:sz w:val="20"/>
          <w:szCs w:val="20"/>
        </w:rPr>
        <w:t xml:space="preserve"> (1968), which overlaps in part with </w:t>
      </w:r>
      <w:proofErr w:type="spellStart"/>
      <w:r w:rsidRPr="00E00B6E">
        <w:rPr>
          <w:rFonts w:ascii="IBM Plex Sans" w:hAnsi="IBM Plex Sans"/>
          <w:sz w:val="20"/>
          <w:szCs w:val="20"/>
        </w:rPr>
        <w:t>Schwabedissen’s</w:t>
      </w:r>
      <w:proofErr w:type="spellEnd"/>
      <w:r w:rsidRPr="00E00B6E">
        <w:rPr>
          <w:rFonts w:ascii="IBM Plex Sans" w:hAnsi="IBM Plex Sans"/>
          <w:sz w:val="20"/>
          <w:szCs w:val="20"/>
        </w:rPr>
        <w:t xml:space="preserve"> Lyngby culture of southern Scandinavia. Such classificatory assignments seem largely arbitrary, however, and driven by preconceived normative biases.</w:t>
      </w:r>
    </w:p>
    <w:p w14:paraId="49C349BF" w14:textId="77777777" w:rsidR="003A3804" w:rsidRPr="00E00B6E" w:rsidRDefault="003A3804" w:rsidP="003A3804">
      <w:pPr>
        <w:pStyle w:val="BodyText"/>
        <w:jc w:val="both"/>
        <w:rPr>
          <w:rFonts w:ascii="IBM Plex Sans" w:hAnsi="IBM Plex Sans"/>
          <w:sz w:val="20"/>
          <w:szCs w:val="20"/>
        </w:rPr>
      </w:pPr>
      <w:r w:rsidRPr="00E00B6E">
        <w:rPr>
          <w:rFonts w:ascii="IBM Plex Sans" w:hAnsi="IBM Plex Sans"/>
          <w:sz w:val="20"/>
          <w:szCs w:val="20"/>
        </w:rPr>
        <w:t xml:space="preserve">Riede (2017) has pointed out that many of the same inventories were used by </w:t>
      </w:r>
      <w:proofErr w:type="spellStart"/>
      <w:r w:rsidRPr="00E00B6E">
        <w:rPr>
          <w:rFonts w:ascii="IBM Plex Sans" w:hAnsi="IBM Plex Sans"/>
          <w:sz w:val="20"/>
          <w:szCs w:val="20"/>
        </w:rPr>
        <w:t>Schwabedissen</w:t>
      </w:r>
      <w:proofErr w:type="spellEnd"/>
      <w:r w:rsidRPr="00E00B6E">
        <w:rPr>
          <w:rFonts w:ascii="IBM Plex Sans" w:hAnsi="IBM Plex Sans"/>
          <w:sz w:val="20"/>
          <w:szCs w:val="20"/>
        </w:rPr>
        <w:t xml:space="preserve"> (1954) and </w:t>
      </w:r>
      <w:proofErr w:type="spellStart"/>
      <w:r w:rsidRPr="00E00B6E">
        <w:rPr>
          <w:rFonts w:ascii="IBM Plex Sans" w:hAnsi="IBM Plex Sans"/>
          <w:sz w:val="20"/>
          <w:szCs w:val="20"/>
        </w:rPr>
        <w:t>Taute</w:t>
      </w:r>
      <w:proofErr w:type="spellEnd"/>
      <w:r w:rsidRPr="00E00B6E">
        <w:rPr>
          <w:rFonts w:ascii="IBM Plex Sans" w:hAnsi="IBM Plex Sans"/>
          <w:sz w:val="20"/>
          <w:szCs w:val="20"/>
        </w:rPr>
        <w:t xml:space="preserve"> (1968) respectively to define their </w:t>
      </w:r>
      <w:proofErr w:type="spellStart"/>
      <w:r w:rsidRPr="00E00B6E">
        <w:rPr>
          <w:rFonts w:ascii="IBM Plex Sans" w:hAnsi="IBM Plex Sans"/>
          <w:sz w:val="20"/>
          <w:szCs w:val="20"/>
        </w:rPr>
        <w:t>Rissen</w:t>
      </w:r>
      <w:proofErr w:type="spellEnd"/>
      <w:r w:rsidRPr="00E00B6E">
        <w:rPr>
          <w:rFonts w:ascii="IBM Plex Sans" w:hAnsi="IBM Plex Sans"/>
          <w:sz w:val="20"/>
          <w:szCs w:val="20"/>
        </w:rPr>
        <w:t xml:space="preserve"> Group and Lyngby culture on the one hand, and the </w:t>
      </w:r>
      <w:proofErr w:type="spellStart"/>
      <w:r w:rsidRPr="00E00B6E">
        <w:rPr>
          <w:rFonts w:ascii="IBM Plex Sans" w:hAnsi="IBM Plex Sans"/>
          <w:sz w:val="20"/>
          <w:szCs w:val="20"/>
        </w:rPr>
        <w:t>Tolk-Sprenge</w:t>
      </w:r>
      <w:proofErr w:type="spellEnd"/>
      <w:r w:rsidRPr="00E00B6E">
        <w:rPr>
          <w:rFonts w:ascii="IBM Plex Sans" w:hAnsi="IBM Plex Sans"/>
          <w:sz w:val="20"/>
          <w:szCs w:val="20"/>
        </w:rPr>
        <w:t xml:space="preserve"> and </w:t>
      </w:r>
      <w:proofErr w:type="spellStart"/>
      <w:r w:rsidRPr="00E00B6E">
        <w:rPr>
          <w:rFonts w:ascii="IBM Plex Sans" w:hAnsi="IBM Plex Sans"/>
          <w:sz w:val="20"/>
          <w:szCs w:val="20"/>
        </w:rPr>
        <w:t>Segebro</w:t>
      </w:r>
      <w:proofErr w:type="spellEnd"/>
      <w:r w:rsidRPr="00E00B6E">
        <w:rPr>
          <w:rFonts w:ascii="IBM Plex Sans" w:hAnsi="IBM Plex Sans"/>
          <w:sz w:val="20"/>
          <w:szCs w:val="20"/>
        </w:rPr>
        <w:t xml:space="preserve">-Bromme. </w:t>
      </w:r>
      <w:proofErr w:type="gramStart"/>
      <w:r w:rsidRPr="00E00B6E">
        <w:rPr>
          <w:rFonts w:ascii="IBM Plex Sans" w:hAnsi="IBM Plex Sans"/>
          <w:sz w:val="20"/>
          <w:szCs w:val="20"/>
        </w:rPr>
        <w:t>With the exception of</w:t>
      </w:r>
      <w:proofErr w:type="gramEnd"/>
      <w:r w:rsidRPr="00E00B6E">
        <w:rPr>
          <w:rFonts w:ascii="IBM Plex Sans" w:hAnsi="IBM Plex Sans"/>
          <w:sz w:val="20"/>
          <w:szCs w:val="20"/>
        </w:rPr>
        <w:t xml:space="preserve"> the Lyngby culture, the presence of backed form variants characterises all of these groupings, but whether one prioritises these or the large tanged points as primary index of cultural affinity appears to vary with author preference. Given that many of the relevant assemblages are small and not obtained via controlled excavation rises further doubts </w:t>
      </w:r>
      <w:proofErr w:type="gramStart"/>
      <w:r w:rsidRPr="00E00B6E">
        <w:rPr>
          <w:rFonts w:ascii="IBM Plex Sans" w:hAnsi="IBM Plex Sans"/>
          <w:sz w:val="20"/>
          <w:szCs w:val="20"/>
        </w:rPr>
        <w:t>with regard to</w:t>
      </w:r>
      <w:proofErr w:type="gramEnd"/>
      <w:r w:rsidRPr="00E00B6E">
        <w:rPr>
          <w:rFonts w:ascii="IBM Plex Sans" w:hAnsi="IBM Plex Sans"/>
          <w:sz w:val="20"/>
          <w:szCs w:val="20"/>
        </w:rPr>
        <w:t xml:space="preserve"> the epistemic robusticity of the resulting groupings. The pitfalls of working with open-air sites have long been acknowledged within Final Palaeolithic research (e.g. Vermeersch 1977; Vermeersch and </w:t>
      </w:r>
      <w:proofErr w:type="spellStart"/>
      <w:r w:rsidRPr="00E00B6E">
        <w:rPr>
          <w:rFonts w:ascii="IBM Plex Sans" w:hAnsi="IBM Plex Sans"/>
          <w:sz w:val="20"/>
          <w:szCs w:val="20"/>
        </w:rPr>
        <w:t>Budel</w:t>
      </w:r>
      <w:proofErr w:type="spellEnd"/>
      <w:r w:rsidRPr="00E00B6E">
        <w:rPr>
          <w:rFonts w:ascii="IBM Plex Sans" w:hAnsi="IBM Plex Sans"/>
          <w:sz w:val="20"/>
          <w:szCs w:val="20"/>
        </w:rPr>
        <w:t xml:space="preserve"> 1997), existing modelling and experimental data on how post-depositional processes and collections biases typically affect the composition of surface scatters (e.g. Ammerman and Feldman 1974; </w:t>
      </w:r>
      <w:proofErr w:type="spellStart"/>
      <w:r w:rsidRPr="00E00B6E">
        <w:rPr>
          <w:rFonts w:ascii="IBM Plex Sans" w:hAnsi="IBM Plex Sans"/>
          <w:sz w:val="20"/>
          <w:szCs w:val="20"/>
        </w:rPr>
        <w:t>Dunnell</w:t>
      </w:r>
      <w:proofErr w:type="spellEnd"/>
      <w:r w:rsidRPr="00E00B6E">
        <w:rPr>
          <w:rFonts w:ascii="IBM Plex Sans" w:hAnsi="IBM Plex Sans"/>
          <w:sz w:val="20"/>
          <w:szCs w:val="20"/>
        </w:rPr>
        <w:t xml:space="preserve"> and </w:t>
      </w:r>
      <w:proofErr w:type="spellStart"/>
      <w:r w:rsidRPr="00E00B6E">
        <w:rPr>
          <w:rFonts w:ascii="IBM Plex Sans" w:hAnsi="IBM Plex Sans"/>
          <w:sz w:val="20"/>
          <w:szCs w:val="20"/>
        </w:rPr>
        <w:t>Simek</w:t>
      </w:r>
      <w:proofErr w:type="spellEnd"/>
      <w:r w:rsidRPr="00E00B6E">
        <w:rPr>
          <w:rFonts w:ascii="IBM Plex Sans" w:hAnsi="IBM Plex Sans"/>
          <w:sz w:val="20"/>
          <w:szCs w:val="20"/>
        </w:rPr>
        <w:t xml:space="preserve"> 1994) are rarely invoked when classification is the goal.</w:t>
      </w:r>
    </w:p>
    <w:p w14:paraId="63F112C1" w14:textId="77777777" w:rsidR="003A3804" w:rsidRDefault="003A3804" w:rsidP="003A3804">
      <w:pPr>
        <w:pStyle w:val="BodyText"/>
        <w:jc w:val="both"/>
        <w:rPr>
          <w:rFonts w:ascii="IBM Plex Sans" w:hAnsi="IBM Plex Sans"/>
          <w:sz w:val="20"/>
          <w:szCs w:val="20"/>
        </w:rPr>
      </w:pPr>
      <w:r w:rsidRPr="00E00B6E">
        <w:rPr>
          <w:rFonts w:ascii="IBM Plex Sans" w:hAnsi="IBM Plex Sans"/>
          <w:sz w:val="20"/>
          <w:szCs w:val="20"/>
        </w:rPr>
        <w:t xml:space="preserve">With a distinct chronometric framework lacking (similarly to Bienenbüttel), and </w:t>
      </w:r>
      <w:proofErr w:type="gramStart"/>
      <w:r w:rsidRPr="00E00B6E">
        <w:rPr>
          <w:rFonts w:ascii="IBM Plex Sans" w:hAnsi="IBM Plex Sans"/>
          <w:sz w:val="20"/>
          <w:szCs w:val="20"/>
        </w:rPr>
        <w:t>as a result of</w:t>
      </w:r>
      <w:proofErr w:type="gramEnd"/>
      <w:r w:rsidRPr="00E00B6E">
        <w:rPr>
          <w:rFonts w:ascii="IBM Plex Sans" w:hAnsi="IBM Plex Sans"/>
          <w:sz w:val="20"/>
          <w:szCs w:val="20"/>
        </w:rPr>
        <w:t xml:space="preserve"> mechanical </w:t>
      </w:r>
      <w:proofErr w:type="spellStart"/>
      <w:r w:rsidRPr="00E00B6E">
        <w:rPr>
          <w:rFonts w:ascii="IBM Plex Sans" w:hAnsi="IBM Plex Sans"/>
          <w:sz w:val="20"/>
          <w:szCs w:val="20"/>
        </w:rPr>
        <w:t>taphonomic</w:t>
      </w:r>
      <w:proofErr w:type="spellEnd"/>
      <w:r w:rsidRPr="00E00B6E">
        <w:rPr>
          <w:rFonts w:ascii="IBM Plex Sans" w:hAnsi="IBM Plex Sans"/>
          <w:sz w:val="20"/>
          <w:szCs w:val="20"/>
        </w:rPr>
        <w:t xml:space="preserve"> processes at Häcklingen, it is unknown whether the Final Palaeolithic material represents one or multiple occupation events.</w:t>
      </w:r>
      <w:r>
        <w:rPr>
          <w:rFonts w:ascii="IBM Plex Sans" w:hAnsi="IBM Plex Sans"/>
          <w:sz w:val="20"/>
          <w:szCs w:val="20"/>
        </w:rPr>
        <w:t xml:space="preserve"> However, d</w:t>
      </w:r>
      <w:r w:rsidRPr="00E00B6E">
        <w:rPr>
          <w:rFonts w:ascii="IBM Plex Sans" w:hAnsi="IBM Plex Sans"/>
          <w:sz w:val="20"/>
          <w:szCs w:val="20"/>
        </w:rPr>
        <w:t>espite cross-contamination in layers, the typologically perspective awkward admixture of tanged and backed point variants at Häcklingen are particularly relevant to the robustness of these artefacts,</w:t>
      </w:r>
      <w:r>
        <w:rPr>
          <w:rFonts w:ascii="IBM Plex Sans" w:hAnsi="IBM Plex Sans"/>
          <w:sz w:val="20"/>
          <w:szCs w:val="20"/>
        </w:rPr>
        <w:t xml:space="preserve"> in their classification,</w:t>
      </w:r>
      <w:r w:rsidRPr="00E00B6E">
        <w:rPr>
          <w:rFonts w:ascii="IBM Plex Sans" w:hAnsi="IBM Plex Sans"/>
          <w:sz w:val="20"/>
          <w:szCs w:val="20"/>
        </w:rPr>
        <w:t xml:space="preserve"> and the combination of them as archaeological taxonomic units.</w:t>
      </w:r>
    </w:p>
    <w:p w14:paraId="10605075" w14:textId="3288C2FB" w:rsidR="003A3804" w:rsidRPr="0044340F" w:rsidRDefault="003A3804" w:rsidP="003A3804">
      <w:pPr>
        <w:pStyle w:val="FirstParagraph"/>
        <w:jc w:val="both"/>
        <w:rPr>
          <w:rFonts w:ascii="IBM Plex Sans" w:hAnsi="IBM Plex Sans"/>
          <w:sz w:val="20"/>
          <w:szCs w:val="20"/>
          <w:lang w:val="en-GB"/>
        </w:rPr>
      </w:pPr>
      <w:r w:rsidRPr="0044340F">
        <w:rPr>
          <w:rFonts w:ascii="IBM Plex Sans" w:hAnsi="IBM Plex Sans"/>
          <w:sz w:val="20"/>
          <w:szCs w:val="20"/>
          <w:lang w:val="en-GB"/>
        </w:rPr>
        <w:lastRenderedPageBreak/>
        <w:t xml:space="preserve">The sites of Häcklingen and Bienenbüttel represent just two of </w:t>
      </w:r>
      <w:proofErr w:type="gramStart"/>
      <w:r w:rsidRPr="0044340F">
        <w:rPr>
          <w:rFonts w:ascii="IBM Plex Sans" w:hAnsi="IBM Plex Sans"/>
          <w:sz w:val="20"/>
          <w:szCs w:val="20"/>
          <w:lang w:val="en-GB"/>
        </w:rPr>
        <w:t>a number of</w:t>
      </w:r>
      <w:proofErr w:type="gramEnd"/>
      <w:r w:rsidRPr="0044340F">
        <w:rPr>
          <w:rFonts w:ascii="IBM Plex Sans" w:hAnsi="IBM Plex Sans"/>
          <w:sz w:val="20"/>
          <w:szCs w:val="20"/>
          <w:lang w:val="en-GB"/>
        </w:rPr>
        <w:t xml:space="preserve"> contexts, with a lack of chronometric dating, and known to feature a wealth of different named artefact units commonly thought to represent specific taxonomic groups. Others include the sites of Kleinenbroich (Thissen et al. 1996) and Sassenholz (</w:t>
      </w:r>
      <w:proofErr w:type="spellStart"/>
      <w:r w:rsidRPr="0044340F">
        <w:rPr>
          <w:rFonts w:ascii="IBM Plex Sans" w:hAnsi="IBM Plex Sans"/>
          <w:sz w:val="20"/>
          <w:szCs w:val="20"/>
          <w:lang w:val="en-GB"/>
        </w:rPr>
        <w:t>Breest</w:t>
      </w:r>
      <w:proofErr w:type="spellEnd"/>
      <w:r w:rsidRPr="0044340F">
        <w:rPr>
          <w:rFonts w:ascii="IBM Plex Sans" w:hAnsi="IBM Plex Sans"/>
          <w:sz w:val="20"/>
          <w:szCs w:val="20"/>
          <w:lang w:val="en-GB"/>
        </w:rPr>
        <w:t xml:space="preserve"> and Gerken 2008) in Germany, Zonhoven-</w:t>
      </w:r>
      <w:proofErr w:type="spellStart"/>
      <w:r w:rsidRPr="0044340F">
        <w:rPr>
          <w:rFonts w:ascii="IBM Plex Sans" w:hAnsi="IBM Plex Sans"/>
          <w:sz w:val="20"/>
          <w:szCs w:val="20"/>
          <w:lang w:val="en-GB"/>
        </w:rPr>
        <w:t>Molenheide</w:t>
      </w:r>
      <w:proofErr w:type="spellEnd"/>
      <w:r w:rsidRPr="0044340F">
        <w:rPr>
          <w:rFonts w:ascii="IBM Plex Sans" w:hAnsi="IBM Plex Sans"/>
          <w:sz w:val="20"/>
          <w:szCs w:val="20"/>
          <w:lang w:val="en-GB"/>
        </w:rPr>
        <w:t xml:space="preserve"> (Vermeersch 2013) in Belgium and </w:t>
      </w:r>
      <w:proofErr w:type="spellStart"/>
      <w:r w:rsidRPr="0044340F">
        <w:rPr>
          <w:rFonts w:ascii="IBM Plex Sans" w:hAnsi="IBM Plex Sans"/>
          <w:sz w:val="20"/>
          <w:szCs w:val="20"/>
          <w:lang w:val="en-GB"/>
        </w:rPr>
        <w:t>Stoksbjerg</w:t>
      </w:r>
      <w:proofErr w:type="spellEnd"/>
      <w:r w:rsidRPr="0044340F">
        <w:rPr>
          <w:rFonts w:ascii="IBM Plex Sans" w:hAnsi="IBM Plex Sans"/>
          <w:sz w:val="20"/>
          <w:szCs w:val="20"/>
          <w:lang w:val="en-GB"/>
        </w:rPr>
        <w:t xml:space="preserve"> Vest (</w:t>
      </w:r>
      <w:proofErr w:type="spellStart"/>
      <w:r w:rsidRPr="0044340F">
        <w:rPr>
          <w:rFonts w:ascii="IBM Plex Sans" w:hAnsi="IBM Plex Sans"/>
          <w:sz w:val="20"/>
          <w:szCs w:val="20"/>
          <w:lang w:val="en-GB"/>
        </w:rPr>
        <w:t>Johanssson</w:t>
      </w:r>
      <w:proofErr w:type="spellEnd"/>
      <w:r w:rsidRPr="0044340F">
        <w:rPr>
          <w:rFonts w:ascii="IBM Plex Sans" w:hAnsi="IBM Plex Sans"/>
          <w:sz w:val="20"/>
          <w:szCs w:val="20"/>
          <w:lang w:val="en-GB"/>
        </w:rPr>
        <w:t xml:space="preserve"> 2003) and </w:t>
      </w:r>
      <w:proofErr w:type="spellStart"/>
      <w:r w:rsidRPr="0044340F">
        <w:rPr>
          <w:rFonts w:ascii="IBM Plex Sans" w:hAnsi="IBM Plex Sans"/>
          <w:sz w:val="20"/>
          <w:szCs w:val="20"/>
          <w:lang w:val="en-GB"/>
        </w:rPr>
        <w:t>Hasselø</w:t>
      </w:r>
      <w:proofErr w:type="spellEnd"/>
      <w:r w:rsidRPr="0044340F">
        <w:rPr>
          <w:rFonts w:ascii="IBM Plex Sans" w:hAnsi="IBM Plex Sans"/>
          <w:sz w:val="20"/>
          <w:szCs w:val="20"/>
          <w:lang w:val="en-GB"/>
        </w:rPr>
        <w:t xml:space="preserve"> </w:t>
      </w:r>
      <w:proofErr w:type="spellStart"/>
      <w:r w:rsidRPr="0044340F">
        <w:rPr>
          <w:rFonts w:ascii="IBM Plex Sans" w:hAnsi="IBM Plex Sans"/>
          <w:sz w:val="20"/>
          <w:szCs w:val="20"/>
          <w:lang w:val="en-GB"/>
        </w:rPr>
        <w:t>Tværvej</w:t>
      </w:r>
      <w:proofErr w:type="spellEnd"/>
      <w:r w:rsidRPr="0044340F">
        <w:rPr>
          <w:rFonts w:ascii="IBM Plex Sans" w:hAnsi="IBM Plex Sans"/>
          <w:sz w:val="20"/>
          <w:szCs w:val="20"/>
          <w:lang w:val="en-GB"/>
        </w:rPr>
        <w:t xml:space="preserve"> (Vang Petersen 2006) in Denmark. All these locales show typologically mixed and hence awkward combinations of projectile points and hence challenge traditional ways of cultural taxonomic assignment. Variously, these mixed elements are sought separated after excavation, but this follows a strictly normative (typo-)logic. Just as at Bienenbüttel-15 and Häcklingen-19, there are often </w:t>
      </w:r>
      <w:proofErr w:type="gramStart"/>
      <w:r w:rsidRPr="0044340F">
        <w:rPr>
          <w:rFonts w:ascii="IBM Plex Sans" w:hAnsi="IBM Plex Sans"/>
          <w:sz w:val="20"/>
          <w:szCs w:val="20"/>
          <w:lang w:val="en-GB"/>
        </w:rPr>
        <w:t>no</w:t>
      </w:r>
      <w:proofErr w:type="gramEnd"/>
      <w:r w:rsidRPr="0044340F">
        <w:rPr>
          <w:rFonts w:ascii="IBM Plex Sans" w:hAnsi="IBM Plex Sans"/>
          <w:sz w:val="20"/>
          <w:szCs w:val="20"/>
          <w:lang w:val="en-GB"/>
        </w:rPr>
        <w:t xml:space="preserve"> fully convincing </w:t>
      </w:r>
      <w:r w:rsidRPr="0044340F">
        <w:rPr>
          <w:rFonts w:ascii="IBM Plex Sans" w:hAnsi="IBM Plex Sans"/>
          <w:i/>
          <w:iCs/>
          <w:sz w:val="20"/>
          <w:szCs w:val="20"/>
          <w:lang w:val="en-GB"/>
        </w:rPr>
        <w:t>a priori</w:t>
      </w:r>
      <w:r w:rsidRPr="0044340F">
        <w:rPr>
          <w:rFonts w:ascii="IBM Plex Sans" w:hAnsi="IBM Plex Sans"/>
          <w:sz w:val="20"/>
          <w:szCs w:val="20"/>
          <w:lang w:val="en-GB"/>
        </w:rPr>
        <w:t xml:space="preserve"> reasons to divide such mixed assemblages into less awkward and typologically tidy components. In the following, we circumvent such concerns by focusing, for the first time, on the technological </w:t>
      </w:r>
      <w:r w:rsidR="000A1D05">
        <w:rPr>
          <w:rFonts w:ascii="IBM Plex Sans" w:hAnsi="IBM Plex Sans"/>
          <w:sz w:val="20"/>
          <w:szCs w:val="20"/>
          <w:lang w:val="en-GB"/>
        </w:rPr>
        <w:t>and morphological characteristics</w:t>
      </w:r>
      <w:r w:rsidRPr="0044340F">
        <w:rPr>
          <w:rFonts w:ascii="IBM Plex Sans" w:hAnsi="IBM Plex Sans"/>
          <w:sz w:val="20"/>
          <w:szCs w:val="20"/>
          <w:lang w:val="en-GB"/>
        </w:rPr>
        <w:t xml:space="preserve"> among such Final Palaeolithic assemblages.</w:t>
      </w:r>
    </w:p>
    <w:p w14:paraId="61DBD690" w14:textId="162DCFC5" w:rsidR="003A3804" w:rsidRDefault="003A3804" w:rsidP="003A3804">
      <w:pPr>
        <w:pStyle w:val="BodyText"/>
        <w:jc w:val="both"/>
        <w:rPr>
          <w:rFonts w:ascii="IBM Plex Sans" w:hAnsi="IBM Plex Sans"/>
          <w:sz w:val="20"/>
          <w:szCs w:val="20"/>
        </w:rPr>
      </w:pPr>
    </w:p>
    <w:p w14:paraId="26F825BC" w14:textId="30A53012" w:rsidR="003A3804" w:rsidRDefault="003A3804" w:rsidP="003A3804">
      <w:pPr>
        <w:rPr>
          <w:rFonts w:ascii="IBM Plex Sans" w:hAnsi="IBM Plex Sans"/>
          <w:b/>
          <w:bCs/>
          <w:sz w:val="28"/>
          <w:szCs w:val="28"/>
        </w:rPr>
      </w:pPr>
      <w:r>
        <w:rPr>
          <w:rFonts w:ascii="IBM Plex Sans" w:hAnsi="IBM Plex Sans"/>
          <w:b/>
          <w:bCs/>
          <w:sz w:val="28"/>
          <w:szCs w:val="28"/>
        </w:rPr>
        <w:t>Materials and Methods</w:t>
      </w:r>
    </w:p>
    <w:p w14:paraId="71B5EDA4" w14:textId="3641DE4E" w:rsidR="003A3804" w:rsidRDefault="003A3804" w:rsidP="003A3804">
      <w:pPr>
        <w:pStyle w:val="FirstParagraph"/>
        <w:jc w:val="both"/>
        <w:rPr>
          <w:rFonts w:ascii="IBM Plex Sans" w:hAnsi="IBM Plex Sans"/>
          <w:sz w:val="20"/>
          <w:szCs w:val="20"/>
          <w:lang w:val="en-GB"/>
        </w:rPr>
      </w:pPr>
      <w:r w:rsidRPr="00276AE5">
        <w:rPr>
          <w:rFonts w:ascii="IBM Plex Sans" w:hAnsi="IBM Plex Sans"/>
          <w:sz w:val="20"/>
          <w:szCs w:val="20"/>
          <w:lang w:val="en-GB"/>
        </w:rPr>
        <w:t>To better understand the technological positioning of Häcklingen and Bienenbüttel, quantitative and qualitative technological and morphological analys</w:t>
      </w:r>
      <w:r>
        <w:rPr>
          <w:rFonts w:ascii="IBM Plex Sans" w:hAnsi="IBM Plex Sans"/>
          <w:sz w:val="20"/>
          <w:szCs w:val="20"/>
          <w:lang w:val="en-GB"/>
        </w:rPr>
        <w:t>e</w:t>
      </w:r>
      <w:r w:rsidRPr="00276AE5">
        <w:rPr>
          <w:rFonts w:ascii="IBM Plex Sans" w:hAnsi="IBM Plex Sans"/>
          <w:sz w:val="20"/>
          <w:szCs w:val="20"/>
          <w:lang w:val="en-GB"/>
        </w:rPr>
        <w:t xml:space="preserve">s </w:t>
      </w:r>
      <w:r>
        <w:rPr>
          <w:rFonts w:ascii="IBM Plex Sans" w:hAnsi="IBM Plex Sans"/>
          <w:sz w:val="20"/>
          <w:szCs w:val="20"/>
          <w:lang w:val="en-GB"/>
        </w:rPr>
        <w:t>are</w:t>
      </w:r>
      <w:r w:rsidRPr="00276AE5">
        <w:rPr>
          <w:rFonts w:ascii="IBM Plex Sans" w:hAnsi="IBM Plex Sans"/>
          <w:sz w:val="20"/>
          <w:szCs w:val="20"/>
          <w:lang w:val="en-GB"/>
        </w:rPr>
        <w:t xml:space="preserve"> performed on cores, blades and projectile points from these two sites as well as ten additional assemblages previously classified as either Federmesser and </w:t>
      </w:r>
      <w:proofErr w:type="spellStart"/>
      <w:r w:rsidRPr="00276AE5">
        <w:rPr>
          <w:rFonts w:ascii="IBM Plex Sans" w:hAnsi="IBM Plex Sans"/>
          <w:sz w:val="20"/>
          <w:szCs w:val="20"/>
          <w:lang w:val="en-GB"/>
        </w:rPr>
        <w:t>Brommean</w:t>
      </w:r>
      <w:proofErr w:type="spellEnd"/>
      <w:r w:rsidRPr="00276AE5">
        <w:rPr>
          <w:rFonts w:ascii="IBM Plex Sans" w:hAnsi="IBM Plex Sans"/>
          <w:sz w:val="20"/>
          <w:szCs w:val="20"/>
          <w:lang w:val="en-GB"/>
        </w:rPr>
        <w:t xml:space="preserve"> (≈Lyngby culture/Bromme-</w:t>
      </w:r>
      <w:proofErr w:type="spellStart"/>
      <w:r w:rsidRPr="00276AE5">
        <w:rPr>
          <w:rFonts w:ascii="IBM Plex Sans" w:hAnsi="IBM Plex Sans"/>
          <w:sz w:val="20"/>
          <w:szCs w:val="20"/>
          <w:lang w:val="en-GB"/>
        </w:rPr>
        <w:t>Segebro</w:t>
      </w:r>
      <w:proofErr w:type="spellEnd"/>
      <w:r w:rsidRPr="00276AE5">
        <w:rPr>
          <w:rFonts w:ascii="IBM Plex Sans" w:hAnsi="IBM Plex Sans"/>
          <w:sz w:val="20"/>
          <w:szCs w:val="20"/>
          <w:lang w:val="en-GB"/>
        </w:rPr>
        <w:t xml:space="preserve"> Group; see Figure </w:t>
      </w:r>
      <w:r>
        <w:rPr>
          <w:rFonts w:ascii="IBM Plex Sans" w:hAnsi="IBM Plex Sans"/>
          <w:sz w:val="20"/>
          <w:szCs w:val="20"/>
          <w:lang w:val="en-GB"/>
        </w:rPr>
        <w:t>1</w:t>
      </w:r>
      <w:r w:rsidRPr="00276AE5">
        <w:rPr>
          <w:rFonts w:ascii="IBM Plex Sans" w:hAnsi="IBM Plex Sans"/>
          <w:sz w:val="20"/>
          <w:szCs w:val="20"/>
          <w:lang w:val="en-GB"/>
        </w:rPr>
        <w:t>).</w:t>
      </w:r>
    </w:p>
    <w:p w14:paraId="17FA2FA7" w14:textId="77777777" w:rsidR="003A3804" w:rsidRPr="003A3804" w:rsidRDefault="003A3804" w:rsidP="003A3804">
      <w:pPr>
        <w:pStyle w:val="BodyText"/>
      </w:pPr>
    </w:p>
    <w:p w14:paraId="4C31E440" w14:textId="2FC2AFB6" w:rsidR="003A3804" w:rsidRPr="003A3804" w:rsidRDefault="003A3804" w:rsidP="003A3804">
      <w:pPr>
        <w:jc w:val="center"/>
        <w:rPr>
          <w:rFonts w:ascii="IBM Plex Sans" w:hAnsi="IBM Plex Sans"/>
        </w:rPr>
      </w:pPr>
      <w:r>
        <w:rPr>
          <w:rFonts w:ascii="IBM Plex Sans" w:hAnsi="IBM Plex Sans"/>
          <w:noProof/>
        </w:rPr>
        <w:drawing>
          <wp:inline distT="0" distB="0" distL="0" distR="0" wp14:anchorId="3F1BD693" wp14:editId="2F472F65">
            <wp:extent cx="46386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4638675"/>
                    </a:xfrm>
                    <a:prstGeom prst="rect">
                      <a:avLst/>
                    </a:prstGeom>
                    <a:noFill/>
                  </pic:spPr>
                </pic:pic>
              </a:graphicData>
            </a:graphic>
          </wp:inline>
        </w:drawing>
      </w:r>
    </w:p>
    <w:p w14:paraId="768870AF" w14:textId="3BD63CA2" w:rsidR="003A3804" w:rsidRDefault="003A3804" w:rsidP="003A3804">
      <w:pPr>
        <w:pStyle w:val="BodyText"/>
        <w:jc w:val="center"/>
        <w:rPr>
          <w:rFonts w:ascii="IBM Plex Sans" w:hAnsi="IBM Plex Sans"/>
          <w:sz w:val="20"/>
          <w:szCs w:val="20"/>
        </w:rPr>
      </w:pPr>
      <w:r>
        <w:rPr>
          <w:rFonts w:ascii="IBM Plex Sans" w:hAnsi="IBM Plex Sans"/>
          <w:sz w:val="20"/>
          <w:szCs w:val="20"/>
        </w:rPr>
        <w:t>Figure 1. A map of all assemblages examined in this article.</w:t>
      </w:r>
    </w:p>
    <w:p w14:paraId="181B285D" w14:textId="77777777" w:rsidR="000A1D05" w:rsidRPr="00276AE5" w:rsidRDefault="000A1D05" w:rsidP="000A1D05">
      <w:pPr>
        <w:pStyle w:val="BodyText"/>
        <w:jc w:val="both"/>
        <w:rPr>
          <w:rFonts w:ascii="IBM Plex Sans" w:hAnsi="IBM Plex Sans"/>
          <w:sz w:val="20"/>
          <w:szCs w:val="20"/>
        </w:rPr>
      </w:pPr>
      <w:bookmarkStart w:id="0" w:name="_Hlk70927170"/>
      <w:r w:rsidRPr="00276AE5">
        <w:rPr>
          <w:rFonts w:ascii="IBM Plex Sans" w:hAnsi="IBM Plex Sans"/>
          <w:sz w:val="20"/>
          <w:szCs w:val="20"/>
        </w:rPr>
        <w:lastRenderedPageBreak/>
        <w:t xml:space="preserve">Federmesser sites </w:t>
      </w:r>
      <w:r w:rsidRPr="00276AE5">
        <w:rPr>
          <w:rFonts w:ascii="IBM Plex Sans" w:hAnsi="IBM Plex Sans"/>
          <w:i/>
          <w:iCs/>
          <w:sz w:val="20"/>
          <w:szCs w:val="20"/>
        </w:rPr>
        <w:t>without</w:t>
      </w:r>
      <w:r w:rsidRPr="00276AE5">
        <w:rPr>
          <w:rFonts w:ascii="IBM Plex Sans" w:hAnsi="IBM Plex Sans"/>
          <w:sz w:val="20"/>
          <w:szCs w:val="20"/>
        </w:rPr>
        <w:t xml:space="preserve"> large tanged points but </w:t>
      </w:r>
      <w:r w:rsidRPr="00276AE5">
        <w:rPr>
          <w:rFonts w:ascii="IBM Plex Sans" w:hAnsi="IBM Plex Sans"/>
          <w:i/>
          <w:iCs/>
          <w:sz w:val="20"/>
          <w:szCs w:val="20"/>
        </w:rPr>
        <w:t>with</w:t>
      </w:r>
      <w:r w:rsidRPr="00276AE5">
        <w:rPr>
          <w:rFonts w:ascii="IBM Plex Sans" w:hAnsi="IBM Plex Sans"/>
          <w:sz w:val="20"/>
          <w:szCs w:val="20"/>
        </w:rPr>
        <w:t xml:space="preserve"> typologically mixed arch-backed points:</w:t>
      </w:r>
      <w:bookmarkEnd w:id="0"/>
    </w:p>
    <w:p w14:paraId="64E83826" w14:textId="77777777" w:rsidR="000A1D05" w:rsidRPr="00276AE5" w:rsidRDefault="000A1D05" w:rsidP="000A1D05">
      <w:pPr>
        <w:pStyle w:val="ListParagraph"/>
        <w:numPr>
          <w:ilvl w:val="0"/>
          <w:numId w:val="1"/>
        </w:numPr>
        <w:jc w:val="both"/>
        <w:rPr>
          <w:rFonts w:ascii="IBM Plex Sans" w:hAnsi="IBM Plex Sans"/>
          <w:b/>
          <w:sz w:val="20"/>
          <w:szCs w:val="20"/>
          <w:lang w:val="en-GB"/>
        </w:rPr>
      </w:pPr>
      <w:bookmarkStart w:id="1" w:name="_Hlk70927182"/>
      <w:proofErr w:type="spellStart"/>
      <w:r w:rsidRPr="00276AE5">
        <w:rPr>
          <w:rFonts w:ascii="IBM Plex Sans" w:hAnsi="IBM Plex Sans"/>
          <w:b/>
          <w:sz w:val="20"/>
          <w:szCs w:val="20"/>
          <w:lang w:val="en-GB"/>
        </w:rPr>
        <w:t>Rietberg</w:t>
      </w:r>
      <w:proofErr w:type="spellEnd"/>
      <w:r w:rsidRPr="00276AE5">
        <w:rPr>
          <w:rFonts w:ascii="IBM Plex Sans" w:hAnsi="IBM Plex Sans"/>
          <w:b/>
          <w:sz w:val="20"/>
          <w:szCs w:val="20"/>
          <w:lang w:val="en-GB"/>
        </w:rPr>
        <w:t xml:space="preserve"> (1/2/5/Other/Spoil)</w:t>
      </w:r>
      <w:r w:rsidRPr="00276AE5">
        <w:rPr>
          <w:rFonts w:ascii="IBM Plex Sans" w:hAnsi="IBM Plex Sans"/>
          <w:sz w:val="20"/>
          <w:szCs w:val="20"/>
          <w:lang w:val="en-GB"/>
        </w:rPr>
        <w:t xml:space="preserve"> (North Rhine-Westphalia, Germany): Following initial discovery (</w:t>
      </w:r>
      <w:proofErr w:type="spellStart"/>
      <w:r w:rsidRPr="00276AE5">
        <w:rPr>
          <w:rFonts w:ascii="IBM Plex Sans" w:hAnsi="IBM Plex Sans"/>
          <w:sz w:val="20"/>
          <w:szCs w:val="20"/>
          <w:lang w:val="en-GB"/>
        </w:rPr>
        <w:t>Tinnes</w:t>
      </w:r>
      <w:proofErr w:type="spellEnd"/>
      <w:r w:rsidRPr="00276AE5">
        <w:rPr>
          <w:rFonts w:ascii="IBM Plex Sans" w:hAnsi="IBM Plex Sans"/>
          <w:sz w:val="20"/>
          <w:szCs w:val="20"/>
          <w:lang w:val="en-GB"/>
        </w:rPr>
        <w:t xml:space="preserve"> 1988), these assemblages have been extensive discussed by </w:t>
      </w:r>
      <w:proofErr w:type="spellStart"/>
      <w:r w:rsidRPr="00276AE5">
        <w:rPr>
          <w:rFonts w:ascii="IBM Plex Sans" w:hAnsi="IBM Plex Sans"/>
          <w:sz w:val="20"/>
          <w:szCs w:val="20"/>
          <w:lang w:val="en-GB"/>
        </w:rPr>
        <w:t>Holzkämper</w:t>
      </w:r>
      <w:proofErr w:type="spellEnd"/>
      <w:r w:rsidRPr="00276AE5">
        <w:rPr>
          <w:rFonts w:ascii="IBM Plex Sans" w:hAnsi="IBM Plex Sans"/>
          <w:sz w:val="20"/>
          <w:szCs w:val="20"/>
          <w:lang w:val="en-GB"/>
        </w:rPr>
        <w:t>, Richter and colleagues (</w:t>
      </w:r>
      <w:proofErr w:type="spellStart"/>
      <w:r w:rsidRPr="00276AE5">
        <w:rPr>
          <w:rFonts w:ascii="IBM Plex Sans" w:hAnsi="IBM Plex Sans"/>
          <w:sz w:val="20"/>
          <w:szCs w:val="20"/>
          <w:lang w:val="en-GB"/>
        </w:rPr>
        <w:t>Holzkamper</w:t>
      </w:r>
      <w:proofErr w:type="spellEnd"/>
      <w:r w:rsidRPr="00276AE5">
        <w:rPr>
          <w:rFonts w:ascii="IBM Plex Sans" w:hAnsi="IBM Plex Sans"/>
          <w:sz w:val="20"/>
          <w:szCs w:val="20"/>
          <w:lang w:val="en-GB"/>
        </w:rPr>
        <w:t xml:space="preserve"> and Maier 2011). In fact, the assemblages are used to define </w:t>
      </w:r>
      <w:proofErr w:type="gramStart"/>
      <w:r w:rsidRPr="00276AE5">
        <w:rPr>
          <w:rFonts w:ascii="IBM Plex Sans" w:hAnsi="IBM Plex Sans"/>
          <w:sz w:val="20"/>
          <w:szCs w:val="20"/>
          <w:lang w:val="en-GB"/>
        </w:rPr>
        <w:t>a precocious facies of the Final Palaeolithic</w:t>
      </w:r>
      <w:proofErr w:type="gramEnd"/>
      <w:r w:rsidRPr="00276AE5">
        <w:rPr>
          <w:rFonts w:ascii="IBM Plex Sans" w:hAnsi="IBM Plex Sans"/>
          <w:sz w:val="20"/>
          <w:szCs w:val="20"/>
          <w:lang w:val="en-GB"/>
        </w:rPr>
        <w:t xml:space="preserve"> characterised by a variety of typological elements.</w:t>
      </w:r>
    </w:p>
    <w:p w14:paraId="3BBEE4C5" w14:textId="77777777" w:rsidR="000A1D05" w:rsidRPr="00276AE5" w:rsidRDefault="000A1D05" w:rsidP="000A1D05">
      <w:pPr>
        <w:pStyle w:val="BodyText"/>
        <w:jc w:val="both"/>
        <w:rPr>
          <w:rFonts w:ascii="IBM Plex Sans" w:hAnsi="IBM Plex Sans"/>
          <w:sz w:val="20"/>
          <w:szCs w:val="20"/>
        </w:rPr>
      </w:pPr>
      <w:r w:rsidRPr="00276AE5">
        <w:rPr>
          <w:rFonts w:ascii="IBM Plex Sans" w:hAnsi="IBM Plex Sans"/>
          <w:sz w:val="20"/>
          <w:szCs w:val="20"/>
        </w:rPr>
        <w:t xml:space="preserve">Federmesser sites </w:t>
      </w:r>
      <w:r w:rsidRPr="00276AE5">
        <w:rPr>
          <w:rFonts w:ascii="IBM Plex Sans" w:hAnsi="IBM Plex Sans"/>
          <w:i/>
          <w:iCs/>
          <w:sz w:val="20"/>
          <w:szCs w:val="20"/>
        </w:rPr>
        <w:t>with</w:t>
      </w:r>
      <w:r w:rsidRPr="00276AE5">
        <w:rPr>
          <w:rFonts w:ascii="IBM Plex Sans" w:hAnsi="IBM Plex Sans"/>
          <w:sz w:val="20"/>
          <w:szCs w:val="20"/>
        </w:rPr>
        <w:t xml:space="preserve"> large tanged points but </w:t>
      </w:r>
      <w:r w:rsidRPr="00276AE5">
        <w:rPr>
          <w:rFonts w:ascii="IBM Plex Sans" w:hAnsi="IBM Plex Sans"/>
          <w:i/>
          <w:iCs/>
          <w:sz w:val="20"/>
          <w:szCs w:val="20"/>
        </w:rPr>
        <w:t>with</w:t>
      </w:r>
      <w:r w:rsidRPr="00276AE5">
        <w:rPr>
          <w:rFonts w:ascii="IBM Plex Sans" w:hAnsi="IBM Plex Sans"/>
          <w:sz w:val="20"/>
          <w:szCs w:val="20"/>
        </w:rPr>
        <w:t xml:space="preserve"> typologically mixed arch-backed points:</w:t>
      </w:r>
    </w:p>
    <w:p w14:paraId="255B20AD" w14:textId="77777777" w:rsidR="000A1D05" w:rsidRPr="00276AE5" w:rsidRDefault="000A1D05" w:rsidP="000A1D05">
      <w:pPr>
        <w:pStyle w:val="ListParagraph"/>
        <w:numPr>
          <w:ilvl w:val="0"/>
          <w:numId w:val="1"/>
        </w:numPr>
        <w:jc w:val="both"/>
        <w:rPr>
          <w:rFonts w:ascii="IBM Plex Sans" w:hAnsi="IBM Plex Sans"/>
          <w:sz w:val="20"/>
          <w:szCs w:val="20"/>
          <w:lang w:val="en-GB"/>
        </w:rPr>
      </w:pPr>
      <w:proofErr w:type="spellStart"/>
      <w:r w:rsidRPr="00276AE5">
        <w:rPr>
          <w:rFonts w:ascii="IBM Plex Sans" w:hAnsi="IBM Plex Sans"/>
          <w:b/>
          <w:sz w:val="20"/>
          <w:szCs w:val="20"/>
          <w:lang w:val="en-GB"/>
        </w:rPr>
        <w:t>Brümmerhof</w:t>
      </w:r>
      <w:proofErr w:type="spellEnd"/>
      <w:r w:rsidRPr="00276AE5">
        <w:rPr>
          <w:rFonts w:ascii="IBM Plex Sans" w:hAnsi="IBM Plex Sans"/>
          <w:b/>
          <w:sz w:val="20"/>
          <w:szCs w:val="20"/>
          <w:lang w:val="en-GB"/>
        </w:rPr>
        <w:t xml:space="preserve"> (</w:t>
      </w:r>
      <w:proofErr w:type="spellStart"/>
      <w:r w:rsidRPr="00276AE5">
        <w:rPr>
          <w:rFonts w:ascii="IBM Plex Sans" w:hAnsi="IBM Plex Sans"/>
          <w:b/>
          <w:sz w:val="20"/>
          <w:szCs w:val="20"/>
          <w:lang w:val="en-GB"/>
        </w:rPr>
        <w:t>FStNr</w:t>
      </w:r>
      <w:proofErr w:type="spellEnd"/>
      <w:r w:rsidRPr="00276AE5">
        <w:rPr>
          <w:rFonts w:ascii="IBM Plex Sans" w:hAnsi="IBM Plex Sans"/>
          <w:b/>
          <w:sz w:val="20"/>
          <w:szCs w:val="20"/>
          <w:lang w:val="en-GB"/>
        </w:rPr>
        <w:t>. 16)</w:t>
      </w:r>
      <w:r w:rsidRPr="00276AE5">
        <w:rPr>
          <w:rFonts w:ascii="IBM Plex Sans" w:hAnsi="IBM Plex Sans"/>
          <w:sz w:val="20"/>
          <w:szCs w:val="20"/>
          <w:lang w:val="en-GB"/>
        </w:rPr>
        <w:t xml:space="preserve"> (Lower Saxony, Germany): The assemblage from </w:t>
      </w:r>
      <w:proofErr w:type="spellStart"/>
      <w:r w:rsidRPr="00276AE5">
        <w:rPr>
          <w:rFonts w:ascii="IBM Plex Sans" w:hAnsi="IBM Plex Sans"/>
          <w:sz w:val="20"/>
          <w:szCs w:val="20"/>
          <w:lang w:val="en-GB"/>
        </w:rPr>
        <w:t>Brümmerhof</w:t>
      </w:r>
      <w:proofErr w:type="spellEnd"/>
      <w:r w:rsidRPr="00276AE5">
        <w:rPr>
          <w:rFonts w:ascii="IBM Plex Sans" w:hAnsi="IBM Plex Sans"/>
          <w:sz w:val="20"/>
          <w:szCs w:val="20"/>
          <w:lang w:val="en-GB"/>
        </w:rPr>
        <w:t xml:space="preserve"> in north-western Germany derives from the surface and shows a combination of standard arch-backed points (Federmesser) as well as angle-backed Cheddar/Creswell points and two large tanged points (Gerken 2001). Gerken (2001) did not find any indications of mixing or disturbance at the site suggesting that the lithic material represents one coherent assemblage. </w:t>
      </w:r>
    </w:p>
    <w:p w14:paraId="34014EC9" w14:textId="77777777" w:rsidR="000A1D05" w:rsidRPr="00276AE5" w:rsidRDefault="000A1D05" w:rsidP="000A1D05">
      <w:pPr>
        <w:pStyle w:val="FirstParagraph"/>
        <w:jc w:val="both"/>
        <w:rPr>
          <w:rFonts w:ascii="IBM Plex Sans" w:hAnsi="IBM Plex Sans"/>
          <w:sz w:val="20"/>
          <w:szCs w:val="20"/>
          <w:lang w:val="en-GB"/>
        </w:rPr>
      </w:pPr>
      <w:bookmarkStart w:id="2" w:name="_Hlk70927227"/>
      <w:bookmarkEnd w:id="1"/>
      <w:r w:rsidRPr="00276AE5">
        <w:rPr>
          <w:rFonts w:ascii="IBM Plex Sans" w:hAnsi="IBM Plex Sans"/>
          <w:sz w:val="20"/>
          <w:szCs w:val="20"/>
          <w:lang w:val="en-GB"/>
        </w:rPr>
        <w:t xml:space="preserve">Federmesser sites </w:t>
      </w:r>
      <w:r w:rsidRPr="00276AE5">
        <w:rPr>
          <w:rFonts w:ascii="IBM Plex Sans" w:hAnsi="IBM Plex Sans"/>
          <w:i/>
          <w:iCs/>
          <w:sz w:val="20"/>
          <w:szCs w:val="20"/>
          <w:lang w:val="en-GB"/>
        </w:rPr>
        <w:t>with</w:t>
      </w:r>
      <w:r w:rsidRPr="00276AE5">
        <w:rPr>
          <w:rFonts w:ascii="IBM Plex Sans" w:hAnsi="IBM Plex Sans"/>
          <w:sz w:val="20"/>
          <w:szCs w:val="20"/>
          <w:lang w:val="en-GB"/>
        </w:rPr>
        <w:t xml:space="preserve"> only arch-backed points:</w:t>
      </w:r>
    </w:p>
    <w:p w14:paraId="313848DE" w14:textId="77777777" w:rsidR="000A1D05" w:rsidRPr="00276AE5" w:rsidRDefault="000A1D05" w:rsidP="000A1D05">
      <w:pPr>
        <w:pStyle w:val="ListParagraph"/>
        <w:numPr>
          <w:ilvl w:val="0"/>
          <w:numId w:val="1"/>
        </w:numPr>
        <w:jc w:val="both"/>
        <w:rPr>
          <w:rFonts w:ascii="IBM Plex Sans" w:hAnsi="IBM Plex Sans"/>
          <w:sz w:val="20"/>
          <w:szCs w:val="20"/>
          <w:lang w:val="en-GB"/>
        </w:rPr>
      </w:pPr>
      <w:proofErr w:type="spellStart"/>
      <w:r w:rsidRPr="00276AE5">
        <w:rPr>
          <w:rFonts w:ascii="IBM Plex Sans" w:hAnsi="IBM Plex Sans"/>
          <w:b/>
          <w:sz w:val="20"/>
          <w:szCs w:val="20"/>
          <w:lang w:val="en-GB"/>
        </w:rPr>
        <w:t>Rothenkirchen</w:t>
      </w:r>
      <w:proofErr w:type="spellEnd"/>
      <w:r w:rsidRPr="00276AE5">
        <w:rPr>
          <w:rFonts w:ascii="IBM Plex Sans" w:hAnsi="IBM Plex Sans"/>
          <w:sz w:val="20"/>
          <w:szCs w:val="20"/>
          <w:lang w:val="en-GB"/>
        </w:rPr>
        <w:t xml:space="preserve"> (Hesse, Germany): Located along the Fulda River in the Federal State of Hesse, this was originally suggested on the basis of artefact size to date to very end of the Pleistocene, although typo-technological similarities to the supposedly much earlier </w:t>
      </w:r>
      <w:proofErr w:type="spellStart"/>
      <w:r w:rsidRPr="00276AE5">
        <w:rPr>
          <w:rFonts w:ascii="IBM Plex Sans" w:hAnsi="IBM Plex Sans"/>
          <w:sz w:val="20"/>
          <w:szCs w:val="20"/>
          <w:lang w:val="en-GB"/>
        </w:rPr>
        <w:t>Rissen</w:t>
      </w:r>
      <w:proofErr w:type="spellEnd"/>
      <w:r w:rsidRPr="00276AE5">
        <w:rPr>
          <w:rFonts w:ascii="IBM Plex Sans" w:hAnsi="IBM Plex Sans"/>
          <w:sz w:val="20"/>
          <w:szCs w:val="20"/>
          <w:lang w:val="en-GB"/>
        </w:rPr>
        <w:t xml:space="preserve"> Group of </w:t>
      </w:r>
      <w:proofErr w:type="spellStart"/>
      <w:r w:rsidRPr="00276AE5">
        <w:rPr>
          <w:rFonts w:ascii="IBM Plex Sans" w:hAnsi="IBM Plex Sans"/>
          <w:sz w:val="20"/>
          <w:szCs w:val="20"/>
          <w:lang w:val="en-GB"/>
        </w:rPr>
        <w:t>Schwabedissen</w:t>
      </w:r>
      <w:proofErr w:type="spellEnd"/>
      <w:r w:rsidRPr="00276AE5">
        <w:rPr>
          <w:rFonts w:ascii="IBM Plex Sans" w:hAnsi="IBM Plex Sans"/>
          <w:sz w:val="20"/>
          <w:szCs w:val="20"/>
          <w:lang w:val="en-GB"/>
        </w:rPr>
        <w:t xml:space="preserve"> (1954) were also noted (Fiedler 1976; </w:t>
      </w:r>
      <w:proofErr w:type="spellStart"/>
      <w:r w:rsidRPr="00276AE5">
        <w:rPr>
          <w:rFonts w:ascii="IBM Plex Sans" w:hAnsi="IBM Plex Sans"/>
          <w:sz w:val="20"/>
          <w:szCs w:val="20"/>
          <w:lang w:val="en-GB"/>
        </w:rPr>
        <w:t>Hofbauer</w:t>
      </w:r>
      <w:proofErr w:type="spellEnd"/>
      <w:r w:rsidRPr="00276AE5">
        <w:rPr>
          <w:rFonts w:ascii="IBM Plex Sans" w:hAnsi="IBM Plex Sans"/>
          <w:sz w:val="20"/>
          <w:szCs w:val="20"/>
          <w:lang w:val="en-GB"/>
        </w:rPr>
        <w:t xml:space="preserve"> 1992). Later tephrochronological investigations suggest a date older than 13,000 cal BP – before the </w:t>
      </w:r>
      <w:proofErr w:type="spellStart"/>
      <w:r w:rsidRPr="00276AE5">
        <w:rPr>
          <w:rFonts w:ascii="IBM Plex Sans" w:hAnsi="IBM Plex Sans"/>
          <w:sz w:val="20"/>
          <w:szCs w:val="20"/>
          <w:lang w:val="en-GB"/>
        </w:rPr>
        <w:t>Laacher</w:t>
      </w:r>
      <w:proofErr w:type="spellEnd"/>
      <w:r w:rsidRPr="00276AE5">
        <w:rPr>
          <w:rFonts w:ascii="IBM Plex Sans" w:hAnsi="IBM Plex Sans"/>
          <w:sz w:val="20"/>
          <w:szCs w:val="20"/>
          <w:lang w:val="en-GB"/>
        </w:rPr>
        <w:t xml:space="preserve"> See eruption – for this site (Riede 2012). The diminutive size of the artefacts evidently relates to the limited availability of larger tool-stone (cf. Hess and Riede 2020), and the dating of the site into the earlier part of the </w:t>
      </w:r>
      <w:proofErr w:type="spellStart"/>
      <w:r w:rsidRPr="00276AE5">
        <w:rPr>
          <w:rFonts w:ascii="IBM Plex Sans" w:hAnsi="IBM Plex Sans"/>
          <w:sz w:val="20"/>
          <w:szCs w:val="20"/>
          <w:lang w:val="en-GB"/>
        </w:rPr>
        <w:t>Allerød</w:t>
      </w:r>
      <w:proofErr w:type="spellEnd"/>
      <w:r w:rsidRPr="00276AE5">
        <w:rPr>
          <w:rFonts w:ascii="IBM Plex Sans" w:hAnsi="IBM Plex Sans"/>
          <w:sz w:val="20"/>
          <w:szCs w:val="20"/>
          <w:lang w:val="en-GB"/>
        </w:rPr>
        <w:t xml:space="preserve"> interstadial aligns with that of sites in the wider region (Riede 2016).</w:t>
      </w:r>
    </w:p>
    <w:bookmarkEnd w:id="2"/>
    <w:p w14:paraId="575029F0" w14:textId="77777777" w:rsidR="000A1D05" w:rsidRPr="00276AE5" w:rsidRDefault="000A1D05" w:rsidP="000A1D05">
      <w:pPr>
        <w:pStyle w:val="FirstParagraph"/>
        <w:jc w:val="both"/>
        <w:rPr>
          <w:rFonts w:ascii="IBM Plex Sans" w:hAnsi="IBM Plex Sans"/>
          <w:sz w:val="20"/>
          <w:szCs w:val="20"/>
          <w:lang w:val="en-GB"/>
        </w:rPr>
      </w:pPr>
      <w:r w:rsidRPr="00276AE5">
        <w:rPr>
          <w:rFonts w:ascii="IBM Plex Sans" w:hAnsi="IBM Plex Sans"/>
          <w:sz w:val="20"/>
          <w:szCs w:val="20"/>
          <w:lang w:val="en-GB"/>
        </w:rPr>
        <w:t xml:space="preserve">Federmesser sites </w:t>
      </w:r>
      <w:r w:rsidRPr="00276AE5">
        <w:rPr>
          <w:rFonts w:ascii="IBM Plex Sans" w:hAnsi="IBM Plex Sans"/>
          <w:i/>
          <w:iCs/>
          <w:sz w:val="20"/>
          <w:szCs w:val="20"/>
          <w:lang w:val="en-GB"/>
        </w:rPr>
        <w:t>with</w:t>
      </w:r>
      <w:r w:rsidRPr="00276AE5">
        <w:rPr>
          <w:rFonts w:ascii="IBM Plex Sans" w:hAnsi="IBM Plex Sans"/>
          <w:sz w:val="20"/>
          <w:szCs w:val="20"/>
          <w:lang w:val="en-GB"/>
        </w:rPr>
        <w:t xml:space="preserve"> large tanged points:</w:t>
      </w:r>
    </w:p>
    <w:p w14:paraId="3965CC5B" w14:textId="77777777" w:rsidR="000A1D05" w:rsidRPr="00276AE5" w:rsidRDefault="000A1D05" w:rsidP="000A1D05">
      <w:pPr>
        <w:pStyle w:val="ListParagraph"/>
        <w:numPr>
          <w:ilvl w:val="0"/>
          <w:numId w:val="1"/>
        </w:numPr>
        <w:jc w:val="both"/>
        <w:rPr>
          <w:rFonts w:ascii="IBM Plex Sans" w:hAnsi="IBM Plex Sans"/>
          <w:sz w:val="20"/>
          <w:szCs w:val="20"/>
          <w:lang w:val="en-GB"/>
        </w:rPr>
      </w:pPr>
      <w:r w:rsidRPr="00276AE5">
        <w:rPr>
          <w:rFonts w:ascii="IBM Plex Sans" w:hAnsi="IBM Plex Sans"/>
          <w:b/>
          <w:sz w:val="20"/>
          <w:szCs w:val="20"/>
          <w:lang w:val="en-GB"/>
        </w:rPr>
        <w:t>Sassenholz (</w:t>
      </w:r>
      <w:proofErr w:type="spellStart"/>
      <w:r w:rsidRPr="00276AE5">
        <w:rPr>
          <w:rFonts w:ascii="IBM Plex Sans" w:hAnsi="IBM Plex Sans"/>
          <w:b/>
          <w:sz w:val="20"/>
          <w:szCs w:val="20"/>
          <w:lang w:val="en-GB"/>
        </w:rPr>
        <w:t>FStNr</w:t>
      </w:r>
      <w:proofErr w:type="spellEnd"/>
      <w:r w:rsidRPr="00276AE5">
        <w:rPr>
          <w:rFonts w:ascii="IBM Plex Sans" w:hAnsi="IBM Plex Sans"/>
          <w:b/>
          <w:sz w:val="20"/>
          <w:szCs w:val="20"/>
          <w:lang w:val="en-GB"/>
        </w:rPr>
        <w:t>. 78/82)</w:t>
      </w:r>
      <w:r w:rsidRPr="00276AE5">
        <w:rPr>
          <w:rFonts w:ascii="IBM Plex Sans" w:hAnsi="IBM Plex Sans"/>
          <w:sz w:val="20"/>
          <w:szCs w:val="20"/>
          <w:lang w:val="en-GB"/>
        </w:rPr>
        <w:t xml:space="preserve"> (Lower Saxony, Germany): The assemblage from Sassenholz contains Federmesser elements as well as large tanged points. Traditional grouping practice would place it in the </w:t>
      </w:r>
      <w:proofErr w:type="spellStart"/>
      <w:r w:rsidRPr="00276AE5">
        <w:rPr>
          <w:rFonts w:ascii="IBM Plex Sans" w:hAnsi="IBM Plex Sans"/>
          <w:sz w:val="20"/>
          <w:szCs w:val="20"/>
          <w:lang w:val="en-GB"/>
        </w:rPr>
        <w:t>Rissen</w:t>
      </w:r>
      <w:proofErr w:type="spellEnd"/>
      <w:r w:rsidRPr="00276AE5">
        <w:rPr>
          <w:rFonts w:ascii="IBM Plex Sans" w:hAnsi="IBM Plex Sans"/>
          <w:sz w:val="20"/>
          <w:szCs w:val="20"/>
          <w:lang w:val="en-GB"/>
        </w:rPr>
        <w:t xml:space="preserve"> Group of the Federmessergruppen, had these not been summarily dismissed by earlier research (</w:t>
      </w:r>
      <w:proofErr w:type="spellStart"/>
      <w:r w:rsidRPr="00276AE5">
        <w:rPr>
          <w:rFonts w:ascii="IBM Plex Sans" w:hAnsi="IBM Plex Sans"/>
          <w:sz w:val="20"/>
          <w:szCs w:val="20"/>
          <w:lang w:val="en-GB"/>
        </w:rPr>
        <w:t>Ikinger</w:t>
      </w:r>
      <w:proofErr w:type="spellEnd"/>
      <w:r w:rsidRPr="00276AE5">
        <w:rPr>
          <w:rFonts w:ascii="IBM Plex Sans" w:hAnsi="IBM Plex Sans"/>
          <w:sz w:val="20"/>
          <w:szCs w:val="20"/>
          <w:lang w:val="en-GB"/>
        </w:rPr>
        <w:t xml:space="preserve"> 1998; Sauer and Riede 2018): the site is also located west of the River Elbe and so rather far away from the traditional ‘territory’ of large-tanged point groups. </w:t>
      </w:r>
      <w:proofErr w:type="spellStart"/>
      <w:r w:rsidRPr="00276AE5">
        <w:rPr>
          <w:rFonts w:ascii="IBM Plex Sans" w:hAnsi="IBM Plex Sans"/>
          <w:sz w:val="20"/>
          <w:szCs w:val="20"/>
          <w:lang w:val="en-GB"/>
        </w:rPr>
        <w:t>Breest</w:t>
      </w:r>
      <w:proofErr w:type="spellEnd"/>
      <w:r w:rsidRPr="00276AE5">
        <w:rPr>
          <w:rFonts w:ascii="IBM Plex Sans" w:hAnsi="IBM Plex Sans"/>
          <w:sz w:val="20"/>
          <w:szCs w:val="20"/>
          <w:lang w:val="en-GB"/>
        </w:rPr>
        <w:t xml:space="preserve"> and Gerken (2008) instead use the Sassenholz assemblage to discuss processes of cultural contact between the </w:t>
      </w:r>
      <w:proofErr w:type="spellStart"/>
      <w:r w:rsidRPr="00276AE5">
        <w:rPr>
          <w:rFonts w:ascii="IBM Plex Sans" w:hAnsi="IBM Plex Sans"/>
          <w:sz w:val="20"/>
          <w:szCs w:val="20"/>
          <w:lang w:val="en-GB"/>
        </w:rPr>
        <w:t>Brommean</w:t>
      </w:r>
      <w:proofErr w:type="spellEnd"/>
      <w:r w:rsidRPr="00276AE5">
        <w:rPr>
          <w:rFonts w:ascii="IBM Plex Sans" w:hAnsi="IBM Plex Sans"/>
          <w:sz w:val="20"/>
          <w:szCs w:val="20"/>
          <w:lang w:val="en-GB"/>
        </w:rPr>
        <w:t>/Lyngby culture of southern Scandinavia and the more southerly Federmessergruppen.</w:t>
      </w:r>
    </w:p>
    <w:p w14:paraId="115D95AE" w14:textId="77777777" w:rsidR="000A1D05" w:rsidRPr="00276AE5" w:rsidRDefault="000A1D05" w:rsidP="000A1D05">
      <w:pPr>
        <w:pStyle w:val="FirstParagraph"/>
        <w:jc w:val="both"/>
        <w:rPr>
          <w:rFonts w:ascii="IBM Plex Sans" w:hAnsi="IBM Plex Sans"/>
          <w:sz w:val="20"/>
          <w:szCs w:val="20"/>
          <w:lang w:val="en-GB"/>
        </w:rPr>
      </w:pPr>
      <w:r w:rsidRPr="00276AE5">
        <w:rPr>
          <w:rFonts w:ascii="IBM Plex Sans" w:hAnsi="IBM Plex Sans"/>
          <w:sz w:val="20"/>
          <w:szCs w:val="20"/>
          <w:lang w:val="en-GB"/>
        </w:rPr>
        <w:t>Bromme/Lyngby sites (i.e. sites only with large tanged points):</w:t>
      </w:r>
    </w:p>
    <w:p w14:paraId="4E43E6C9" w14:textId="16DDBA91" w:rsidR="000A1D05" w:rsidRPr="00276AE5" w:rsidRDefault="000A1D05" w:rsidP="000A1D05">
      <w:pPr>
        <w:pStyle w:val="ListParagraph"/>
        <w:numPr>
          <w:ilvl w:val="0"/>
          <w:numId w:val="1"/>
        </w:numPr>
        <w:jc w:val="both"/>
        <w:rPr>
          <w:rFonts w:ascii="IBM Plex Sans" w:hAnsi="IBM Plex Sans"/>
          <w:sz w:val="20"/>
          <w:szCs w:val="20"/>
          <w:lang w:val="en-GB"/>
        </w:rPr>
      </w:pPr>
      <w:proofErr w:type="spellStart"/>
      <w:r w:rsidRPr="00276AE5">
        <w:rPr>
          <w:rFonts w:ascii="IBM Plex Sans" w:hAnsi="IBM Plex Sans"/>
          <w:b/>
          <w:sz w:val="20"/>
          <w:szCs w:val="20"/>
          <w:lang w:val="en-GB"/>
        </w:rPr>
        <w:t>Højgård</w:t>
      </w:r>
      <w:proofErr w:type="spellEnd"/>
      <w:r w:rsidRPr="00276AE5">
        <w:rPr>
          <w:rFonts w:ascii="IBM Plex Sans" w:hAnsi="IBM Plex Sans"/>
          <w:sz w:val="20"/>
          <w:szCs w:val="20"/>
          <w:lang w:val="en-GB"/>
        </w:rPr>
        <w:t xml:space="preserve"> (Zealand, Denmark):</w:t>
      </w:r>
    </w:p>
    <w:p w14:paraId="1DF99E2A" w14:textId="77777777" w:rsidR="000A1D05" w:rsidRPr="00276AE5" w:rsidRDefault="000A1D05" w:rsidP="000A1D05">
      <w:pPr>
        <w:pStyle w:val="ListParagraph"/>
        <w:jc w:val="both"/>
        <w:rPr>
          <w:rFonts w:ascii="IBM Plex Sans" w:hAnsi="IBM Plex Sans"/>
          <w:sz w:val="20"/>
          <w:szCs w:val="20"/>
          <w:lang w:val="en-GB"/>
        </w:rPr>
      </w:pPr>
    </w:p>
    <w:p w14:paraId="0C356F60" w14:textId="77777777" w:rsidR="000A1D05" w:rsidRPr="00276AE5" w:rsidRDefault="000A1D05" w:rsidP="000A1D05">
      <w:pPr>
        <w:pStyle w:val="ListParagraph"/>
        <w:numPr>
          <w:ilvl w:val="0"/>
          <w:numId w:val="1"/>
        </w:numPr>
        <w:jc w:val="both"/>
        <w:rPr>
          <w:rFonts w:ascii="IBM Plex Sans" w:hAnsi="IBM Plex Sans"/>
          <w:sz w:val="20"/>
          <w:szCs w:val="20"/>
          <w:lang w:val="en-GB"/>
        </w:rPr>
      </w:pPr>
      <w:proofErr w:type="spellStart"/>
      <w:r w:rsidRPr="00276AE5">
        <w:rPr>
          <w:rFonts w:ascii="IBM Plex Sans" w:hAnsi="IBM Plex Sans"/>
          <w:b/>
          <w:sz w:val="20"/>
          <w:szCs w:val="20"/>
          <w:lang w:val="en-GB"/>
        </w:rPr>
        <w:t>Skovmosen</w:t>
      </w:r>
      <w:proofErr w:type="spellEnd"/>
      <w:r w:rsidRPr="00276AE5">
        <w:rPr>
          <w:rFonts w:ascii="IBM Plex Sans" w:hAnsi="IBM Plex Sans"/>
          <w:b/>
          <w:sz w:val="20"/>
          <w:szCs w:val="20"/>
          <w:lang w:val="en-GB"/>
        </w:rPr>
        <w:t xml:space="preserve"> </w:t>
      </w:r>
      <w:r>
        <w:rPr>
          <w:rFonts w:ascii="IBM Plex Sans" w:hAnsi="IBM Plex Sans"/>
          <w:b/>
          <w:sz w:val="20"/>
          <w:szCs w:val="20"/>
          <w:lang w:val="en-GB"/>
        </w:rPr>
        <w:t>(</w:t>
      </w:r>
      <w:r w:rsidRPr="00276AE5">
        <w:rPr>
          <w:rFonts w:ascii="IBM Plex Sans" w:hAnsi="IBM Plex Sans"/>
          <w:b/>
          <w:sz w:val="20"/>
          <w:szCs w:val="20"/>
          <w:lang w:val="en-GB"/>
        </w:rPr>
        <w:t>I</w:t>
      </w:r>
      <w:r>
        <w:rPr>
          <w:rFonts w:ascii="IBM Plex Sans" w:hAnsi="IBM Plex Sans"/>
          <w:b/>
          <w:sz w:val="20"/>
          <w:szCs w:val="20"/>
          <w:lang w:val="en-GB"/>
        </w:rPr>
        <w:t>)</w:t>
      </w:r>
      <w:r w:rsidRPr="00276AE5">
        <w:rPr>
          <w:rFonts w:ascii="IBM Plex Sans" w:hAnsi="IBM Plex Sans"/>
          <w:sz w:val="20"/>
          <w:szCs w:val="20"/>
          <w:lang w:val="en-GB"/>
        </w:rPr>
        <w:t xml:space="preserve"> (Zealand, Denmark): A Final Palaeolithic assemblage comprising of tanged points, scrapers, burins, and primary reduction products including blades and cores (Boye, 2006; Hilgart, 2003; Eggers-Kaas et al. 2019). Can be traditionally placed within the Bromme culture (Hilgart, 2003; Boye, 2006; </w:t>
      </w:r>
      <w:proofErr w:type="spellStart"/>
      <w:r w:rsidRPr="00276AE5">
        <w:rPr>
          <w:rFonts w:ascii="IBM Plex Sans" w:hAnsi="IBM Plex Sans"/>
          <w:sz w:val="20"/>
          <w:szCs w:val="20"/>
          <w:lang w:val="en-GB"/>
        </w:rPr>
        <w:t>Brinch</w:t>
      </w:r>
      <w:proofErr w:type="spellEnd"/>
      <w:r w:rsidRPr="00276AE5">
        <w:rPr>
          <w:rFonts w:ascii="IBM Plex Sans" w:hAnsi="IBM Plex Sans"/>
          <w:sz w:val="20"/>
          <w:szCs w:val="20"/>
          <w:lang w:val="en-GB"/>
        </w:rPr>
        <w:t xml:space="preserve"> Petersen, 2009), but due caution has been noted in its classification (Eggers-Kaas et al. 2019).</w:t>
      </w:r>
    </w:p>
    <w:p w14:paraId="78FE7F9A" w14:textId="77777777" w:rsidR="000A1D05" w:rsidRPr="00276AE5" w:rsidRDefault="000A1D05" w:rsidP="000A1D05">
      <w:pPr>
        <w:pStyle w:val="ListParagraph"/>
        <w:jc w:val="both"/>
        <w:rPr>
          <w:rFonts w:ascii="IBM Plex Sans" w:hAnsi="IBM Plex Sans"/>
          <w:sz w:val="20"/>
          <w:szCs w:val="20"/>
          <w:lang w:val="en-GB"/>
        </w:rPr>
      </w:pPr>
    </w:p>
    <w:p w14:paraId="56722CF5" w14:textId="534B0240" w:rsidR="000A1D05" w:rsidRPr="00276AE5" w:rsidRDefault="000A1D05" w:rsidP="000A1D05">
      <w:pPr>
        <w:pStyle w:val="ListParagraph"/>
        <w:numPr>
          <w:ilvl w:val="0"/>
          <w:numId w:val="1"/>
        </w:numPr>
        <w:jc w:val="both"/>
        <w:rPr>
          <w:rFonts w:ascii="IBM Plex Sans" w:hAnsi="IBM Plex Sans"/>
          <w:sz w:val="20"/>
          <w:szCs w:val="20"/>
          <w:lang w:val="en-GB"/>
        </w:rPr>
      </w:pPr>
      <w:proofErr w:type="spellStart"/>
      <w:r w:rsidRPr="00276AE5">
        <w:rPr>
          <w:rFonts w:ascii="IBM Plex Sans" w:hAnsi="IBM Plex Sans"/>
          <w:b/>
          <w:sz w:val="20"/>
          <w:szCs w:val="20"/>
          <w:lang w:val="en-GB"/>
        </w:rPr>
        <w:t>Segebro</w:t>
      </w:r>
      <w:proofErr w:type="spellEnd"/>
      <w:r w:rsidRPr="00276AE5">
        <w:rPr>
          <w:rFonts w:ascii="IBM Plex Sans" w:hAnsi="IBM Plex Sans"/>
          <w:sz w:val="20"/>
          <w:szCs w:val="20"/>
          <w:lang w:val="en-GB"/>
        </w:rPr>
        <w:t xml:space="preserve"> (Malmö, Sweden): </w:t>
      </w:r>
    </w:p>
    <w:p w14:paraId="75339023" w14:textId="77777777" w:rsidR="000A1D05" w:rsidRPr="00276AE5" w:rsidRDefault="000A1D05" w:rsidP="000A1D05">
      <w:pPr>
        <w:pStyle w:val="FirstParagraph"/>
        <w:jc w:val="both"/>
        <w:rPr>
          <w:rFonts w:ascii="IBM Plex Sans" w:hAnsi="IBM Plex Sans"/>
          <w:sz w:val="20"/>
          <w:szCs w:val="20"/>
          <w:lang w:val="en-GB"/>
        </w:rPr>
      </w:pPr>
      <w:r w:rsidRPr="00276AE5">
        <w:rPr>
          <w:rFonts w:ascii="IBM Plex Sans" w:hAnsi="IBM Plex Sans"/>
          <w:sz w:val="20"/>
          <w:szCs w:val="20"/>
          <w:lang w:val="en-GB"/>
        </w:rPr>
        <w:t>Bromme/Lyngby sites lacking projectile points:</w:t>
      </w:r>
    </w:p>
    <w:p w14:paraId="0C046051" w14:textId="47998DBD" w:rsidR="000A1D05" w:rsidRPr="000A1D05" w:rsidRDefault="000A1D05" w:rsidP="000A1D05">
      <w:pPr>
        <w:pStyle w:val="ListParagraph"/>
        <w:numPr>
          <w:ilvl w:val="0"/>
          <w:numId w:val="1"/>
        </w:numPr>
        <w:jc w:val="both"/>
        <w:rPr>
          <w:rFonts w:ascii="IBM Plex Sans" w:hAnsi="IBM Plex Sans"/>
          <w:sz w:val="20"/>
          <w:szCs w:val="20"/>
        </w:rPr>
      </w:pPr>
      <w:proofErr w:type="spellStart"/>
      <w:r w:rsidRPr="000A1D05">
        <w:rPr>
          <w:rFonts w:ascii="IBM Plex Sans" w:hAnsi="IBM Plex Sans"/>
          <w:b/>
          <w:sz w:val="20"/>
          <w:szCs w:val="20"/>
        </w:rPr>
        <w:t>Søvind</w:t>
      </w:r>
      <w:proofErr w:type="spellEnd"/>
      <w:r w:rsidRPr="000A1D05">
        <w:rPr>
          <w:rFonts w:ascii="IBM Plex Sans" w:hAnsi="IBM Plex Sans"/>
          <w:sz w:val="20"/>
          <w:szCs w:val="20"/>
        </w:rPr>
        <w:t xml:space="preserve"> (Jutland, Denmark):</w:t>
      </w:r>
    </w:p>
    <w:p w14:paraId="15F98F8D" w14:textId="77777777" w:rsidR="000A1D05" w:rsidRPr="00AF6E00" w:rsidRDefault="000A1D05" w:rsidP="003A3804">
      <w:pPr>
        <w:pStyle w:val="BodyText"/>
        <w:rPr>
          <w:rFonts w:ascii="IBM Plex Sans" w:hAnsi="IBM Plex Sans"/>
          <w:sz w:val="20"/>
          <w:szCs w:val="20"/>
        </w:rPr>
      </w:pPr>
    </w:p>
    <w:p w14:paraId="3FFBBEE8" w14:textId="45F4A134" w:rsidR="00DC415F" w:rsidRDefault="00DC415F" w:rsidP="000A1D05">
      <w:pPr>
        <w:jc w:val="both"/>
        <w:rPr>
          <w:rFonts w:ascii="IBM Plex Sans" w:hAnsi="IBM Plex Sans"/>
          <w:sz w:val="20"/>
          <w:szCs w:val="20"/>
        </w:rPr>
      </w:pPr>
      <w:r>
        <w:rPr>
          <w:rFonts w:ascii="IBM Plex Sans" w:hAnsi="IBM Plex Sans"/>
          <w:sz w:val="20"/>
          <w:szCs w:val="20"/>
        </w:rPr>
        <w:lastRenderedPageBreak/>
        <w:t>For an artefact breakdown on a contextual level refer to Table 2</w:t>
      </w:r>
      <w:r w:rsidR="00394ED0">
        <w:rPr>
          <w:rFonts w:ascii="IBM Plex Sans" w:hAnsi="IBM Plex Sans"/>
          <w:sz w:val="20"/>
          <w:szCs w:val="20"/>
        </w:rPr>
        <w:t xml:space="preserve"> and Table 3</w:t>
      </w:r>
      <w:r>
        <w:rPr>
          <w:rFonts w:ascii="IBM Plex Sans" w:hAnsi="IBM Plex Sans"/>
          <w:sz w:val="20"/>
          <w:szCs w:val="20"/>
        </w:rPr>
        <w:t>.</w:t>
      </w:r>
    </w:p>
    <w:p w14:paraId="0B828E64" w14:textId="77777777" w:rsidR="00394ED0" w:rsidRDefault="00394ED0" w:rsidP="000A1D05">
      <w:pPr>
        <w:jc w:val="both"/>
        <w:rPr>
          <w:rFonts w:ascii="IBM Plex Sans" w:hAnsi="IBM Plex Sans"/>
          <w:sz w:val="20"/>
          <w:szCs w:val="20"/>
        </w:rPr>
      </w:pPr>
    </w:p>
    <w:tbl>
      <w:tblPr>
        <w:tblStyle w:val="TableGrid"/>
        <w:tblW w:w="0" w:type="auto"/>
        <w:jc w:val="center"/>
        <w:tblLook w:val="04A0" w:firstRow="1" w:lastRow="0" w:firstColumn="1" w:lastColumn="0" w:noHBand="0" w:noVBand="1"/>
      </w:tblPr>
      <w:tblGrid>
        <w:gridCol w:w="2650"/>
        <w:gridCol w:w="1074"/>
        <w:gridCol w:w="1080"/>
        <w:gridCol w:w="1080"/>
        <w:gridCol w:w="1080"/>
      </w:tblGrid>
      <w:tr w:rsidR="00DC415F" w14:paraId="256C2DFD" w14:textId="77777777" w:rsidTr="00394ED0">
        <w:trPr>
          <w:trHeight w:val="908"/>
          <w:jc w:val="center"/>
        </w:trPr>
        <w:tc>
          <w:tcPr>
            <w:tcW w:w="2650" w:type="dxa"/>
          </w:tcPr>
          <w:p w14:paraId="6CA0F359" w14:textId="03C7BA95" w:rsidR="00DC415F" w:rsidRPr="00DC415F" w:rsidRDefault="00DC415F" w:rsidP="000A1D05">
            <w:pPr>
              <w:jc w:val="both"/>
              <w:rPr>
                <w:rFonts w:ascii="IBM Plex Sans" w:hAnsi="IBM Plex Sans"/>
                <w:b/>
                <w:bCs/>
                <w:sz w:val="20"/>
                <w:szCs w:val="20"/>
              </w:rPr>
            </w:pPr>
            <w:r w:rsidRPr="00DC415F">
              <w:rPr>
                <w:rFonts w:ascii="IBM Plex Sans" w:hAnsi="IBM Plex Sans"/>
                <w:b/>
                <w:bCs/>
                <w:sz w:val="20"/>
                <w:szCs w:val="20"/>
              </w:rPr>
              <w:t>Context</w:t>
            </w:r>
          </w:p>
        </w:tc>
        <w:tc>
          <w:tcPr>
            <w:tcW w:w="1074" w:type="dxa"/>
          </w:tcPr>
          <w:p w14:paraId="75A494D7" w14:textId="4050765C" w:rsidR="00DC415F" w:rsidRPr="00DC415F" w:rsidRDefault="00DC415F" w:rsidP="00DC415F">
            <w:pPr>
              <w:jc w:val="center"/>
              <w:rPr>
                <w:rFonts w:ascii="IBM Plex Sans" w:hAnsi="IBM Plex Sans"/>
                <w:b/>
                <w:bCs/>
                <w:sz w:val="20"/>
                <w:szCs w:val="20"/>
              </w:rPr>
            </w:pPr>
            <w:r w:rsidRPr="00DC415F">
              <w:rPr>
                <w:rFonts w:ascii="IBM Plex Sans" w:hAnsi="IBM Plex Sans"/>
                <w:b/>
                <w:bCs/>
                <w:sz w:val="20"/>
                <w:szCs w:val="20"/>
              </w:rPr>
              <w:t xml:space="preserve">Blade </w:t>
            </w:r>
            <w:r>
              <w:rPr>
                <w:rFonts w:ascii="IBM Plex Sans" w:hAnsi="IBM Plex Sans"/>
                <w:b/>
                <w:bCs/>
                <w:sz w:val="20"/>
                <w:szCs w:val="20"/>
              </w:rPr>
              <w:br/>
            </w:r>
            <w:r w:rsidRPr="00DC415F">
              <w:rPr>
                <w:rFonts w:ascii="IBM Plex Sans" w:hAnsi="IBM Plex Sans"/>
                <w:b/>
                <w:bCs/>
                <w:sz w:val="20"/>
                <w:szCs w:val="20"/>
              </w:rPr>
              <w:t>(n)</w:t>
            </w:r>
          </w:p>
        </w:tc>
        <w:tc>
          <w:tcPr>
            <w:tcW w:w="1080" w:type="dxa"/>
          </w:tcPr>
          <w:p w14:paraId="45EEF185" w14:textId="2C6BD829" w:rsidR="00DC415F" w:rsidRPr="00DC415F" w:rsidRDefault="00DC415F" w:rsidP="00DC415F">
            <w:pPr>
              <w:jc w:val="center"/>
              <w:rPr>
                <w:rFonts w:ascii="IBM Plex Sans" w:hAnsi="IBM Plex Sans"/>
                <w:b/>
                <w:bCs/>
                <w:sz w:val="20"/>
                <w:szCs w:val="20"/>
              </w:rPr>
            </w:pPr>
            <w:r w:rsidRPr="00DC415F">
              <w:rPr>
                <w:rFonts w:ascii="IBM Plex Sans" w:hAnsi="IBM Plex Sans"/>
                <w:b/>
                <w:bCs/>
                <w:sz w:val="20"/>
                <w:szCs w:val="20"/>
              </w:rPr>
              <w:t xml:space="preserve">Core </w:t>
            </w:r>
            <w:r>
              <w:rPr>
                <w:rFonts w:ascii="IBM Plex Sans" w:hAnsi="IBM Plex Sans"/>
                <w:b/>
                <w:bCs/>
                <w:sz w:val="20"/>
                <w:szCs w:val="20"/>
              </w:rPr>
              <w:br/>
            </w:r>
            <w:r w:rsidRPr="00DC415F">
              <w:rPr>
                <w:rFonts w:ascii="IBM Plex Sans" w:hAnsi="IBM Plex Sans"/>
                <w:b/>
                <w:bCs/>
                <w:sz w:val="20"/>
                <w:szCs w:val="20"/>
              </w:rPr>
              <w:t>(n)</w:t>
            </w:r>
          </w:p>
        </w:tc>
        <w:tc>
          <w:tcPr>
            <w:tcW w:w="1080" w:type="dxa"/>
          </w:tcPr>
          <w:p w14:paraId="7AB44711" w14:textId="69D97C9D" w:rsidR="00DC415F" w:rsidRPr="00DC415F" w:rsidRDefault="00DC415F" w:rsidP="00DC415F">
            <w:pPr>
              <w:jc w:val="center"/>
              <w:rPr>
                <w:rFonts w:ascii="IBM Plex Sans" w:hAnsi="IBM Plex Sans"/>
                <w:b/>
                <w:bCs/>
                <w:sz w:val="20"/>
                <w:szCs w:val="20"/>
              </w:rPr>
            </w:pPr>
            <w:r w:rsidRPr="00DC415F">
              <w:rPr>
                <w:rFonts w:ascii="IBM Plex Sans" w:hAnsi="IBM Plex Sans"/>
                <w:b/>
                <w:bCs/>
                <w:sz w:val="20"/>
                <w:szCs w:val="20"/>
              </w:rPr>
              <w:t xml:space="preserve">Backed Point </w:t>
            </w:r>
            <w:r>
              <w:rPr>
                <w:rFonts w:ascii="IBM Plex Sans" w:hAnsi="IBM Plex Sans"/>
                <w:b/>
                <w:bCs/>
                <w:sz w:val="20"/>
                <w:szCs w:val="20"/>
              </w:rPr>
              <w:br/>
            </w:r>
            <w:r w:rsidRPr="00DC415F">
              <w:rPr>
                <w:rFonts w:ascii="IBM Plex Sans" w:hAnsi="IBM Plex Sans"/>
                <w:b/>
                <w:bCs/>
                <w:sz w:val="20"/>
                <w:szCs w:val="20"/>
              </w:rPr>
              <w:t>(n)</w:t>
            </w:r>
          </w:p>
        </w:tc>
        <w:tc>
          <w:tcPr>
            <w:tcW w:w="1080" w:type="dxa"/>
          </w:tcPr>
          <w:p w14:paraId="71174984" w14:textId="578E8107" w:rsidR="00DC415F" w:rsidRPr="00DC415F" w:rsidRDefault="00DC415F" w:rsidP="00DC415F">
            <w:pPr>
              <w:jc w:val="center"/>
              <w:rPr>
                <w:rFonts w:ascii="IBM Plex Sans" w:hAnsi="IBM Plex Sans"/>
                <w:b/>
                <w:bCs/>
                <w:sz w:val="20"/>
                <w:szCs w:val="20"/>
              </w:rPr>
            </w:pPr>
            <w:r w:rsidRPr="00DC415F">
              <w:rPr>
                <w:rFonts w:ascii="IBM Plex Sans" w:hAnsi="IBM Plex Sans"/>
                <w:b/>
                <w:bCs/>
                <w:sz w:val="20"/>
                <w:szCs w:val="20"/>
              </w:rPr>
              <w:t xml:space="preserve">Tanged Point </w:t>
            </w:r>
            <w:r>
              <w:rPr>
                <w:rFonts w:ascii="IBM Plex Sans" w:hAnsi="IBM Plex Sans"/>
                <w:b/>
                <w:bCs/>
                <w:sz w:val="20"/>
                <w:szCs w:val="20"/>
              </w:rPr>
              <w:br/>
            </w:r>
            <w:r w:rsidRPr="00DC415F">
              <w:rPr>
                <w:rFonts w:ascii="IBM Plex Sans" w:hAnsi="IBM Plex Sans"/>
                <w:b/>
                <w:bCs/>
                <w:sz w:val="20"/>
                <w:szCs w:val="20"/>
              </w:rPr>
              <w:t>(n)</w:t>
            </w:r>
          </w:p>
        </w:tc>
      </w:tr>
      <w:tr w:rsidR="00DC415F" w14:paraId="0E8D13E2" w14:textId="77777777" w:rsidTr="00394ED0">
        <w:trPr>
          <w:jc w:val="center"/>
        </w:trPr>
        <w:tc>
          <w:tcPr>
            <w:tcW w:w="2650" w:type="dxa"/>
          </w:tcPr>
          <w:p w14:paraId="422CFF14" w14:textId="7335CC6A" w:rsidR="00DC415F" w:rsidRDefault="00DC415F" w:rsidP="000A1D05">
            <w:pPr>
              <w:jc w:val="both"/>
              <w:rPr>
                <w:rFonts w:ascii="IBM Plex Sans" w:hAnsi="IBM Plex Sans"/>
                <w:sz w:val="20"/>
                <w:szCs w:val="20"/>
              </w:rPr>
            </w:pPr>
            <w:r w:rsidRPr="00E00B6E">
              <w:rPr>
                <w:rFonts w:ascii="IBM Plex Sans" w:hAnsi="IBM Plex Sans"/>
                <w:sz w:val="20"/>
                <w:szCs w:val="20"/>
              </w:rPr>
              <w:t>Bienenbüttel</w:t>
            </w:r>
            <w:r>
              <w:rPr>
                <w:rFonts w:ascii="IBM Plex Sans" w:hAnsi="IBM Plex Sans"/>
                <w:sz w:val="20"/>
                <w:szCs w:val="20"/>
              </w:rPr>
              <w:t xml:space="preserve"> </w:t>
            </w:r>
            <w:proofErr w:type="spellStart"/>
            <w:r>
              <w:rPr>
                <w:rFonts w:ascii="IBM Plex Sans" w:hAnsi="IBM Plex Sans"/>
                <w:sz w:val="20"/>
                <w:szCs w:val="20"/>
              </w:rPr>
              <w:t>FStNr</w:t>
            </w:r>
            <w:proofErr w:type="spellEnd"/>
            <w:r>
              <w:rPr>
                <w:rFonts w:ascii="IBM Plex Sans" w:hAnsi="IBM Plex Sans"/>
                <w:sz w:val="20"/>
                <w:szCs w:val="20"/>
              </w:rPr>
              <w:t>. 15</w:t>
            </w:r>
          </w:p>
        </w:tc>
        <w:tc>
          <w:tcPr>
            <w:tcW w:w="1074" w:type="dxa"/>
          </w:tcPr>
          <w:p w14:paraId="534276A2" w14:textId="275FCB03" w:rsidR="00DC415F" w:rsidRDefault="00394ED0" w:rsidP="00394ED0">
            <w:pPr>
              <w:jc w:val="center"/>
              <w:rPr>
                <w:rFonts w:ascii="IBM Plex Sans" w:hAnsi="IBM Plex Sans"/>
                <w:sz w:val="20"/>
                <w:szCs w:val="20"/>
              </w:rPr>
            </w:pPr>
            <w:r>
              <w:rPr>
                <w:rFonts w:ascii="IBM Plex Sans" w:hAnsi="IBM Plex Sans"/>
                <w:sz w:val="20"/>
                <w:szCs w:val="20"/>
              </w:rPr>
              <w:t>15</w:t>
            </w:r>
          </w:p>
        </w:tc>
        <w:tc>
          <w:tcPr>
            <w:tcW w:w="1080" w:type="dxa"/>
          </w:tcPr>
          <w:p w14:paraId="37CE12EC" w14:textId="64046A2C" w:rsidR="00DC415F" w:rsidRDefault="00394ED0" w:rsidP="00394ED0">
            <w:pPr>
              <w:jc w:val="center"/>
              <w:rPr>
                <w:rFonts w:ascii="IBM Plex Sans" w:hAnsi="IBM Plex Sans"/>
                <w:sz w:val="20"/>
                <w:szCs w:val="20"/>
              </w:rPr>
            </w:pPr>
            <w:r>
              <w:rPr>
                <w:rFonts w:ascii="IBM Plex Sans" w:hAnsi="IBM Plex Sans"/>
                <w:sz w:val="20"/>
                <w:szCs w:val="20"/>
              </w:rPr>
              <w:t>1</w:t>
            </w:r>
          </w:p>
        </w:tc>
        <w:tc>
          <w:tcPr>
            <w:tcW w:w="1080" w:type="dxa"/>
          </w:tcPr>
          <w:p w14:paraId="77B8BB0D" w14:textId="7DB6C174" w:rsidR="00DC415F" w:rsidRDefault="00394ED0" w:rsidP="00394ED0">
            <w:pPr>
              <w:jc w:val="center"/>
              <w:rPr>
                <w:rFonts w:ascii="IBM Plex Sans" w:hAnsi="IBM Plex Sans"/>
                <w:sz w:val="20"/>
                <w:szCs w:val="20"/>
              </w:rPr>
            </w:pPr>
            <w:r>
              <w:rPr>
                <w:rFonts w:ascii="IBM Plex Sans" w:hAnsi="IBM Plex Sans"/>
                <w:sz w:val="20"/>
                <w:szCs w:val="20"/>
              </w:rPr>
              <w:t>5</w:t>
            </w:r>
          </w:p>
        </w:tc>
        <w:tc>
          <w:tcPr>
            <w:tcW w:w="1080" w:type="dxa"/>
          </w:tcPr>
          <w:p w14:paraId="04ECE154" w14:textId="77777777" w:rsidR="00DC415F" w:rsidRDefault="00DC415F" w:rsidP="00394ED0">
            <w:pPr>
              <w:jc w:val="center"/>
              <w:rPr>
                <w:rFonts w:ascii="IBM Plex Sans" w:hAnsi="IBM Plex Sans"/>
                <w:sz w:val="20"/>
                <w:szCs w:val="20"/>
              </w:rPr>
            </w:pPr>
          </w:p>
        </w:tc>
      </w:tr>
      <w:tr w:rsidR="00DC415F" w14:paraId="692E319D" w14:textId="77777777" w:rsidTr="00394ED0">
        <w:trPr>
          <w:jc w:val="center"/>
        </w:trPr>
        <w:tc>
          <w:tcPr>
            <w:tcW w:w="2650" w:type="dxa"/>
          </w:tcPr>
          <w:p w14:paraId="554079B3" w14:textId="55E60E70" w:rsidR="00DC415F" w:rsidRDefault="00DC415F" w:rsidP="000A1D05">
            <w:pPr>
              <w:jc w:val="both"/>
              <w:rPr>
                <w:rFonts w:ascii="IBM Plex Sans" w:hAnsi="IBM Plex Sans"/>
                <w:sz w:val="20"/>
                <w:szCs w:val="20"/>
              </w:rPr>
            </w:pPr>
            <w:proofErr w:type="spellStart"/>
            <w:r w:rsidRPr="00DC415F">
              <w:rPr>
                <w:rFonts w:ascii="IBM Plex Sans" w:hAnsi="IBM Plex Sans"/>
                <w:sz w:val="20"/>
                <w:szCs w:val="20"/>
              </w:rPr>
              <w:t>Brümmerhof</w:t>
            </w:r>
            <w:proofErr w:type="spellEnd"/>
            <w:r>
              <w:rPr>
                <w:rFonts w:ascii="IBM Plex Sans" w:hAnsi="IBM Plex Sans"/>
                <w:sz w:val="20"/>
                <w:szCs w:val="20"/>
              </w:rPr>
              <w:t xml:space="preserve"> </w:t>
            </w:r>
            <w:proofErr w:type="spellStart"/>
            <w:r>
              <w:rPr>
                <w:rFonts w:ascii="IBM Plex Sans" w:hAnsi="IBM Plex Sans"/>
                <w:sz w:val="20"/>
                <w:szCs w:val="20"/>
              </w:rPr>
              <w:t>FStNr</w:t>
            </w:r>
            <w:proofErr w:type="spellEnd"/>
            <w:r>
              <w:rPr>
                <w:rFonts w:ascii="IBM Plex Sans" w:hAnsi="IBM Plex Sans"/>
                <w:sz w:val="20"/>
                <w:szCs w:val="20"/>
              </w:rPr>
              <w:t>. 16</w:t>
            </w:r>
          </w:p>
        </w:tc>
        <w:tc>
          <w:tcPr>
            <w:tcW w:w="1074" w:type="dxa"/>
          </w:tcPr>
          <w:p w14:paraId="2589B580" w14:textId="20FBFEE5" w:rsidR="00DC415F" w:rsidRDefault="00394ED0" w:rsidP="00394ED0">
            <w:pPr>
              <w:jc w:val="center"/>
              <w:rPr>
                <w:rFonts w:ascii="IBM Plex Sans" w:hAnsi="IBM Plex Sans"/>
                <w:sz w:val="20"/>
                <w:szCs w:val="20"/>
              </w:rPr>
            </w:pPr>
            <w:r>
              <w:rPr>
                <w:rFonts w:ascii="IBM Plex Sans" w:hAnsi="IBM Plex Sans"/>
                <w:sz w:val="20"/>
                <w:szCs w:val="20"/>
              </w:rPr>
              <w:t>6</w:t>
            </w:r>
          </w:p>
        </w:tc>
        <w:tc>
          <w:tcPr>
            <w:tcW w:w="1080" w:type="dxa"/>
          </w:tcPr>
          <w:p w14:paraId="2F04B170" w14:textId="27AA49C8" w:rsidR="00DC415F" w:rsidRDefault="00DC415F" w:rsidP="00394ED0">
            <w:pPr>
              <w:jc w:val="center"/>
              <w:rPr>
                <w:rFonts w:ascii="IBM Plex Sans" w:hAnsi="IBM Plex Sans"/>
                <w:sz w:val="20"/>
                <w:szCs w:val="20"/>
              </w:rPr>
            </w:pPr>
          </w:p>
        </w:tc>
        <w:tc>
          <w:tcPr>
            <w:tcW w:w="1080" w:type="dxa"/>
          </w:tcPr>
          <w:p w14:paraId="6217E988" w14:textId="182B7ED3" w:rsidR="00DC415F" w:rsidRDefault="00394ED0" w:rsidP="00394ED0">
            <w:pPr>
              <w:jc w:val="center"/>
              <w:rPr>
                <w:rFonts w:ascii="IBM Plex Sans" w:hAnsi="IBM Plex Sans"/>
                <w:sz w:val="20"/>
                <w:szCs w:val="20"/>
              </w:rPr>
            </w:pPr>
            <w:r>
              <w:rPr>
                <w:rFonts w:ascii="IBM Plex Sans" w:hAnsi="IBM Plex Sans"/>
                <w:sz w:val="20"/>
                <w:szCs w:val="20"/>
              </w:rPr>
              <w:t>13</w:t>
            </w:r>
          </w:p>
        </w:tc>
        <w:tc>
          <w:tcPr>
            <w:tcW w:w="1080" w:type="dxa"/>
          </w:tcPr>
          <w:p w14:paraId="4A66EA10" w14:textId="45502D2A" w:rsidR="00DC415F" w:rsidRDefault="00394ED0" w:rsidP="00394ED0">
            <w:pPr>
              <w:jc w:val="center"/>
              <w:rPr>
                <w:rFonts w:ascii="IBM Plex Sans" w:hAnsi="IBM Plex Sans"/>
                <w:sz w:val="20"/>
                <w:szCs w:val="20"/>
              </w:rPr>
            </w:pPr>
            <w:r>
              <w:rPr>
                <w:rFonts w:ascii="IBM Plex Sans" w:hAnsi="IBM Plex Sans"/>
                <w:sz w:val="20"/>
                <w:szCs w:val="20"/>
              </w:rPr>
              <w:t>3</w:t>
            </w:r>
          </w:p>
        </w:tc>
      </w:tr>
      <w:tr w:rsidR="00DC415F" w14:paraId="53198080" w14:textId="77777777" w:rsidTr="00394ED0">
        <w:trPr>
          <w:jc w:val="center"/>
        </w:trPr>
        <w:tc>
          <w:tcPr>
            <w:tcW w:w="2650" w:type="dxa"/>
          </w:tcPr>
          <w:p w14:paraId="2C325104" w14:textId="0DC3E8C0" w:rsidR="00DC415F" w:rsidRDefault="00DC415F" w:rsidP="000A1D05">
            <w:pPr>
              <w:jc w:val="both"/>
              <w:rPr>
                <w:rFonts w:ascii="IBM Plex Sans" w:hAnsi="IBM Plex Sans"/>
                <w:sz w:val="20"/>
                <w:szCs w:val="20"/>
              </w:rPr>
            </w:pPr>
            <w:r w:rsidRPr="00E00B6E">
              <w:rPr>
                <w:rFonts w:ascii="IBM Plex Sans" w:hAnsi="IBM Plex Sans"/>
                <w:sz w:val="20"/>
                <w:szCs w:val="20"/>
              </w:rPr>
              <w:t>Häcklingen</w:t>
            </w:r>
            <w:r>
              <w:rPr>
                <w:rFonts w:ascii="IBM Plex Sans" w:hAnsi="IBM Plex Sans"/>
                <w:sz w:val="20"/>
                <w:szCs w:val="20"/>
              </w:rPr>
              <w:t xml:space="preserve"> </w:t>
            </w:r>
            <w:proofErr w:type="spellStart"/>
            <w:r>
              <w:rPr>
                <w:rFonts w:ascii="IBM Plex Sans" w:hAnsi="IBM Plex Sans"/>
                <w:sz w:val="20"/>
                <w:szCs w:val="20"/>
              </w:rPr>
              <w:t>FStNr</w:t>
            </w:r>
            <w:proofErr w:type="spellEnd"/>
            <w:r>
              <w:rPr>
                <w:rFonts w:ascii="IBM Plex Sans" w:hAnsi="IBM Plex Sans"/>
                <w:sz w:val="20"/>
                <w:szCs w:val="20"/>
              </w:rPr>
              <w:t>. 19</w:t>
            </w:r>
          </w:p>
        </w:tc>
        <w:tc>
          <w:tcPr>
            <w:tcW w:w="1074" w:type="dxa"/>
          </w:tcPr>
          <w:p w14:paraId="215ADF65" w14:textId="693EA7C3" w:rsidR="00DC415F" w:rsidRDefault="00394ED0" w:rsidP="00394ED0">
            <w:pPr>
              <w:jc w:val="center"/>
              <w:rPr>
                <w:rFonts w:ascii="IBM Plex Sans" w:hAnsi="IBM Plex Sans"/>
                <w:sz w:val="20"/>
                <w:szCs w:val="20"/>
              </w:rPr>
            </w:pPr>
            <w:r>
              <w:rPr>
                <w:rFonts w:ascii="IBM Plex Sans" w:hAnsi="IBM Plex Sans"/>
                <w:sz w:val="20"/>
                <w:szCs w:val="20"/>
              </w:rPr>
              <w:t>43</w:t>
            </w:r>
          </w:p>
        </w:tc>
        <w:tc>
          <w:tcPr>
            <w:tcW w:w="1080" w:type="dxa"/>
          </w:tcPr>
          <w:p w14:paraId="3638F079" w14:textId="2878348D" w:rsidR="00DC415F" w:rsidRDefault="00394ED0" w:rsidP="00394ED0">
            <w:pPr>
              <w:jc w:val="center"/>
              <w:rPr>
                <w:rFonts w:ascii="IBM Plex Sans" w:hAnsi="IBM Plex Sans"/>
                <w:sz w:val="20"/>
                <w:szCs w:val="20"/>
              </w:rPr>
            </w:pPr>
            <w:r>
              <w:rPr>
                <w:rFonts w:ascii="IBM Plex Sans" w:hAnsi="IBM Plex Sans"/>
                <w:sz w:val="20"/>
                <w:szCs w:val="20"/>
              </w:rPr>
              <w:t>8</w:t>
            </w:r>
          </w:p>
        </w:tc>
        <w:tc>
          <w:tcPr>
            <w:tcW w:w="1080" w:type="dxa"/>
          </w:tcPr>
          <w:p w14:paraId="416E1013" w14:textId="57AD1E0C" w:rsidR="00DC415F" w:rsidRDefault="00394ED0" w:rsidP="00394ED0">
            <w:pPr>
              <w:jc w:val="center"/>
              <w:rPr>
                <w:rFonts w:ascii="IBM Plex Sans" w:hAnsi="IBM Plex Sans"/>
                <w:sz w:val="20"/>
                <w:szCs w:val="20"/>
              </w:rPr>
            </w:pPr>
            <w:r>
              <w:rPr>
                <w:rFonts w:ascii="IBM Plex Sans" w:hAnsi="IBM Plex Sans"/>
                <w:sz w:val="20"/>
                <w:szCs w:val="20"/>
              </w:rPr>
              <w:t>9</w:t>
            </w:r>
          </w:p>
        </w:tc>
        <w:tc>
          <w:tcPr>
            <w:tcW w:w="1080" w:type="dxa"/>
          </w:tcPr>
          <w:p w14:paraId="366B72A2" w14:textId="2FE17FAC" w:rsidR="00DC415F" w:rsidRDefault="00394ED0" w:rsidP="00394ED0">
            <w:pPr>
              <w:jc w:val="center"/>
              <w:rPr>
                <w:rFonts w:ascii="IBM Plex Sans" w:hAnsi="IBM Plex Sans"/>
                <w:sz w:val="20"/>
                <w:szCs w:val="20"/>
              </w:rPr>
            </w:pPr>
            <w:r>
              <w:rPr>
                <w:rFonts w:ascii="IBM Plex Sans" w:hAnsi="IBM Plex Sans"/>
                <w:sz w:val="20"/>
                <w:szCs w:val="20"/>
              </w:rPr>
              <w:t>7</w:t>
            </w:r>
          </w:p>
        </w:tc>
      </w:tr>
      <w:tr w:rsidR="00DC415F" w14:paraId="40F04E87" w14:textId="77777777" w:rsidTr="00394ED0">
        <w:trPr>
          <w:jc w:val="center"/>
        </w:trPr>
        <w:tc>
          <w:tcPr>
            <w:tcW w:w="2650" w:type="dxa"/>
          </w:tcPr>
          <w:p w14:paraId="14638B90" w14:textId="04FBC2F8" w:rsidR="00DC415F" w:rsidRDefault="00394ED0" w:rsidP="000A1D05">
            <w:pPr>
              <w:jc w:val="both"/>
              <w:rPr>
                <w:rFonts w:ascii="IBM Plex Sans" w:hAnsi="IBM Plex Sans"/>
                <w:sz w:val="20"/>
                <w:szCs w:val="20"/>
              </w:rPr>
            </w:pPr>
            <w:proofErr w:type="spellStart"/>
            <w:r>
              <w:rPr>
                <w:rFonts w:ascii="IBM Plex Sans" w:hAnsi="IBM Plex Sans"/>
                <w:sz w:val="20"/>
                <w:szCs w:val="20"/>
              </w:rPr>
              <w:t>Rietberg</w:t>
            </w:r>
            <w:proofErr w:type="spellEnd"/>
            <w:r>
              <w:rPr>
                <w:rFonts w:ascii="IBM Plex Sans" w:hAnsi="IBM Plex Sans"/>
                <w:sz w:val="20"/>
                <w:szCs w:val="20"/>
              </w:rPr>
              <w:t xml:space="preserve"> (various)</w:t>
            </w:r>
          </w:p>
        </w:tc>
        <w:tc>
          <w:tcPr>
            <w:tcW w:w="1074" w:type="dxa"/>
          </w:tcPr>
          <w:p w14:paraId="49EDDDB7" w14:textId="3A574BAB" w:rsidR="00DC415F" w:rsidRDefault="00394ED0" w:rsidP="00394ED0">
            <w:pPr>
              <w:jc w:val="center"/>
              <w:rPr>
                <w:rFonts w:ascii="IBM Plex Sans" w:hAnsi="IBM Plex Sans"/>
                <w:sz w:val="20"/>
                <w:szCs w:val="20"/>
              </w:rPr>
            </w:pPr>
            <w:r>
              <w:rPr>
                <w:rFonts w:ascii="IBM Plex Sans" w:hAnsi="IBM Plex Sans"/>
                <w:sz w:val="20"/>
                <w:szCs w:val="20"/>
              </w:rPr>
              <w:t>96</w:t>
            </w:r>
          </w:p>
        </w:tc>
        <w:tc>
          <w:tcPr>
            <w:tcW w:w="1080" w:type="dxa"/>
          </w:tcPr>
          <w:p w14:paraId="455F9D7B" w14:textId="2684D65F" w:rsidR="00DC415F" w:rsidRDefault="00394ED0" w:rsidP="00394ED0">
            <w:pPr>
              <w:jc w:val="center"/>
              <w:rPr>
                <w:rFonts w:ascii="IBM Plex Sans" w:hAnsi="IBM Plex Sans"/>
                <w:sz w:val="20"/>
                <w:szCs w:val="20"/>
              </w:rPr>
            </w:pPr>
            <w:r>
              <w:rPr>
                <w:rFonts w:ascii="IBM Plex Sans" w:hAnsi="IBM Plex Sans"/>
                <w:sz w:val="20"/>
                <w:szCs w:val="20"/>
              </w:rPr>
              <w:t>9</w:t>
            </w:r>
          </w:p>
        </w:tc>
        <w:tc>
          <w:tcPr>
            <w:tcW w:w="1080" w:type="dxa"/>
          </w:tcPr>
          <w:p w14:paraId="00295606" w14:textId="27669172" w:rsidR="00DC415F" w:rsidRDefault="00394ED0" w:rsidP="00394ED0">
            <w:pPr>
              <w:jc w:val="center"/>
              <w:rPr>
                <w:rFonts w:ascii="IBM Plex Sans" w:hAnsi="IBM Plex Sans"/>
                <w:sz w:val="20"/>
                <w:szCs w:val="20"/>
              </w:rPr>
            </w:pPr>
            <w:r>
              <w:rPr>
                <w:rFonts w:ascii="IBM Plex Sans" w:hAnsi="IBM Plex Sans"/>
                <w:sz w:val="20"/>
                <w:szCs w:val="20"/>
              </w:rPr>
              <w:t>6</w:t>
            </w:r>
          </w:p>
        </w:tc>
        <w:tc>
          <w:tcPr>
            <w:tcW w:w="1080" w:type="dxa"/>
          </w:tcPr>
          <w:p w14:paraId="4CD5CB97" w14:textId="77777777" w:rsidR="00DC415F" w:rsidRDefault="00DC415F" w:rsidP="00394ED0">
            <w:pPr>
              <w:jc w:val="center"/>
              <w:rPr>
                <w:rFonts w:ascii="IBM Plex Sans" w:hAnsi="IBM Plex Sans"/>
                <w:sz w:val="20"/>
                <w:szCs w:val="20"/>
              </w:rPr>
            </w:pPr>
          </w:p>
        </w:tc>
      </w:tr>
      <w:tr w:rsidR="00DC415F" w14:paraId="556DD741" w14:textId="77777777" w:rsidTr="00394ED0">
        <w:trPr>
          <w:jc w:val="center"/>
        </w:trPr>
        <w:tc>
          <w:tcPr>
            <w:tcW w:w="2650" w:type="dxa"/>
          </w:tcPr>
          <w:p w14:paraId="5E015DC5" w14:textId="45A1611A" w:rsidR="00DC415F" w:rsidRDefault="00394ED0" w:rsidP="000A1D05">
            <w:pPr>
              <w:jc w:val="both"/>
              <w:rPr>
                <w:rFonts w:ascii="IBM Plex Sans" w:hAnsi="IBM Plex Sans"/>
                <w:sz w:val="20"/>
                <w:szCs w:val="20"/>
              </w:rPr>
            </w:pPr>
            <w:proofErr w:type="spellStart"/>
            <w:r>
              <w:rPr>
                <w:rFonts w:ascii="IBM Plex Sans" w:hAnsi="IBM Plex Sans"/>
                <w:sz w:val="20"/>
                <w:szCs w:val="20"/>
              </w:rPr>
              <w:t>Rothenkirchen</w:t>
            </w:r>
            <w:proofErr w:type="spellEnd"/>
          </w:p>
        </w:tc>
        <w:tc>
          <w:tcPr>
            <w:tcW w:w="1074" w:type="dxa"/>
          </w:tcPr>
          <w:p w14:paraId="75772867" w14:textId="63F947D0" w:rsidR="00DC415F" w:rsidRDefault="00394ED0" w:rsidP="00394ED0">
            <w:pPr>
              <w:jc w:val="center"/>
              <w:rPr>
                <w:rFonts w:ascii="IBM Plex Sans" w:hAnsi="IBM Plex Sans"/>
                <w:sz w:val="20"/>
                <w:szCs w:val="20"/>
              </w:rPr>
            </w:pPr>
            <w:r>
              <w:rPr>
                <w:rFonts w:ascii="IBM Plex Sans" w:hAnsi="IBM Plex Sans"/>
                <w:sz w:val="20"/>
                <w:szCs w:val="20"/>
              </w:rPr>
              <w:t>11</w:t>
            </w:r>
          </w:p>
        </w:tc>
        <w:tc>
          <w:tcPr>
            <w:tcW w:w="1080" w:type="dxa"/>
          </w:tcPr>
          <w:p w14:paraId="7755EF73" w14:textId="5120C97C" w:rsidR="00DC415F" w:rsidRDefault="00394ED0" w:rsidP="00394ED0">
            <w:pPr>
              <w:jc w:val="center"/>
              <w:rPr>
                <w:rFonts w:ascii="IBM Plex Sans" w:hAnsi="IBM Plex Sans"/>
                <w:sz w:val="20"/>
                <w:szCs w:val="20"/>
              </w:rPr>
            </w:pPr>
            <w:r>
              <w:rPr>
                <w:rFonts w:ascii="IBM Plex Sans" w:hAnsi="IBM Plex Sans"/>
                <w:sz w:val="20"/>
                <w:szCs w:val="20"/>
              </w:rPr>
              <w:t>2</w:t>
            </w:r>
          </w:p>
        </w:tc>
        <w:tc>
          <w:tcPr>
            <w:tcW w:w="1080" w:type="dxa"/>
          </w:tcPr>
          <w:p w14:paraId="36D00EAE" w14:textId="24E68926" w:rsidR="00DC415F" w:rsidRDefault="00394ED0" w:rsidP="00394ED0">
            <w:pPr>
              <w:jc w:val="center"/>
              <w:rPr>
                <w:rFonts w:ascii="IBM Plex Sans" w:hAnsi="IBM Plex Sans"/>
                <w:sz w:val="20"/>
                <w:szCs w:val="20"/>
              </w:rPr>
            </w:pPr>
            <w:r>
              <w:rPr>
                <w:rFonts w:ascii="IBM Plex Sans" w:hAnsi="IBM Plex Sans"/>
                <w:sz w:val="20"/>
                <w:szCs w:val="20"/>
              </w:rPr>
              <w:t>4</w:t>
            </w:r>
          </w:p>
        </w:tc>
        <w:tc>
          <w:tcPr>
            <w:tcW w:w="1080" w:type="dxa"/>
          </w:tcPr>
          <w:p w14:paraId="66D00572" w14:textId="77777777" w:rsidR="00DC415F" w:rsidRDefault="00DC415F" w:rsidP="00394ED0">
            <w:pPr>
              <w:jc w:val="center"/>
              <w:rPr>
                <w:rFonts w:ascii="IBM Plex Sans" w:hAnsi="IBM Plex Sans"/>
                <w:sz w:val="20"/>
                <w:szCs w:val="20"/>
              </w:rPr>
            </w:pPr>
          </w:p>
        </w:tc>
      </w:tr>
      <w:tr w:rsidR="00394ED0" w14:paraId="4769FC2C" w14:textId="77777777" w:rsidTr="00394ED0">
        <w:trPr>
          <w:jc w:val="center"/>
        </w:trPr>
        <w:tc>
          <w:tcPr>
            <w:tcW w:w="2650" w:type="dxa"/>
          </w:tcPr>
          <w:p w14:paraId="48347459" w14:textId="2F445857" w:rsidR="00394ED0" w:rsidRDefault="00394ED0" w:rsidP="000A1D05">
            <w:pPr>
              <w:jc w:val="both"/>
              <w:rPr>
                <w:rFonts w:ascii="IBM Plex Sans" w:hAnsi="IBM Plex Sans"/>
                <w:sz w:val="20"/>
                <w:szCs w:val="20"/>
              </w:rPr>
            </w:pPr>
            <w:r>
              <w:rPr>
                <w:rFonts w:ascii="IBM Plex Sans" w:hAnsi="IBM Plex Sans"/>
                <w:sz w:val="20"/>
                <w:szCs w:val="20"/>
              </w:rPr>
              <w:t xml:space="preserve">Sassenholz </w:t>
            </w:r>
            <w:proofErr w:type="spellStart"/>
            <w:r>
              <w:rPr>
                <w:rFonts w:ascii="IBM Plex Sans" w:hAnsi="IBM Plex Sans"/>
                <w:sz w:val="20"/>
                <w:szCs w:val="20"/>
              </w:rPr>
              <w:t>FStNr</w:t>
            </w:r>
            <w:proofErr w:type="spellEnd"/>
            <w:r>
              <w:rPr>
                <w:rFonts w:ascii="IBM Plex Sans" w:hAnsi="IBM Plex Sans"/>
                <w:sz w:val="20"/>
                <w:szCs w:val="20"/>
              </w:rPr>
              <w:t>.</w:t>
            </w:r>
            <w:r>
              <w:rPr>
                <w:rFonts w:ascii="IBM Plex Sans" w:hAnsi="IBM Plex Sans"/>
                <w:sz w:val="20"/>
                <w:szCs w:val="20"/>
              </w:rPr>
              <w:t xml:space="preserve"> 78 &amp; 82</w:t>
            </w:r>
          </w:p>
        </w:tc>
        <w:tc>
          <w:tcPr>
            <w:tcW w:w="1074" w:type="dxa"/>
          </w:tcPr>
          <w:p w14:paraId="1F605E70" w14:textId="7FAF3D77" w:rsidR="00394ED0" w:rsidRDefault="00394ED0" w:rsidP="00394ED0">
            <w:pPr>
              <w:jc w:val="center"/>
              <w:rPr>
                <w:rFonts w:ascii="IBM Plex Sans" w:hAnsi="IBM Plex Sans"/>
                <w:sz w:val="20"/>
                <w:szCs w:val="20"/>
              </w:rPr>
            </w:pPr>
            <w:r>
              <w:rPr>
                <w:rFonts w:ascii="IBM Plex Sans" w:hAnsi="IBM Plex Sans"/>
                <w:sz w:val="20"/>
                <w:szCs w:val="20"/>
              </w:rPr>
              <w:t>133</w:t>
            </w:r>
          </w:p>
        </w:tc>
        <w:tc>
          <w:tcPr>
            <w:tcW w:w="1080" w:type="dxa"/>
          </w:tcPr>
          <w:p w14:paraId="4F13BBF0" w14:textId="00A5BF65" w:rsidR="00394ED0" w:rsidRDefault="00394ED0" w:rsidP="00394ED0">
            <w:pPr>
              <w:jc w:val="center"/>
              <w:rPr>
                <w:rFonts w:ascii="IBM Plex Sans" w:hAnsi="IBM Plex Sans"/>
                <w:sz w:val="20"/>
                <w:szCs w:val="20"/>
              </w:rPr>
            </w:pPr>
            <w:r>
              <w:rPr>
                <w:rFonts w:ascii="IBM Plex Sans" w:hAnsi="IBM Plex Sans"/>
                <w:sz w:val="20"/>
                <w:szCs w:val="20"/>
              </w:rPr>
              <w:t>27</w:t>
            </w:r>
          </w:p>
        </w:tc>
        <w:tc>
          <w:tcPr>
            <w:tcW w:w="1080" w:type="dxa"/>
          </w:tcPr>
          <w:p w14:paraId="431DCA71" w14:textId="119CBECB" w:rsidR="00394ED0" w:rsidRDefault="00394ED0" w:rsidP="00394ED0">
            <w:pPr>
              <w:jc w:val="center"/>
              <w:rPr>
                <w:rFonts w:ascii="IBM Plex Sans" w:hAnsi="IBM Plex Sans"/>
                <w:sz w:val="20"/>
                <w:szCs w:val="20"/>
              </w:rPr>
            </w:pPr>
            <w:r>
              <w:rPr>
                <w:rFonts w:ascii="IBM Plex Sans" w:hAnsi="IBM Plex Sans"/>
                <w:sz w:val="20"/>
                <w:szCs w:val="20"/>
              </w:rPr>
              <w:t>36</w:t>
            </w:r>
          </w:p>
        </w:tc>
        <w:tc>
          <w:tcPr>
            <w:tcW w:w="1080" w:type="dxa"/>
          </w:tcPr>
          <w:p w14:paraId="68EC2C3D" w14:textId="0566B336" w:rsidR="00394ED0" w:rsidRDefault="00394ED0" w:rsidP="00394ED0">
            <w:pPr>
              <w:jc w:val="center"/>
              <w:rPr>
                <w:rFonts w:ascii="IBM Plex Sans" w:hAnsi="IBM Plex Sans"/>
                <w:sz w:val="20"/>
                <w:szCs w:val="20"/>
              </w:rPr>
            </w:pPr>
            <w:r>
              <w:rPr>
                <w:rFonts w:ascii="IBM Plex Sans" w:hAnsi="IBM Plex Sans"/>
                <w:sz w:val="20"/>
                <w:szCs w:val="20"/>
              </w:rPr>
              <w:t>22</w:t>
            </w:r>
          </w:p>
        </w:tc>
      </w:tr>
      <w:tr w:rsidR="00394ED0" w14:paraId="7617FA28" w14:textId="77777777" w:rsidTr="00394ED0">
        <w:trPr>
          <w:jc w:val="center"/>
        </w:trPr>
        <w:tc>
          <w:tcPr>
            <w:tcW w:w="2650" w:type="dxa"/>
          </w:tcPr>
          <w:p w14:paraId="13A636BA" w14:textId="51CEE6BB" w:rsidR="00394ED0" w:rsidRDefault="00394ED0" w:rsidP="000A1D05">
            <w:pPr>
              <w:jc w:val="both"/>
              <w:rPr>
                <w:rFonts w:ascii="IBM Plex Sans" w:hAnsi="IBM Plex Sans"/>
                <w:sz w:val="20"/>
                <w:szCs w:val="20"/>
              </w:rPr>
            </w:pPr>
            <w:proofErr w:type="spellStart"/>
            <w:r w:rsidRPr="00394ED0">
              <w:rPr>
                <w:rFonts w:ascii="IBM Plex Sans" w:hAnsi="IBM Plex Sans"/>
                <w:sz w:val="20"/>
                <w:szCs w:val="20"/>
              </w:rPr>
              <w:t>Højgård</w:t>
            </w:r>
            <w:proofErr w:type="spellEnd"/>
          </w:p>
        </w:tc>
        <w:tc>
          <w:tcPr>
            <w:tcW w:w="1074" w:type="dxa"/>
          </w:tcPr>
          <w:p w14:paraId="6A8E4653" w14:textId="00D6070E" w:rsidR="00394ED0" w:rsidRDefault="00394ED0" w:rsidP="00394ED0">
            <w:pPr>
              <w:jc w:val="center"/>
              <w:rPr>
                <w:rFonts w:ascii="IBM Plex Sans" w:hAnsi="IBM Plex Sans"/>
                <w:sz w:val="20"/>
                <w:szCs w:val="20"/>
              </w:rPr>
            </w:pPr>
            <w:r>
              <w:rPr>
                <w:rFonts w:ascii="IBM Plex Sans" w:hAnsi="IBM Plex Sans"/>
                <w:sz w:val="20"/>
                <w:szCs w:val="20"/>
              </w:rPr>
              <w:t>2</w:t>
            </w:r>
          </w:p>
        </w:tc>
        <w:tc>
          <w:tcPr>
            <w:tcW w:w="1080" w:type="dxa"/>
          </w:tcPr>
          <w:p w14:paraId="6F2CC64D" w14:textId="71AC43F4" w:rsidR="00394ED0" w:rsidRDefault="00394ED0" w:rsidP="00394ED0">
            <w:pPr>
              <w:jc w:val="center"/>
              <w:rPr>
                <w:rFonts w:ascii="IBM Plex Sans" w:hAnsi="IBM Plex Sans"/>
                <w:sz w:val="20"/>
                <w:szCs w:val="20"/>
              </w:rPr>
            </w:pPr>
            <w:r>
              <w:rPr>
                <w:rFonts w:ascii="IBM Plex Sans" w:hAnsi="IBM Plex Sans"/>
                <w:sz w:val="20"/>
                <w:szCs w:val="20"/>
              </w:rPr>
              <w:t>1</w:t>
            </w:r>
          </w:p>
        </w:tc>
        <w:tc>
          <w:tcPr>
            <w:tcW w:w="1080" w:type="dxa"/>
          </w:tcPr>
          <w:p w14:paraId="23C0643F" w14:textId="77777777" w:rsidR="00394ED0" w:rsidRDefault="00394ED0" w:rsidP="00394ED0">
            <w:pPr>
              <w:jc w:val="center"/>
              <w:rPr>
                <w:rFonts w:ascii="IBM Plex Sans" w:hAnsi="IBM Plex Sans"/>
                <w:sz w:val="20"/>
                <w:szCs w:val="20"/>
              </w:rPr>
            </w:pPr>
          </w:p>
        </w:tc>
        <w:tc>
          <w:tcPr>
            <w:tcW w:w="1080" w:type="dxa"/>
          </w:tcPr>
          <w:p w14:paraId="26D28A7F" w14:textId="77777777" w:rsidR="00394ED0" w:rsidRDefault="00394ED0" w:rsidP="00394ED0">
            <w:pPr>
              <w:jc w:val="center"/>
              <w:rPr>
                <w:rFonts w:ascii="IBM Plex Sans" w:hAnsi="IBM Plex Sans"/>
                <w:sz w:val="20"/>
                <w:szCs w:val="20"/>
              </w:rPr>
            </w:pPr>
          </w:p>
        </w:tc>
      </w:tr>
      <w:tr w:rsidR="00394ED0" w14:paraId="5DEE9BC4" w14:textId="77777777" w:rsidTr="00394ED0">
        <w:trPr>
          <w:jc w:val="center"/>
        </w:trPr>
        <w:tc>
          <w:tcPr>
            <w:tcW w:w="2650" w:type="dxa"/>
          </w:tcPr>
          <w:p w14:paraId="0B4B0ECC" w14:textId="018F0DAC" w:rsidR="00394ED0" w:rsidRDefault="00394ED0" w:rsidP="000A1D05">
            <w:pPr>
              <w:jc w:val="both"/>
              <w:rPr>
                <w:rFonts w:ascii="IBM Plex Sans" w:hAnsi="IBM Plex Sans"/>
                <w:sz w:val="20"/>
                <w:szCs w:val="20"/>
              </w:rPr>
            </w:pPr>
            <w:proofErr w:type="spellStart"/>
            <w:r w:rsidRPr="00394ED0">
              <w:rPr>
                <w:rFonts w:ascii="IBM Plex Sans" w:hAnsi="IBM Plex Sans"/>
                <w:sz w:val="20"/>
                <w:szCs w:val="20"/>
              </w:rPr>
              <w:t>Segebro</w:t>
            </w:r>
            <w:proofErr w:type="spellEnd"/>
          </w:p>
        </w:tc>
        <w:tc>
          <w:tcPr>
            <w:tcW w:w="1074" w:type="dxa"/>
          </w:tcPr>
          <w:p w14:paraId="59836CF8" w14:textId="04299633" w:rsidR="00394ED0" w:rsidRDefault="00394ED0" w:rsidP="00394ED0">
            <w:pPr>
              <w:jc w:val="center"/>
              <w:rPr>
                <w:rFonts w:ascii="IBM Plex Sans" w:hAnsi="IBM Plex Sans"/>
                <w:sz w:val="20"/>
                <w:szCs w:val="20"/>
              </w:rPr>
            </w:pPr>
            <w:r>
              <w:rPr>
                <w:rFonts w:ascii="IBM Plex Sans" w:hAnsi="IBM Plex Sans"/>
                <w:sz w:val="20"/>
                <w:szCs w:val="20"/>
              </w:rPr>
              <w:t>24</w:t>
            </w:r>
          </w:p>
        </w:tc>
        <w:tc>
          <w:tcPr>
            <w:tcW w:w="1080" w:type="dxa"/>
          </w:tcPr>
          <w:p w14:paraId="21F83D2A" w14:textId="41F2CA6E" w:rsidR="00394ED0" w:rsidRDefault="00394ED0" w:rsidP="00394ED0">
            <w:pPr>
              <w:jc w:val="center"/>
              <w:rPr>
                <w:rFonts w:ascii="IBM Plex Sans" w:hAnsi="IBM Plex Sans"/>
                <w:sz w:val="20"/>
                <w:szCs w:val="20"/>
              </w:rPr>
            </w:pPr>
            <w:r>
              <w:rPr>
                <w:rFonts w:ascii="IBM Plex Sans" w:hAnsi="IBM Plex Sans"/>
                <w:sz w:val="20"/>
                <w:szCs w:val="20"/>
              </w:rPr>
              <w:t>11</w:t>
            </w:r>
          </w:p>
        </w:tc>
        <w:tc>
          <w:tcPr>
            <w:tcW w:w="1080" w:type="dxa"/>
          </w:tcPr>
          <w:p w14:paraId="4B4F2A48" w14:textId="77777777" w:rsidR="00394ED0" w:rsidRDefault="00394ED0" w:rsidP="00394ED0">
            <w:pPr>
              <w:jc w:val="center"/>
              <w:rPr>
                <w:rFonts w:ascii="IBM Plex Sans" w:hAnsi="IBM Plex Sans"/>
                <w:sz w:val="20"/>
                <w:szCs w:val="20"/>
              </w:rPr>
            </w:pPr>
          </w:p>
        </w:tc>
        <w:tc>
          <w:tcPr>
            <w:tcW w:w="1080" w:type="dxa"/>
          </w:tcPr>
          <w:p w14:paraId="3715E493" w14:textId="4FF5CE7F" w:rsidR="00394ED0" w:rsidRDefault="00394ED0" w:rsidP="00394ED0">
            <w:pPr>
              <w:jc w:val="center"/>
              <w:rPr>
                <w:rFonts w:ascii="IBM Plex Sans" w:hAnsi="IBM Plex Sans"/>
                <w:sz w:val="20"/>
                <w:szCs w:val="20"/>
              </w:rPr>
            </w:pPr>
            <w:r>
              <w:rPr>
                <w:rFonts w:ascii="IBM Plex Sans" w:hAnsi="IBM Plex Sans"/>
                <w:sz w:val="20"/>
                <w:szCs w:val="20"/>
              </w:rPr>
              <w:t>4</w:t>
            </w:r>
          </w:p>
        </w:tc>
      </w:tr>
      <w:tr w:rsidR="00DC415F" w14:paraId="77670E02" w14:textId="77777777" w:rsidTr="00394ED0">
        <w:trPr>
          <w:jc w:val="center"/>
        </w:trPr>
        <w:tc>
          <w:tcPr>
            <w:tcW w:w="2650" w:type="dxa"/>
          </w:tcPr>
          <w:p w14:paraId="71E7C794" w14:textId="251B99E6" w:rsidR="00DC415F" w:rsidRDefault="00394ED0" w:rsidP="000A1D05">
            <w:pPr>
              <w:jc w:val="both"/>
              <w:rPr>
                <w:rFonts w:ascii="IBM Plex Sans" w:hAnsi="IBM Plex Sans"/>
                <w:sz w:val="20"/>
                <w:szCs w:val="20"/>
              </w:rPr>
            </w:pPr>
            <w:proofErr w:type="spellStart"/>
            <w:r w:rsidRPr="00394ED0">
              <w:rPr>
                <w:rFonts w:ascii="IBM Plex Sans" w:hAnsi="IBM Plex Sans"/>
                <w:sz w:val="20"/>
                <w:szCs w:val="20"/>
              </w:rPr>
              <w:t>Søvind</w:t>
            </w:r>
            <w:proofErr w:type="spellEnd"/>
          </w:p>
        </w:tc>
        <w:tc>
          <w:tcPr>
            <w:tcW w:w="1074" w:type="dxa"/>
          </w:tcPr>
          <w:p w14:paraId="63E07957" w14:textId="585A4C4E" w:rsidR="00DC415F" w:rsidRDefault="00394ED0" w:rsidP="00394ED0">
            <w:pPr>
              <w:jc w:val="center"/>
              <w:rPr>
                <w:rFonts w:ascii="IBM Plex Sans" w:hAnsi="IBM Plex Sans"/>
                <w:sz w:val="20"/>
                <w:szCs w:val="20"/>
              </w:rPr>
            </w:pPr>
            <w:r>
              <w:rPr>
                <w:rFonts w:ascii="IBM Plex Sans" w:hAnsi="IBM Plex Sans"/>
                <w:sz w:val="20"/>
                <w:szCs w:val="20"/>
              </w:rPr>
              <w:t>88</w:t>
            </w:r>
          </w:p>
        </w:tc>
        <w:tc>
          <w:tcPr>
            <w:tcW w:w="1080" w:type="dxa"/>
          </w:tcPr>
          <w:p w14:paraId="359BF31F" w14:textId="1A4CBACD" w:rsidR="00DC415F" w:rsidRDefault="00394ED0" w:rsidP="00394ED0">
            <w:pPr>
              <w:jc w:val="center"/>
              <w:rPr>
                <w:rFonts w:ascii="IBM Plex Sans" w:hAnsi="IBM Plex Sans"/>
                <w:sz w:val="20"/>
                <w:szCs w:val="20"/>
              </w:rPr>
            </w:pPr>
            <w:r>
              <w:rPr>
                <w:rFonts w:ascii="IBM Plex Sans" w:hAnsi="IBM Plex Sans"/>
                <w:sz w:val="20"/>
                <w:szCs w:val="20"/>
              </w:rPr>
              <w:t>5</w:t>
            </w:r>
          </w:p>
        </w:tc>
        <w:tc>
          <w:tcPr>
            <w:tcW w:w="1080" w:type="dxa"/>
          </w:tcPr>
          <w:p w14:paraId="3ACAB10C" w14:textId="77777777" w:rsidR="00DC415F" w:rsidRDefault="00DC415F" w:rsidP="00394ED0">
            <w:pPr>
              <w:jc w:val="center"/>
              <w:rPr>
                <w:rFonts w:ascii="IBM Plex Sans" w:hAnsi="IBM Plex Sans"/>
                <w:sz w:val="20"/>
                <w:szCs w:val="20"/>
              </w:rPr>
            </w:pPr>
          </w:p>
        </w:tc>
        <w:tc>
          <w:tcPr>
            <w:tcW w:w="1080" w:type="dxa"/>
          </w:tcPr>
          <w:p w14:paraId="0CF6E976" w14:textId="77777777" w:rsidR="00DC415F" w:rsidRDefault="00DC415F" w:rsidP="00394ED0">
            <w:pPr>
              <w:jc w:val="center"/>
              <w:rPr>
                <w:rFonts w:ascii="IBM Plex Sans" w:hAnsi="IBM Plex Sans"/>
                <w:sz w:val="20"/>
                <w:szCs w:val="20"/>
              </w:rPr>
            </w:pPr>
          </w:p>
        </w:tc>
      </w:tr>
      <w:tr w:rsidR="00394ED0" w14:paraId="1262BDAD" w14:textId="77777777" w:rsidTr="00394ED0">
        <w:trPr>
          <w:jc w:val="center"/>
        </w:trPr>
        <w:tc>
          <w:tcPr>
            <w:tcW w:w="2650" w:type="dxa"/>
          </w:tcPr>
          <w:p w14:paraId="47803CBC" w14:textId="1D4322C5" w:rsidR="00394ED0" w:rsidRDefault="00394ED0" w:rsidP="000A1D05">
            <w:pPr>
              <w:jc w:val="both"/>
              <w:rPr>
                <w:rFonts w:ascii="IBM Plex Sans" w:hAnsi="IBM Plex Sans"/>
                <w:sz w:val="20"/>
                <w:szCs w:val="20"/>
              </w:rPr>
            </w:pPr>
            <w:proofErr w:type="spellStart"/>
            <w:r>
              <w:rPr>
                <w:rFonts w:ascii="IBM Plex Sans" w:hAnsi="IBM Plex Sans"/>
                <w:sz w:val="20"/>
                <w:szCs w:val="20"/>
              </w:rPr>
              <w:t>Skovmosen</w:t>
            </w:r>
            <w:proofErr w:type="spellEnd"/>
            <w:r>
              <w:rPr>
                <w:rFonts w:ascii="IBM Plex Sans" w:hAnsi="IBM Plex Sans"/>
                <w:sz w:val="20"/>
                <w:szCs w:val="20"/>
              </w:rPr>
              <w:t xml:space="preserve"> 1</w:t>
            </w:r>
          </w:p>
        </w:tc>
        <w:tc>
          <w:tcPr>
            <w:tcW w:w="1074" w:type="dxa"/>
          </w:tcPr>
          <w:p w14:paraId="1DA6D67C" w14:textId="4ADD57A5" w:rsidR="00394ED0" w:rsidRDefault="00394ED0" w:rsidP="00394ED0">
            <w:pPr>
              <w:jc w:val="center"/>
              <w:rPr>
                <w:rFonts w:ascii="IBM Plex Sans" w:hAnsi="IBM Plex Sans"/>
                <w:sz w:val="20"/>
                <w:szCs w:val="20"/>
              </w:rPr>
            </w:pPr>
          </w:p>
        </w:tc>
        <w:tc>
          <w:tcPr>
            <w:tcW w:w="1080" w:type="dxa"/>
          </w:tcPr>
          <w:p w14:paraId="247F12E3" w14:textId="0CA6FFFA" w:rsidR="00394ED0" w:rsidRDefault="00394ED0" w:rsidP="00394ED0">
            <w:pPr>
              <w:jc w:val="center"/>
              <w:rPr>
                <w:rFonts w:ascii="IBM Plex Sans" w:hAnsi="IBM Plex Sans"/>
                <w:sz w:val="20"/>
                <w:szCs w:val="20"/>
              </w:rPr>
            </w:pPr>
            <w:r>
              <w:rPr>
                <w:rFonts w:ascii="IBM Plex Sans" w:hAnsi="IBM Plex Sans"/>
                <w:sz w:val="20"/>
                <w:szCs w:val="20"/>
              </w:rPr>
              <w:t>6</w:t>
            </w:r>
          </w:p>
        </w:tc>
        <w:tc>
          <w:tcPr>
            <w:tcW w:w="1080" w:type="dxa"/>
          </w:tcPr>
          <w:p w14:paraId="3A045F03" w14:textId="77777777" w:rsidR="00394ED0" w:rsidRDefault="00394ED0" w:rsidP="00394ED0">
            <w:pPr>
              <w:jc w:val="center"/>
              <w:rPr>
                <w:rFonts w:ascii="IBM Plex Sans" w:hAnsi="IBM Plex Sans"/>
                <w:sz w:val="20"/>
                <w:szCs w:val="20"/>
              </w:rPr>
            </w:pPr>
          </w:p>
        </w:tc>
        <w:tc>
          <w:tcPr>
            <w:tcW w:w="1080" w:type="dxa"/>
          </w:tcPr>
          <w:p w14:paraId="54BDDA0B" w14:textId="23FFBA9A" w:rsidR="00394ED0" w:rsidRDefault="00394ED0" w:rsidP="00394ED0">
            <w:pPr>
              <w:jc w:val="center"/>
              <w:rPr>
                <w:rFonts w:ascii="IBM Plex Sans" w:hAnsi="IBM Plex Sans"/>
                <w:sz w:val="20"/>
                <w:szCs w:val="20"/>
              </w:rPr>
            </w:pPr>
            <w:r>
              <w:rPr>
                <w:rFonts w:ascii="IBM Plex Sans" w:hAnsi="IBM Plex Sans"/>
                <w:sz w:val="20"/>
                <w:szCs w:val="20"/>
              </w:rPr>
              <w:t>1</w:t>
            </w:r>
          </w:p>
        </w:tc>
      </w:tr>
    </w:tbl>
    <w:p w14:paraId="126D2A70" w14:textId="24A65EF8" w:rsidR="00DC415F" w:rsidRDefault="00DC415F" w:rsidP="00394ED0">
      <w:pPr>
        <w:jc w:val="center"/>
        <w:rPr>
          <w:rFonts w:ascii="IBM Plex Sans" w:hAnsi="IBM Plex Sans"/>
          <w:sz w:val="20"/>
          <w:szCs w:val="20"/>
        </w:rPr>
      </w:pPr>
    </w:p>
    <w:p w14:paraId="2E73BFB1" w14:textId="67C977EA" w:rsidR="00394ED0" w:rsidRDefault="00394ED0" w:rsidP="00394ED0">
      <w:pPr>
        <w:jc w:val="center"/>
        <w:rPr>
          <w:rFonts w:ascii="IBM Plex Sans" w:hAnsi="IBM Plex Sans"/>
          <w:sz w:val="20"/>
          <w:szCs w:val="20"/>
        </w:rPr>
      </w:pPr>
      <w:r>
        <w:rPr>
          <w:rFonts w:ascii="IBM Plex Sans" w:hAnsi="IBM Plex Sans"/>
          <w:sz w:val="20"/>
          <w:szCs w:val="20"/>
        </w:rPr>
        <w:t xml:space="preserve">Table 2. Artefact breakdown (grouped by context) of material examined in this article </w:t>
      </w:r>
      <w:r>
        <w:rPr>
          <w:rFonts w:ascii="IBM Plex Sans" w:hAnsi="IBM Plex Sans"/>
          <w:sz w:val="20"/>
          <w:szCs w:val="20"/>
        </w:rPr>
        <w:br/>
        <w:t>(total: 598 artefacts)</w:t>
      </w:r>
    </w:p>
    <w:p w14:paraId="3A3CDF06" w14:textId="4A411447" w:rsidR="00394ED0" w:rsidRDefault="00394ED0" w:rsidP="00394ED0">
      <w:pPr>
        <w:jc w:val="center"/>
        <w:rPr>
          <w:rFonts w:ascii="IBM Plex Sans" w:hAnsi="IBM Plex Sans"/>
          <w:sz w:val="20"/>
          <w:szCs w:val="20"/>
        </w:rPr>
      </w:pPr>
    </w:p>
    <w:tbl>
      <w:tblPr>
        <w:tblStyle w:val="TableGrid"/>
        <w:tblW w:w="0" w:type="auto"/>
        <w:jc w:val="center"/>
        <w:tblLook w:val="04A0" w:firstRow="1" w:lastRow="0" w:firstColumn="1" w:lastColumn="0" w:noHBand="0" w:noVBand="1"/>
      </w:tblPr>
      <w:tblGrid>
        <w:gridCol w:w="2650"/>
        <w:gridCol w:w="1074"/>
        <w:gridCol w:w="1080"/>
        <w:gridCol w:w="1080"/>
        <w:gridCol w:w="1080"/>
      </w:tblGrid>
      <w:tr w:rsidR="00394ED0" w14:paraId="222A93B0" w14:textId="77777777" w:rsidTr="00394ED0">
        <w:trPr>
          <w:trHeight w:val="908"/>
          <w:jc w:val="center"/>
        </w:trPr>
        <w:tc>
          <w:tcPr>
            <w:tcW w:w="2650" w:type="dxa"/>
          </w:tcPr>
          <w:p w14:paraId="34463375" w14:textId="77777777" w:rsidR="00394ED0" w:rsidRPr="00DC415F" w:rsidRDefault="00394ED0" w:rsidP="0044340F">
            <w:pPr>
              <w:jc w:val="both"/>
              <w:rPr>
                <w:rFonts w:ascii="IBM Plex Sans" w:hAnsi="IBM Plex Sans"/>
                <w:b/>
                <w:bCs/>
                <w:sz w:val="20"/>
                <w:szCs w:val="20"/>
              </w:rPr>
            </w:pPr>
            <w:r w:rsidRPr="00DC415F">
              <w:rPr>
                <w:rFonts w:ascii="IBM Plex Sans" w:hAnsi="IBM Plex Sans"/>
                <w:b/>
                <w:bCs/>
                <w:sz w:val="20"/>
                <w:szCs w:val="20"/>
              </w:rPr>
              <w:t>Context</w:t>
            </w:r>
          </w:p>
        </w:tc>
        <w:tc>
          <w:tcPr>
            <w:tcW w:w="1074" w:type="dxa"/>
          </w:tcPr>
          <w:p w14:paraId="0430CD53" w14:textId="77777777" w:rsidR="00394ED0" w:rsidRPr="00DC415F" w:rsidRDefault="00394ED0" w:rsidP="0044340F">
            <w:pPr>
              <w:jc w:val="center"/>
              <w:rPr>
                <w:rFonts w:ascii="IBM Plex Sans" w:hAnsi="IBM Plex Sans"/>
                <w:b/>
                <w:bCs/>
                <w:sz w:val="20"/>
                <w:szCs w:val="20"/>
              </w:rPr>
            </w:pPr>
            <w:r w:rsidRPr="00DC415F">
              <w:rPr>
                <w:rFonts w:ascii="IBM Plex Sans" w:hAnsi="IBM Plex Sans"/>
                <w:b/>
                <w:bCs/>
                <w:sz w:val="20"/>
                <w:szCs w:val="20"/>
              </w:rPr>
              <w:t xml:space="preserve">Blade </w:t>
            </w:r>
            <w:r>
              <w:rPr>
                <w:rFonts w:ascii="IBM Plex Sans" w:hAnsi="IBM Plex Sans"/>
                <w:b/>
                <w:bCs/>
                <w:sz w:val="20"/>
                <w:szCs w:val="20"/>
              </w:rPr>
              <w:br/>
            </w:r>
            <w:r w:rsidRPr="00DC415F">
              <w:rPr>
                <w:rFonts w:ascii="IBM Plex Sans" w:hAnsi="IBM Plex Sans"/>
                <w:b/>
                <w:bCs/>
                <w:sz w:val="20"/>
                <w:szCs w:val="20"/>
              </w:rPr>
              <w:t>(n)</w:t>
            </w:r>
          </w:p>
        </w:tc>
        <w:tc>
          <w:tcPr>
            <w:tcW w:w="1080" w:type="dxa"/>
          </w:tcPr>
          <w:p w14:paraId="5F419702" w14:textId="77777777" w:rsidR="00394ED0" w:rsidRPr="00DC415F" w:rsidRDefault="00394ED0" w:rsidP="0044340F">
            <w:pPr>
              <w:jc w:val="center"/>
              <w:rPr>
                <w:rFonts w:ascii="IBM Plex Sans" w:hAnsi="IBM Plex Sans"/>
                <w:b/>
                <w:bCs/>
                <w:sz w:val="20"/>
                <w:szCs w:val="20"/>
              </w:rPr>
            </w:pPr>
            <w:r w:rsidRPr="00DC415F">
              <w:rPr>
                <w:rFonts w:ascii="IBM Plex Sans" w:hAnsi="IBM Plex Sans"/>
                <w:b/>
                <w:bCs/>
                <w:sz w:val="20"/>
                <w:szCs w:val="20"/>
              </w:rPr>
              <w:t xml:space="preserve">Core </w:t>
            </w:r>
            <w:r>
              <w:rPr>
                <w:rFonts w:ascii="IBM Plex Sans" w:hAnsi="IBM Plex Sans"/>
                <w:b/>
                <w:bCs/>
                <w:sz w:val="20"/>
                <w:szCs w:val="20"/>
              </w:rPr>
              <w:br/>
            </w:r>
            <w:r w:rsidRPr="00DC415F">
              <w:rPr>
                <w:rFonts w:ascii="IBM Plex Sans" w:hAnsi="IBM Plex Sans"/>
                <w:b/>
                <w:bCs/>
                <w:sz w:val="20"/>
                <w:szCs w:val="20"/>
              </w:rPr>
              <w:t>(n)</w:t>
            </w:r>
          </w:p>
        </w:tc>
        <w:tc>
          <w:tcPr>
            <w:tcW w:w="1080" w:type="dxa"/>
          </w:tcPr>
          <w:p w14:paraId="724B07DB" w14:textId="77777777" w:rsidR="00394ED0" w:rsidRPr="00DC415F" w:rsidRDefault="00394ED0" w:rsidP="0044340F">
            <w:pPr>
              <w:jc w:val="center"/>
              <w:rPr>
                <w:rFonts w:ascii="IBM Plex Sans" w:hAnsi="IBM Plex Sans"/>
                <w:b/>
                <w:bCs/>
                <w:sz w:val="20"/>
                <w:szCs w:val="20"/>
              </w:rPr>
            </w:pPr>
            <w:r w:rsidRPr="00DC415F">
              <w:rPr>
                <w:rFonts w:ascii="IBM Plex Sans" w:hAnsi="IBM Plex Sans"/>
                <w:b/>
                <w:bCs/>
                <w:sz w:val="20"/>
                <w:szCs w:val="20"/>
              </w:rPr>
              <w:t xml:space="preserve">Backed Point </w:t>
            </w:r>
            <w:r>
              <w:rPr>
                <w:rFonts w:ascii="IBM Plex Sans" w:hAnsi="IBM Plex Sans"/>
                <w:b/>
                <w:bCs/>
                <w:sz w:val="20"/>
                <w:szCs w:val="20"/>
              </w:rPr>
              <w:br/>
            </w:r>
            <w:r w:rsidRPr="00DC415F">
              <w:rPr>
                <w:rFonts w:ascii="IBM Plex Sans" w:hAnsi="IBM Plex Sans"/>
                <w:b/>
                <w:bCs/>
                <w:sz w:val="20"/>
                <w:szCs w:val="20"/>
              </w:rPr>
              <w:t>(n)</w:t>
            </w:r>
          </w:p>
        </w:tc>
        <w:tc>
          <w:tcPr>
            <w:tcW w:w="1080" w:type="dxa"/>
          </w:tcPr>
          <w:p w14:paraId="43795E7C" w14:textId="77777777" w:rsidR="00394ED0" w:rsidRPr="00DC415F" w:rsidRDefault="00394ED0" w:rsidP="0044340F">
            <w:pPr>
              <w:jc w:val="center"/>
              <w:rPr>
                <w:rFonts w:ascii="IBM Plex Sans" w:hAnsi="IBM Plex Sans"/>
                <w:b/>
                <w:bCs/>
                <w:sz w:val="20"/>
                <w:szCs w:val="20"/>
              </w:rPr>
            </w:pPr>
            <w:r w:rsidRPr="00DC415F">
              <w:rPr>
                <w:rFonts w:ascii="IBM Plex Sans" w:hAnsi="IBM Plex Sans"/>
                <w:b/>
                <w:bCs/>
                <w:sz w:val="20"/>
                <w:szCs w:val="20"/>
              </w:rPr>
              <w:t xml:space="preserve">Tanged Point </w:t>
            </w:r>
            <w:r>
              <w:rPr>
                <w:rFonts w:ascii="IBM Plex Sans" w:hAnsi="IBM Plex Sans"/>
                <w:b/>
                <w:bCs/>
                <w:sz w:val="20"/>
                <w:szCs w:val="20"/>
              </w:rPr>
              <w:br/>
            </w:r>
            <w:r w:rsidRPr="00DC415F">
              <w:rPr>
                <w:rFonts w:ascii="IBM Plex Sans" w:hAnsi="IBM Plex Sans"/>
                <w:b/>
                <w:bCs/>
                <w:sz w:val="20"/>
                <w:szCs w:val="20"/>
              </w:rPr>
              <w:t>(n)</w:t>
            </w:r>
          </w:p>
        </w:tc>
      </w:tr>
      <w:tr w:rsidR="00394ED0" w14:paraId="2799DFD1" w14:textId="77777777" w:rsidTr="0044340F">
        <w:trPr>
          <w:jc w:val="center"/>
        </w:trPr>
        <w:tc>
          <w:tcPr>
            <w:tcW w:w="2650" w:type="dxa"/>
          </w:tcPr>
          <w:p w14:paraId="56709C34" w14:textId="7036823F" w:rsidR="00394ED0" w:rsidRDefault="00394ED0" w:rsidP="0044340F">
            <w:pPr>
              <w:jc w:val="both"/>
              <w:rPr>
                <w:rFonts w:ascii="IBM Plex Sans" w:hAnsi="IBM Plex Sans"/>
                <w:sz w:val="20"/>
                <w:szCs w:val="20"/>
              </w:rPr>
            </w:pPr>
            <w:r>
              <w:rPr>
                <w:rFonts w:ascii="IBM Plex Sans" w:hAnsi="IBM Plex Sans"/>
                <w:sz w:val="20"/>
                <w:szCs w:val="20"/>
              </w:rPr>
              <w:t>Bromme</w:t>
            </w:r>
          </w:p>
        </w:tc>
        <w:tc>
          <w:tcPr>
            <w:tcW w:w="1074" w:type="dxa"/>
          </w:tcPr>
          <w:p w14:paraId="39256BDB" w14:textId="75BA3618" w:rsidR="00394ED0" w:rsidRDefault="00394ED0" w:rsidP="0044340F">
            <w:pPr>
              <w:jc w:val="center"/>
              <w:rPr>
                <w:rFonts w:ascii="IBM Plex Sans" w:hAnsi="IBM Plex Sans"/>
                <w:sz w:val="20"/>
                <w:szCs w:val="20"/>
              </w:rPr>
            </w:pPr>
            <w:r>
              <w:rPr>
                <w:rFonts w:ascii="IBM Plex Sans" w:hAnsi="IBM Plex Sans"/>
                <w:sz w:val="20"/>
                <w:szCs w:val="20"/>
              </w:rPr>
              <w:t>253</w:t>
            </w:r>
          </w:p>
        </w:tc>
        <w:tc>
          <w:tcPr>
            <w:tcW w:w="1080" w:type="dxa"/>
          </w:tcPr>
          <w:p w14:paraId="6BA778CA" w14:textId="740FFD9B" w:rsidR="00394ED0" w:rsidRDefault="00394ED0" w:rsidP="0044340F">
            <w:pPr>
              <w:jc w:val="center"/>
              <w:rPr>
                <w:rFonts w:ascii="IBM Plex Sans" w:hAnsi="IBM Plex Sans"/>
                <w:sz w:val="20"/>
                <w:szCs w:val="20"/>
              </w:rPr>
            </w:pPr>
            <w:r>
              <w:rPr>
                <w:rFonts w:ascii="IBM Plex Sans" w:hAnsi="IBM Plex Sans"/>
                <w:sz w:val="20"/>
                <w:szCs w:val="20"/>
              </w:rPr>
              <w:t>50</w:t>
            </w:r>
          </w:p>
        </w:tc>
        <w:tc>
          <w:tcPr>
            <w:tcW w:w="1080" w:type="dxa"/>
          </w:tcPr>
          <w:p w14:paraId="12D1BB1F" w14:textId="404DD136" w:rsidR="00394ED0" w:rsidRDefault="00394ED0" w:rsidP="0044340F">
            <w:pPr>
              <w:jc w:val="center"/>
              <w:rPr>
                <w:rFonts w:ascii="IBM Plex Sans" w:hAnsi="IBM Plex Sans"/>
                <w:sz w:val="20"/>
                <w:szCs w:val="20"/>
              </w:rPr>
            </w:pPr>
            <w:r>
              <w:rPr>
                <w:rFonts w:ascii="IBM Plex Sans" w:hAnsi="IBM Plex Sans"/>
                <w:sz w:val="20"/>
                <w:szCs w:val="20"/>
              </w:rPr>
              <w:t>49</w:t>
            </w:r>
          </w:p>
        </w:tc>
        <w:tc>
          <w:tcPr>
            <w:tcW w:w="1080" w:type="dxa"/>
          </w:tcPr>
          <w:p w14:paraId="130450BB" w14:textId="77777777" w:rsidR="00394ED0" w:rsidRDefault="00394ED0" w:rsidP="0044340F">
            <w:pPr>
              <w:jc w:val="center"/>
              <w:rPr>
                <w:rFonts w:ascii="IBM Plex Sans" w:hAnsi="IBM Plex Sans"/>
                <w:sz w:val="20"/>
                <w:szCs w:val="20"/>
              </w:rPr>
            </w:pPr>
          </w:p>
        </w:tc>
      </w:tr>
      <w:tr w:rsidR="00394ED0" w14:paraId="0E4671AF" w14:textId="77777777" w:rsidTr="0044340F">
        <w:trPr>
          <w:jc w:val="center"/>
        </w:trPr>
        <w:tc>
          <w:tcPr>
            <w:tcW w:w="2650" w:type="dxa"/>
          </w:tcPr>
          <w:p w14:paraId="552C0C26" w14:textId="7DA73C62" w:rsidR="00394ED0" w:rsidRDefault="00394ED0" w:rsidP="0044340F">
            <w:pPr>
              <w:jc w:val="both"/>
              <w:rPr>
                <w:rFonts w:ascii="IBM Plex Sans" w:hAnsi="IBM Plex Sans"/>
                <w:sz w:val="20"/>
                <w:szCs w:val="20"/>
              </w:rPr>
            </w:pPr>
            <w:r>
              <w:rPr>
                <w:rFonts w:ascii="IBM Plex Sans" w:hAnsi="IBM Plex Sans"/>
                <w:sz w:val="20"/>
                <w:szCs w:val="20"/>
              </w:rPr>
              <w:t>Federmesser</w:t>
            </w:r>
          </w:p>
        </w:tc>
        <w:tc>
          <w:tcPr>
            <w:tcW w:w="1074" w:type="dxa"/>
          </w:tcPr>
          <w:p w14:paraId="15DAE2A0" w14:textId="320442A7" w:rsidR="00394ED0" w:rsidRDefault="00394ED0" w:rsidP="0044340F">
            <w:pPr>
              <w:jc w:val="center"/>
              <w:rPr>
                <w:rFonts w:ascii="IBM Plex Sans" w:hAnsi="IBM Plex Sans"/>
                <w:sz w:val="20"/>
                <w:szCs w:val="20"/>
              </w:rPr>
            </w:pPr>
            <w:r>
              <w:rPr>
                <w:rFonts w:ascii="IBM Plex Sans" w:hAnsi="IBM Plex Sans"/>
                <w:sz w:val="20"/>
                <w:szCs w:val="20"/>
              </w:rPr>
              <w:t>107</w:t>
            </w:r>
          </w:p>
        </w:tc>
        <w:tc>
          <w:tcPr>
            <w:tcW w:w="1080" w:type="dxa"/>
          </w:tcPr>
          <w:p w14:paraId="0934DF48" w14:textId="0A3EDEB3" w:rsidR="00394ED0" w:rsidRDefault="00394ED0" w:rsidP="0044340F">
            <w:pPr>
              <w:jc w:val="center"/>
              <w:rPr>
                <w:rFonts w:ascii="IBM Plex Sans" w:hAnsi="IBM Plex Sans"/>
                <w:sz w:val="20"/>
                <w:szCs w:val="20"/>
              </w:rPr>
            </w:pPr>
            <w:r>
              <w:rPr>
                <w:rFonts w:ascii="IBM Plex Sans" w:hAnsi="IBM Plex Sans"/>
                <w:sz w:val="20"/>
                <w:szCs w:val="20"/>
              </w:rPr>
              <w:t>11</w:t>
            </w:r>
          </w:p>
        </w:tc>
        <w:tc>
          <w:tcPr>
            <w:tcW w:w="1080" w:type="dxa"/>
          </w:tcPr>
          <w:p w14:paraId="4C6687C0" w14:textId="69E682B4" w:rsidR="00394ED0" w:rsidRDefault="00394ED0" w:rsidP="0044340F">
            <w:pPr>
              <w:jc w:val="center"/>
              <w:rPr>
                <w:rFonts w:ascii="IBM Plex Sans" w:hAnsi="IBM Plex Sans"/>
                <w:sz w:val="20"/>
                <w:szCs w:val="20"/>
              </w:rPr>
            </w:pPr>
            <w:r>
              <w:rPr>
                <w:rFonts w:ascii="IBM Plex Sans" w:hAnsi="IBM Plex Sans"/>
                <w:sz w:val="20"/>
                <w:szCs w:val="20"/>
              </w:rPr>
              <w:t>10</w:t>
            </w:r>
          </w:p>
        </w:tc>
        <w:tc>
          <w:tcPr>
            <w:tcW w:w="1080" w:type="dxa"/>
          </w:tcPr>
          <w:p w14:paraId="1472AC3E" w14:textId="37590B4D" w:rsidR="00394ED0" w:rsidRDefault="00394ED0" w:rsidP="0044340F">
            <w:pPr>
              <w:jc w:val="center"/>
              <w:rPr>
                <w:rFonts w:ascii="IBM Plex Sans" w:hAnsi="IBM Plex Sans"/>
                <w:sz w:val="20"/>
                <w:szCs w:val="20"/>
              </w:rPr>
            </w:pPr>
            <w:r>
              <w:rPr>
                <w:rFonts w:ascii="IBM Plex Sans" w:hAnsi="IBM Plex Sans"/>
                <w:sz w:val="20"/>
                <w:szCs w:val="20"/>
              </w:rPr>
              <w:t>30</w:t>
            </w:r>
          </w:p>
        </w:tc>
      </w:tr>
      <w:tr w:rsidR="00394ED0" w14:paraId="57D5A11A" w14:textId="77777777" w:rsidTr="0044340F">
        <w:trPr>
          <w:jc w:val="center"/>
        </w:trPr>
        <w:tc>
          <w:tcPr>
            <w:tcW w:w="2650" w:type="dxa"/>
          </w:tcPr>
          <w:p w14:paraId="3F841207" w14:textId="5EC7CF68" w:rsidR="00394ED0" w:rsidRDefault="00394ED0" w:rsidP="00394ED0">
            <w:pPr>
              <w:jc w:val="both"/>
              <w:rPr>
                <w:rFonts w:ascii="IBM Plex Sans" w:hAnsi="IBM Plex Sans"/>
                <w:sz w:val="20"/>
                <w:szCs w:val="20"/>
              </w:rPr>
            </w:pPr>
            <w:r w:rsidRPr="00E00B6E">
              <w:rPr>
                <w:rFonts w:ascii="IBM Plex Sans" w:hAnsi="IBM Plex Sans"/>
                <w:sz w:val="20"/>
                <w:szCs w:val="20"/>
              </w:rPr>
              <w:t>Bienenbüttel</w:t>
            </w:r>
            <w:r>
              <w:rPr>
                <w:rFonts w:ascii="IBM Plex Sans" w:hAnsi="IBM Plex Sans"/>
                <w:sz w:val="20"/>
                <w:szCs w:val="20"/>
              </w:rPr>
              <w:t xml:space="preserve"> </w:t>
            </w:r>
            <w:proofErr w:type="spellStart"/>
            <w:r>
              <w:rPr>
                <w:rFonts w:ascii="IBM Plex Sans" w:hAnsi="IBM Plex Sans"/>
                <w:sz w:val="20"/>
                <w:szCs w:val="20"/>
              </w:rPr>
              <w:t>FStNr</w:t>
            </w:r>
            <w:proofErr w:type="spellEnd"/>
            <w:r>
              <w:rPr>
                <w:rFonts w:ascii="IBM Plex Sans" w:hAnsi="IBM Plex Sans"/>
                <w:sz w:val="20"/>
                <w:szCs w:val="20"/>
              </w:rPr>
              <w:t>. 15</w:t>
            </w:r>
          </w:p>
        </w:tc>
        <w:tc>
          <w:tcPr>
            <w:tcW w:w="1074" w:type="dxa"/>
          </w:tcPr>
          <w:p w14:paraId="48B46D03" w14:textId="3C4360C8" w:rsidR="00394ED0" w:rsidRDefault="00394ED0" w:rsidP="00394ED0">
            <w:pPr>
              <w:jc w:val="center"/>
              <w:rPr>
                <w:rFonts w:ascii="IBM Plex Sans" w:hAnsi="IBM Plex Sans"/>
                <w:sz w:val="20"/>
                <w:szCs w:val="20"/>
              </w:rPr>
            </w:pPr>
            <w:r>
              <w:rPr>
                <w:rFonts w:ascii="IBM Plex Sans" w:hAnsi="IBM Plex Sans"/>
                <w:sz w:val="20"/>
                <w:szCs w:val="20"/>
              </w:rPr>
              <w:t>15</w:t>
            </w:r>
          </w:p>
        </w:tc>
        <w:tc>
          <w:tcPr>
            <w:tcW w:w="1080" w:type="dxa"/>
          </w:tcPr>
          <w:p w14:paraId="4CC6D718" w14:textId="28F23FC3" w:rsidR="00394ED0" w:rsidRDefault="00394ED0" w:rsidP="00394ED0">
            <w:pPr>
              <w:jc w:val="center"/>
              <w:rPr>
                <w:rFonts w:ascii="IBM Plex Sans" w:hAnsi="IBM Plex Sans"/>
                <w:sz w:val="20"/>
                <w:szCs w:val="20"/>
              </w:rPr>
            </w:pPr>
            <w:r>
              <w:rPr>
                <w:rFonts w:ascii="IBM Plex Sans" w:hAnsi="IBM Plex Sans"/>
                <w:sz w:val="20"/>
                <w:szCs w:val="20"/>
              </w:rPr>
              <w:t>1</w:t>
            </w:r>
          </w:p>
        </w:tc>
        <w:tc>
          <w:tcPr>
            <w:tcW w:w="1080" w:type="dxa"/>
          </w:tcPr>
          <w:p w14:paraId="033686BE" w14:textId="4B3126EE" w:rsidR="00394ED0" w:rsidRDefault="00394ED0" w:rsidP="00394ED0">
            <w:pPr>
              <w:jc w:val="center"/>
              <w:rPr>
                <w:rFonts w:ascii="IBM Plex Sans" w:hAnsi="IBM Plex Sans"/>
                <w:sz w:val="20"/>
                <w:szCs w:val="20"/>
              </w:rPr>
            </w:pPr>
            <w:r>
              <w:rPr>
                <w:rFonts w:ascii="IBM Plex Sans" w:hAnsi="IBM Plex Sans"/>
                <w:sz w:val="20"/>
                <w:szCs w:val="20"/>
              </w:rPr>
              <w:t>5</w:t>
            </w:r>
          </w:p>
        </w:tc>
        <w:tc>
          <w:tcPr>
            <w:tcW w:w="1080" w:type="dxa"/>
          </w:tcPr>
          <w:p w14:paraId="5DDBE463" w14:textId="685A11C6" w:rsidR="00394ED0" w:rsidRDefault="00394ED0" w:rsidP="00394ED0">
            <w:pPr>
              <w:jc w:val="center"/>
              <w:rPr>
                <w:rFonts w:ascii="IBM Plex Sans" w:hAnsi="IBM Plex Sans"/>
                <w:sz w:val="20"/>
                <w:szCs w:val="20"/>
              </w:rPr>
            </w:pPr>
          </w:p>
        </w:tc>
      </w:tr>
      <w:tr w:rsidR="00394ED0" w14:paraId="2C20DFE8" w14:textId="77777777" w:rsidTr="0044340F">
        <w:trPr>
          <w:jc w:val="center"/>
        </w:trPr>
        <w:tc>
          <w:tcPr>
            <w:tcW w:w="2650" w:type="dxa"/>
          </w:tcPr>
          <w:p w14:paraId="39924BF2" w14:textId="139A441B" w:rsidR="00394ED0" w:rsidRDefault="00394ED0" w:rsidP="00394ED0">
            <w:pPr>
              <w:jc w:val="both"/>
              <w:rPr>
                <w:rFonts w:ascii="IBM Plex Sans" w:hAnsi="IBM Plex Sans"/>
                <w:sz w:val="20"/>
                <w:szCs w:val="20"/>
              </w:rPr>
            </w:pPr>
            <w:r w:rsidRPr="00E00B6E">
              <w:rPr>
                <w:rFonts w:ascii="IBM Plex Sans" w:hAnsi="IBM Plex Sans"/>
                <w:sz w:val="20"/>
                <w:szCs w:val="20"/>
              </w:rPr>
              <w:t>Häcklingen</w:t>
            </w:r>
            <w:r>
              <w:rPr>
                <w:rFonts w:ascii="IBM Plex Sans" w:hAnsi="IBM Plex Sans"/>
                <w:sz w:val="20"/>
                <w:szCs w:val="20"/>
              </w:rPr>
              <w:t xml:space="preserve"> </w:t>
            </w:r>
            <w:proofErr w:type="spellStart"/>
            <w:r>
              <w:rPr>
                <w:rFonts w:ascii="IBM Plex Sans" w:hAnsi="IBM Plex Sans"/>
                <w:sz w:val="20"/>
                <w:szCs w:val="20"/>
              </w:rPr>
              <w:t>FStNr</w:t>
            </w:r>
            <w:proofErr w:type="spellEnd"/>
            <w:r>
              <w:rPr>
                <w:rFonts w:ascii="IBM Plex Sans" w:hAnsi="IBM Plex Sans"/>
                <w:sz w:val="20"/>
                <w:szCs w:val="20"/>
              </w:rPr>
              <w:t>. 19</w:t>
            </w:r>
          </w:p>
        </w:tc>
        <w:tc>
          <w:tcPr>
            <w:tcW w:w="1074" w:type="dxa"/>
          </w:tcPr>
          <w:p w14:paraId="3C78532A" w14:textId="0463FB05" w:rsidR="00394ED0" w:rsidRDefault="00394ED0" w:rsidP="00394ED0">
            <w:pPr>
              <w:jc w:val="center"/>
              <w:rPr>
                <w:rFonts w:ascii="IBM Plex Sans" w:hAnsi="IBM Plex Sans"/>
                <w:sz w:val="20"/>
                <w:szCs w:val="20"/>
              </w:rPr>
            </w:pPr>
            <w:r>
              <w:rPr>
                <w:rFonts w:ascii="IBM Plex Sans" w:hAnsi="IBM Plex Sans"/>
                <w:sz w:val="20"/>
                <w:szCs w:val="20"/>
              </w:rPr>
              <w:t>43</w:t>
            </w:r>
          </w:p>
        </w:tc>
        <w:tc>
          <w:tcPr>
            <w:tcW w:w="1080" w:type="dxa"/>
          </w:tcPr>
          <w:p w14:paraId="6F1B3A56" w14:textId="7084E14C" w:rsidR="00394ED0" w:rsidRDefault="00394ED0" w:rsidP="00394ED0">
            <w:pPr>
              <w:jc w:val="center"/>
              <w:rPr>
                <w:rFonts w:ascii="IBM Plex Sans" w:hAnsi="IBM Plex Sans"/>
                <w:sz w:val="20"/>
                <w:szCs w:val="20"/>
              </w:rPr>
            </w:pPr>
            <w:r>
              <w:rPr>
                <w:rFonts w:ascii="IBM Plex Sans" w:hAnsi="IBM Plex Sans"/>
                <w:sz w:val="20"/>
                <w:szCs w:val="20"/>
              </w:rPr>
              <w:t>8</w:t>
            </w:r>
          </w:p>
        </w:tc>
        <w:tc>
          <w:tcPr>
            <w:tcW w:w="1080" w:type="dxa"/>
          </w:tcPr>
          <w:p w14:paraId="0299EB68" w14:textId="37AF55BF" w:rsidR="00394ED0" w:rsidRDefault="00394ED0" w:rsidP="00394ED0">
            <w:pPr>
              <w:jc w:val="center"/>
              <w:rPr>
                <w:rFonts w:ascii="IBM Plex Sans" w:hAnsi="IBM Plex Sans"/>
                <w:sz w:val="20"/>
                <w:szCs w:val="20"/>
              </w:rPr>
            </w:pPr>
            <w:r>
              <w:rPr>
                <w:rFonts w:ascii="IBM Plex Sans" w:hAnsi="IBM Plex Sans"/>
                <w:sz w:val="20"/>
                <w:szCs w:val="20"/>
              </w:rPr>
              <w:t>9</w:t>
            </w:r>
          </w:p>
        </w:tc>
        <w:tc>
          <w:tcPr>
            <w:tcW w:w="1080" w:type="dxa"/>
          </w:tcPr>
          <w:p w14:paraId="65E8B97D" w14:textId="6E13686E" w:rsidR="00394ED0" w:rsidRDefault="00394ED0" w:rsidP="00394ED0">
            <w:pPr>
              <w:jc w:val="center"/>
              <w:rPr>
                <w:rFonts w:ascii="IBM Plex Sans" w:hAnsi="IBM Plex Sans"/>
                <w:sz w:val="20"/>
                <w:szCs w:val="20"/>
              </w:rPr>
            </w:pPr>
            <w:r>
              <w:rPr>
                <w:rFonts w:ascii="IBM Plex Sans" w:hAnsi="IBM Plex Sans"/>
                <w:sz w:val="20"/>
                <w:szCs w:val="20"/>
              </w:rPr>
              <w:t>7</w:t>
            </w:r>
          </w:p>
        </w:tc>
      </w:tr>
    </w:tbl>
    <w:p w14:paraId="3DB3C2D5" w14:textId="77777777" w:rsidR="00394ED0" w:rsidRDefault="00394ED0" w:rsidP="00394ED0">
      <w:pPr>
        <w:jc w:val="center"/>
        <w:rPr>
          <w:rFonts w:ascii="IBM Plex Sans" w:hAnsi="IBM Plex Sans"/>
          <w:sz w:val="20"/>
          <w:szCs w:val="20"/>
        </w:rPr>
      </w:pPr>
    </w:p>
    <w:p w14:paraId="5B1221CA" w14:textId="19293D93" w:rsidR="00394ED0" w:rsidRDefault="00394ED0" w:rsidP="00394ED0">
      <w:pPr>
        <w:jc w:val="center"/>
        <w:rPr>
          <w:rFonts w:ascii="IBM Plex Sans" w:hAnsi="IBM Plex Sans"/>
          <w:sz w:val="20"/>
          <w:szCs w:val="20"/>
        </w:rPr>
      </w:pPr>
      <w:r>
        <w:rPr>
          <w:rFonts w:ascii="IBM Plex Sans" w:hAnsi="IBM Plex Sans"/>
          <w:sz w:val="20"/>
          <w:szCs w:val="20"/>
        </w:rPr>
        <w:t xml:space="preserve">Table </w:t>
      </w:r>
      <w:r>
        <w:rPr>
          <w:rFonts w:ascii="IBM Plex Sans" w:hAnsi="IBM Plex Sans"/>
          <w:sz w:val="20"/>
          <w:szCs w:val="20"/>
        </w:rPr>
        <w:t>3</w:t>
      </w:r>
      <w:r>
        <w:rPr>
          <w:rFonts w:ascii="IBM Plex Sans" w:hAnsi="IBM Plex Sans"/>
          <w:sz w:val="20"/>
          <w:szCs w:val="20"/>
        </w:rPr>
        <w:t xml:space="preserve">. Artefact breakdown </w:t>
      </w:r>
      <w:r>
        <w:rPr>
          <w:rFonts w:ascii="IBM Plex Sans" w:hAnsi="IBM Plex Sans"/>
          <w:sz w:val="20"/>
          <w:szCs w:val="20"/>
        </w:rPr>
        <w:t xml:space="preserve">(grouped by taxonomic unit) </w:t>
      </w:r>
      <w:r>
        <w:rPr>
          <w:rFonts w:ascii="IBM Plex Sans" w:hAnsi="IBM Plex Sans"/>
          <w:sz w:val="20"/>
          <w:szCs w:val="20"/>
        </w:rPr>
        <w:t xml:space="preserve">of material examined in this article </w:t>
      </w:r>
      <w:r>
        <w:rPr>
          <w:rFonts w:ascii="IBM Plex Sans" w:hAnsi="IBM Plex Sans"/>
          <w:sz w:val="20"/>
          <w:szCs w:val="20"/>
        </w:rPr>
        <w:br/>
      </w:r>
      <w:r>
        <w:rPr>
          <w:rFonts w:ascii="IBM Plex Sans" w:hAnsi="IBM Plex Sans"/>
          <w:sz w:val="20"/>
          <w:szCs w:val="20"/>
        </w:rPr>
        <w:t>(total: 598 artefacts)</w:t>
      </w:r>
    </w:p>
    <w:p w14:paraId="3D39484A" w14:textId="5E2BE779" w:rsidR="00DC415F" w:rsidRDefault="00394ED0" w:rsidP="00394ED0">
      <w:pPr>
        <w:jc w:val="center"/>
        <w:rPr>
          <w:rFonts w:ascii="IBM Plex Sans" w:hAnsi="IBM Plex Sans"/>
          <w:sz w:val="20"/>
          <w:szCs w:val="20"/>
        </w:rPr>
      </w:pPr>
      <w:r>
        <w:rPr>
          <w:rFonts w:ascii="IBM Plex Sans" w:hAnsi="IBM Plex Sans"/>
          <w:sz w:val="20"/>
          <w:szCs w:val="20"/>
        </w:rPr>
        <w:t xml:space="preserve"> </w:t>
      </w:r>
    </w:p>
    <w:p w14:paraId="7D7CC7D7" w14:textId="0472B7A4" w:rsidR="003A3804" w:rsidRDefault="000A1D05" w:rsidP="000A1D05">
      <w:pPr>
        <w:jc w:val="both"/>
        <w:rPr>
          <w:rFonts w:ascii="IBM Plex Sans" w:hAnsi="IBM Plex Sans"/>
          <w:sz w:val="20"/>
          <w:szCs w:val="20"/>
        </w:rPr>
      </w:pPr>
      <w:r>
        <w:rPr>
          <w:rFonts w:ascii="IBM Plex Sans" w:hAnsi="IBM Plex Sans"/>
          <w:sz w:val="20"/>
          <w:szCs w:val="20"/>
        </w:rPr>
        <w:t xml:space="preserve">In understanding the underlying </w:t>
      </w:r>
      <w:proofErr w:type="spellStart"/>
      <w:r w:rsidRPr="00AC16D8">
        <w:rPr>
          <w:rFonts w:ascii="IBM Plex Sans" w:hAnsi="IBM Plex Sans"/>
          <w:i/>
          <w:sz w:val="20"/>
          <w:szCs w:val="20"/>
        </w:rPr>
        <w:t>chaînes</w:t>
      </w:r>
      <w:proofErr w:type="spellEnd"/>
      <w:r w:rsidRPr="00AC16D8">
        <w:rPr>
          <w:rFonts w:ascii="IBM Plex Sans" w:hAnsi="IBM Plex Sans"/>
          <w:i/>
          <w:sz w:val="20"/>
          <w:szCs w:val="20"/>
        </w:rPr>
        <w:t xml:space="preserve"> </w:t>
      </w:r>
      <w:proofErr w:type="spellStart"/>
      <w:r w:rsidRPr="00AC16D8">
        <w:rPr>
          <w:rFonts w:ascii="IBM Plex Sans" w:hAnsi="IBM Plex Sans"/>
          <w:i/>
          <w:sz w:val="20"/>
          <w:szCs w:val="20"/>
        </w:rPr>
        <w:t>opératoires</w:t>
      </w:r>
      <w:proofErr w:type="spellEnd"/>
      <w:r w:rsidRPr="00AC16D8">
        <w:rPr>
          <w:rFonts w:ascii="IBM Plex Sans" w:hAnsi="IBM Plex Sans"/>
          <w:sz w:val="20"/>
          <w:szCs w:val="20"/>
        </w:rPr>
        <w:t>, and in adopting a common terminology for identifying technological signatures and characteristics, attributes originate from the Nordic Blade Technology Network (Sørensen</w:t>
      </w:r>
      <w:r w:rsidRPr="00AC16D8" w:rsidDel="00597F2C">
        <w:rPr>
          <w:rFonts w:ascii="IBM Plex Sans" w:hAnsi="IBM Plex Sans"/>
          <w:sz w:val="20"/>
          <w:szCs w:val="20"/>
        </w:rPr>
        <w:t xml:space="preserve"> </w:t>
      </w:r>
      <w:r w:rsidRPr="00AC16D8">
        <w:rPr>
          <w:rFonts w:ascii="IBM Plex Sans" w:hAnsi="IBM Plex Sans"/>
          <w:sz w:val="20"/>
          <w:szCs w:val="20"/>
        </w:rPr>
        <w:t>2006). Minor amendments, and the extension of categories in a small number of instances were necessary to reflect Final Palaeolithic variability e.g. dorsal scar directionality. In our analysis, we seek to combine technological expertise with quantitative acumen. Our reasons to do so lie with the critiques of overly idiosyncratic technological analyses that do not lend themselves to comparison and replication (</w:t>
      </w:r>
      <w:proofErr w:type="spellStart"/>
      <w:r w:rsidRPr="00AC16D8">
        <w:rPr>
          <w:rFonts w:ascii="IBM Plex Sans" w:hAnsi="IBM Plex Sans"/>
          <w:sz w:val="20"/>
          <w:szCs w:val="20"/>
        </w:rPr>
        <w:t>Darmark</w:t>
      </w:r>
      <w:proofErr w:type="spellEnd"/>
      <w:r w:rsidRPr="00AC16D8">
        <w:rPr>
          <w:rFonts w:ascii="IBM Plex Sans" w:hAnsi="IBM Plex Sans"/>
          <w:sz w:val="20"/>
          <w:szCs w:val="20"/>
        </w:rPr>
        <w:t xml:space="preserve"> and </w:t>
      </w:r>
      <w:proofErr w:type="spellStart"/>
      <w:r w:rsidRPr="00AC16D8">
        <w:rPr>
          <w:rFonts w:ascii="IBM Plex Sans" w:hAnsi="IBM Plex Sans"/>
          <w:sz w:val="20"/>
          <w:szCs w:val="20"/>
        </w:rPr>
        <w:t>Apel</w:t>
      </w:r>
      <w:proofErr w:type="spellEnd"/>
      <w:r w:rsidRPr="00AC16D8">
        <w:rPr>
          <w:rFonts w:ascii="IBM Plex Sans" w:hAnsi="IBM Plex Sans"/>
          <w:sz w:val="20"/>
          <w:szCs w:val="20"/>
        </w:rPr>
        <w:t xml:space="preserve"> 2008).</w:t>
      </w:r>
      <w:r w:rsidR="00BB7D0E">
        <w:rPr>
          <w:rFonts w:ascii="IBM Plex Sans" w:hAnsi="IBM Plex Sans"/>
          <w:sz w:val="20"/>
          <w:szCs w:val="20"/>
        </w:rPr>
        <w:t xml:space="preserve"> A full list of technological and attributes can be found in the supplementary material.</w:t>
      </w:r>
    </w:p>
    <w:p w14:paraId="6948EB10" w14:textId="7979013F" w:rsidR="00BB7D0E" w:rsidRDefault="000A1D05" w:rsidP="000A1D05">
      <w:pPr>
        <w:jc w:val="both"/>
        <w:rPr>
          <w:rFonts w:ascii="IBM Plex Sans" w:hAnsi="IBM Plex Sans"/>
          <w:sz w:val="20"/>
          <w:szCs w:val="20"/>
        </w:rPr>
      </w:pPr>
      <w:r>
        <w:rPr>
          <w:rFonts w:ascii="IBM Plex Sans" w:hAnsi="IBM Plex Sans"/>
          <w:sz w:val="20"/>
          <w:szCs w:val="20"/>
        </w:rPr>
        <w:t xml:space="preserve">First, </w:t>
      </w:r>
      <w:proofErr w:type="gramStart"/>
      <w:r>
        <w:rPr>
          <w:rFonts w:ascii="IBM Plex Sans" w:hAnsi="IBM Plex Sans"/>
          <w:sz w:val="20"/>
          <w:szCs w:val="20"/>
        </w:rPr>
        <w:t>technological</w:t>
      </w:r>
      <w:proofErr w:type="gramEnd"/>
      <w:r>
        <w:rPr>
          <w:rFonts w:ascii="IBM Plex Sans" w:hAnsi="IBM Plex Sans"/>
          <w:sz w:val="20"/>
          <w:szCs w:val="20"/>
        </w:rPr>
        <w:t xml:space="preserve"> and morphological characteristics are first examined through visual and descriptive summaries. Where appropriate, the distribution of continuous variables across assemblages were assessed using pairwise </w:t>
      </w:r>
      <w:r w:rsidR="00B54AC6">
        <w:rPr>
          <w:rFonts w:ascii="IBM Plex Sans" w:hAnsi="IBM Plex Sans"/>
          <w:sz w:val="20"/>
          <w:szCs w:val="20"/>
        </w:rPr>
        <w:t>Wilcoxon rank sum testing</w:t>
      </w:r>
      <w:r>
        <w:rPr>
          <w:rFonts w:ascii="IBM Plex Sans" w:hAnsi="IBM Plex Sans"/>
          <w:sz w:val="20"/>
          <w:szCs w:val="20"/>
        </w:rPr>
        <w:t xml:space="preserve"> </w:t>
      </w:r>
      <w:r w:rsidR="00B54AC6">
        <w:rPr>
          <w:rFonts w:ascii="IBM Plex Sans" w:hAnsi="IBM Plex Sans"/>
          <w:sz w:val="20"/>
          <w:szCs w:val="20"/>
        </w:rPr>
        <w:t xml:space="preserve">(Mann Whitney U) </w:t>
      </w:r>
      <w:r>
        <w:rPr>
          <w:rFonts w:ascii="IBM Plex Sans" w:hAnsi="IBM Plex Sans"/>
          <w:sz w:val="20"/>
          <w:szCs w:val="20"/>
        </w:rPr>
        <w:t xml:space="preserve">with Bonferroni-corrected p values. Gini-Simpson indices of qualitative measures were then employed to examine intra-assemblage variability, while </w:t>
      </w:r>
      <w:proofErr w:type="spellStart"/>
      <w:r>
        <w:rPr>
          <w:rFonts w:ascii="IBM Plex Sans" w:hAnsi="IBM Plex Sans"/>
          <w:sz w:val="20"/>
          <w:szCs w:val="20"/>
        </w:rPr>
        <w:t>Morisita</w:t>
      </w:r>
      <w:proofErr w:type="spellEnd"/>
      <w:r>
        <w:rPr>
          <w:rFonts w:ascii="IBM Plex Sans" w:hAnsi="IBM Plex Sans"/>
          <w:sz w:val="20"/>
          <w:szCs w:val="20"/>
        </w:rPr>
        <w:t xml:space="preserve">-Horn diversity indices were employed to better understand inter-assemblage dissimilarity. These indices have been of </w:t>
      </w:r>
      <w:proofErr w:type="gramStart"/>
      <w:r>
        <w:rPr>
          <w:rFonts w:ascii="IBM Plex Sans" w:hAnsi="IBM Plex Sans"/>
          <w:sz w:val="20"/>
          <w:szCs w:val="20"/>
        </w:rPr>
        <w:t>particular value</w:t>
      </w:r>
      <w:proofErr w:type="gramEnd"/>
      <w:r>
        <w:rPr>
          <w:rFonts w:ascii="IBM Plex Sans" w:hAnsi="IBM Plex Sans"/>
          <w:sz w:val="20"/>
          <w:szCs w:val="20"/>
        </w:rPr>
        <w:t xml:space="preserve"> to </w:t>
      </w:r>
      <w:r>
        <w:rPr>
          <w:rFonts w:ascii="IBM Plex Sans" w:hAnsi="IBM Plex Sans"/>
          <w:sz w:val="20"/>
          <w:szCs w:val="20"/>
        </w:rPr>
        <w:lastRenderedPageBreak/>
        <w:t xml:space="preserve">archaeologists, better understanding variation among qualitative technological attributes (Crema, 2014; </w:t>
      </w:r>
      <w:proofErr w:type="spellStart"/>
      <w:r>
        <w:rPr>
          <w:rFonts w:ascii="IBM Plex Sans" w:hAnsi="IBM Plex Sans"/>
          <w:sz w:val="20"/>
          <w:szCs w:val="20"/>
        </w:rPr>
        <w:t>Maiorano</w:t>
      </w:r>
      <w:proofErr w:type="spellEnd"/>
      <w:r>
        <w:rPr>
          <w:rFonts w:ascii="IBM Plex Sans" w:hAnsi="IBM Plex Sans"/>
          <w:sz w:val="20"/>
          <w:szCs w:val="20"/>
        </w:rPr>
        <w:t xml:space="preserve"> et al. 2020; </w:t>
      </w:r>
      <w:proofErr w:type="spellStart"/>
      <w:r>
        <w:rPr>
          <w:rFonts w:ascii="IBM Plex Sans" w:hAnsi="IBM Plex Sans"/>
          <w:sz w:val="20"/>
          <w:szCs w:val="20"/>
        </w:rPr>
        <w:t>Leplongeon</w:t>
      </w:r>
      <w:proofErr w:type="spellEnd"/>
      <w:r>
        <w:rPr>
          <w:rFonts w:ascii="IBM Plex Sans" w:hAnsi="IBM Plex Sans"/>
          <w:sz w:val="20"/>
          <w:szCs w:val="20"/>
        </w:rPr>
        <w:t xml:space="preserve"> et al. 2020). </w:t>
      </w:r>
    </w:p>
    <w:p w14:paraId="51B3D77F" w14:textId="25809971" w:rsidR="00BB7D0E" w:rsidRDefault="000A1D05" w:rsidP="000A1D05">
      <w:pPr>
        <w:jc w:val="both"/>
        <w:rPr>
          <w:rFonts w:ascii="IBM Plex Sans" w:hAnsi="IBM Plex Sans"/>
          <w:sz w:val="20"/>
          <w:szCs w:val="20"/>
        </w:rPr>
      </w:pPr>
      <w:r>
        <w:rPr>
          <w:rFonts w:ascii="IBM Plex Sans" w:hAnsi="IBM Plex Sans"/>
          <w:sz w:val="20"/>
          <w:szCs w:val="20"/>
        </w:rPr>
        <w:t>To better detect and understand the underlying structure in the technological characteristics within a low-dimensional Euclidean space, Multiple Correspondence Analysis (MCA henceforth) was employed.</w:t>
      </w:r>
      <w:r w:rsidR="00BB7D0E">
        <w:rPr>
          <w:rFonts w:ascii="IBM Plex Sans" w:hAnsi="IBM Plex Sans"/>
          <w:sz w:val="20"/>
          <w:szCs w:val="20"/>
        </w:rPr>
        <w:t xml:space="preserve"> MCA is an unsupervised multivariable procedure for analysing non-linear interactions between several categorical variables </w:t>
      </w:r>
      <w:r w:rsidR="00BB7D0E">
        <w:rPr>
          <w:rFonts w:ascii="IBM Plex Sans" w:hAnsi="IBM Plex Sans"/>
          <w:sz w:val="20"/>
          <w:szCs w:val="20"/>
        </w:rPr>
        <w:t xml:space="preserve">(Abdi and Valentin, 2007). Used widely among archaeologists (Ringrose, 1992; </w:t>
      </w:r>
      <w:proofErr w:type="spellStart"/>
      <w:r w:rsidR="00BB7D0E">
        <w:rPr>
          <w:rFonts w:ascii="IBM Plex Sans" w:hAnsi="IBM Plex Sans"/>
          <w:sz w:val="20"/>
          <w:szCs w:val="20"/>
        </w:rPr>
        <w:t>Macheridis</w:t>
      </w:r>
      <w:proofErr w:type="spellEnd"/>
      <w:r w:rsidR="00BB7D0E">
        <w:rPr>
          <w:rFonts w:ascii="IBM Plex Sans" w:hAnsi="IBM Plex Sans"/>
          <w:sz w:val="20"/>
          <w:szCs w:val="20"/>
        </w:rPr>
        <w:t xml:space="preserve">, 2017; </w:t>
      </w:r>
      <w:proofErr w:type="spellStart"/>
      <w:r w:rsidR="00BB7D0E">
        <w:rPr>
          <w:rFonts w:ascii="IBM Plex Sans" w:hAnsi="IBM Plex Sans"/>
          <w:sz w:val="20"/>
          <w:szCs w:val="20"/>
        </w:rPr>
        <w:t>Asouti</w:t>
      </w:r>
      <w:proofErr w:type="spellEnd"/>
      <w:r w:rsidR="00BB7D0E">
        <w:rPr>
          <w:rFonts w:ascii="IBM Plex Sans" w:hAnsi="IBM Plex Sans"/>
          <w:sz w:val="20"/>
          <w:szCs w:val="20"/>
        </w:rPr>
        <w:t xml:space="preserve"> et al. 2018; </w:t>
      </w:r>
      <w:proofErr w:type="spellStart"/>
      <w:r w:rsidR="00BB7D0E">
        <w:rPr>
          <w:rFonts w:ascii="IBM Plex Sans" w:hAnsi="IBM Plex Sans"/>
          <w:sz w:val="20"/>
          <w:szCs w:val="20"/>
        </w:rPr>
        <w:t>Leplongeon</w:t>
      </w:r>
      <w:proofErr w:type="spellEnd"/>
      <w:r w:rsidR="00BB7D0E">
        <w:rPr>
          <w:rFonts w:ascii="IBM Plex Sans" w:hAnsi="IBM Plex Sans"/>
          <w:sz w:val="20"/>
          <w:szCs w:val="20"/>
        </w:rPr>
        <w:t xml:space="preserve">, 2020), MCA is an extension of correspondence analysis (CA) and can be viewed as a generalisation of principal component analysis (PCA) for categorical and dichotomous data. In being a dimensionality reduction strategy, MCA is designed to produce new synthetic dimensions comprising of different contributions from each variable, while being maximally informative. </w:t>
      </w:r>
      <w:proofErr w:type="gramStart"/>
      <w:r w:rsidR="00BB7D0E">
        <w:rPr>
          <w:rFonts w:ascii="IBM Plex Sans" w:hAnsi="IBM Plex Sans"/>
          <w:sz w:val="20"/>
          <w:szCs w:val="20"/>
        </w:rPr>
        <w:t>Similarly</w:t>
      </w:r>
      <w:proofErr w:type="gramEnd"/>
      <w:r w:rsidR="00BB7D0E">
        <w:rPr>
          <w:rFonts w:ascii="IBM Plex Sans" w:hAnsi="IBM Plex Sans"/>
          <w:sz w:val="20"/>
          <w:szCs w:val="20"/>
        </w:rPr>
        <w:t xml:space="preserve"> to CA, proximities (distances) are meaningful only between points from the same dataset (i.e. rows with rows and columns with columns). However, in its ability to explore the relationship between </w:t>
      </w:r>
      <w:proofErr w:type="gramStart"/>
      <w:r w:rsidR="00BB7D0E">
        <w:rPr>
          <w:rFonts w:ascii="IBM Plex Sans" w:hAnsi="IBM Plex Sans"/>
          <w:sz w:val="20"/>
          <w:szCs w:val="20"/>
        </w:rPr>
        <w:t>a large number of</w:t>
      </w:r>
      <w:proofErr w:type="gramEnd"/>
      <w:r w:rsidR="00BB7D0E">
        <w:rPr>
          <w:rFonts w:ascii="IBM Plex Sans" w:hAnsi="IBM Plex Sans"/>
          <w:sz w:val="20"/>
          <w:szCs w:val="20"/>
        </w:rPr>
        <w:t xml:space="preserve"> variables, MCA is of greater benefit here. As noted by Abdi and Valentin (2007), equivalent methodologies include optimal scaling, appropriate scoring, dual scaling, homogeneity analysis and scalogram analysis.</w:t>
      </w:r>
    </w:p>
    <w:p w14:paraId="518B379A" w14:textId="3DBC808F" w:rsidR="00A90EDB" w:rsidRDefault="00A90EDB" w:rsidP="000A1D05">
      <w:pPr>
        <w:jc w:val="both"/>
        <w:rPr>
          <w:rFonts w:ascii="IBM Plex Sans" w:hAnsi="IBM Plex Sans"/>
          <w:sz w:val="20"/>
          <w:szCs w:val="20"/>
        </w:rPr>
      </w:pPr>
      <w:r>
        <w:rPr>
          <w:rFonts w:ascii="IBM Plex Sans" w:hAnsi="IBM Plex Sans"/>
          <w:sz w:val="20"/>
          <w:szCs w:val="20"/>
        </w:rPr>
        <w:t xml:space="preserve">To better understand the underlying structure of variation for all quantitative (morphometric) </w:t>
      </w:r>
      <w:r w:rsidR="00DA0E4C">
        <w:rPr>
          <w:rFonts w:ascii="IBM Plex Sans" w:hAnsi="IBM Plex Sans"/>
          <w:sz w:val="20"/>
          <w:szCs w:val="20"/>
        </w:rPr>
        <w:t>data Principal</w:t>
      </w:r>
      <w:r>
        <w:rPr>
          <w:rFonts w:ascii="IBM Plex Sans" w:hAnsi="IBM Plex Sans"/>
          <w:sz w:val="20"/>
          <w:szCs w:val="20"/>
        </w:rPr>
        <w:t xml:space="preserve"> Component Analysis (PCA henceforth) was adopted. PCA is another dimensionality reduction technique, akin to MCA for quantitative, and is often used for transforming a large set of variables (here measurements) into a small suite of variables which contain most of the information in the overall data. Finally, </w:t>
      </w:r>
      <w:proofErr w:type="spellStart"/>
      <w:r>
        <w:rPr>
          <w:rFonts w:ascii="IBM Plex Sans" w:hAnsi="IBM Plex Sans"/>
          <w:sz w:val="20"/>
          <w:szCs w:val="20"/>
        </w:rPr>
        <w:t>Prinicpal</w:t>
      </w:r>
      <w:proofErr w:type="spellEnd"/>
      <w:r>
        <w:rPr>
          <w:rFonts w:ascii="IBM Plex Sans" w:hAnsi="IBM Plex Sans"/>
          <w:sz w:val="20"/>
          <w:szCs w:val="20"/>
        </w:rPr>
        <w:t xml:space="preserve"> component scores, the measures representing the individual artefacts contained within the n-dimensional space of variation, are used to create an underlying a bottom-up (agglomerative)</w:t>
      </w:r>
      <w:r w:rsidR="00DC415F">
        <w:rPr>
          <w:rFonts w:ascii="IBM Plex Sans" w:hAnsi="IBM Plex Sans"/>
          <w:sz w:val="20"/>
          <w:szCs w:val="20"/>
        </w:rPr>
        <w:t xml:space="preserve"> phylogenetic tree through the </w:t>
      </w:r>
      <w:proofErr w:type="spellStart"/>
      <w:r w:rsidR="00DC415F">
        <w:rPr>
          <w:rFonts w:ascii="IBM Plex Sans" w:hAnsi="IBM Plex Sans"/>
          <w:sz w:val="20"/>
          <w:szCs w:val="20"/>
        </w:rPr>
        <w:t>neighbor</w:t>
      </w:r>
      <w:proofErr w:type="spellEnd"/>
      <w:r w:rsidR="00DC415F">
        <w:rPr>
          <w:rFonts w:ascii="IBM Plex Sans" w:hAnsi="IBM Plex Sans"/>
          <w:sz w:val="20"/>
          <w:szCs w:val="20"/>
        </w:rPr>
        <w:t>-joining (NJ) method (</w:t>
      </w:r>
      <w:r w:rsidR="00DC415F" w:rsidRPr="00DC415F">
        <w:rPr>
          <w:rFonts w:ascii="IBM Plex Sans" w:hAnsi="IBM Plex Sans"/>
          <w:i/>
          <w:iCs/>
          <w:sz w:val="20"/>
          <w:szCs w:val="20"/>
        </w:rPr>
        <w:t>sensu</w:t>
      </w:r>
      <w:r w:rsidR="00DC415F">
        <w:rPr>
          <w:rFonts w:ascii="IBM Plex Sans" w:hAnsi="IBM Plex Sans"/>
          <w:sz w:val="20"/>
          <w:szCs w:val="20"/>
        </w:rPr>
        <w:t xml:space="preserve"> Saitou and </w:t>
      </w:r>
      <w:proofErr w:type="spellStart"/>
      <w:r w:rsidR="00DC415F">
        <w:rPr>
          <w:rFonts w:ascii="IBM Plex Sans" w:hAnsi="IBM Plex Sans"/>
          <w:sz w:val="20"/>
          <w:szCs w:val="20"/>
        </w:rPr>
        <w:t>Nei</w:t>
      </w:r>
      <w:proofErr w:type="spellEnd"/>
      <w:r w:rsidR="00DC415F">
        <w:rPr>
          <w:rFonts w:ascii="IBM Plex Sans" w:hAnsi="IBM Plex Sans"/>
          <w:sz w:val="20"/>
          <w:szCs w:val="20"/>
        </w:rPr>
        <w:t xml:space="preserve"> 1987).</w:t>
      </w:r>
    </w:p>
    <w:p w14:paraId="2A00B6A3" w14:textId="72CCD214" w:rsidR="00846518" w:rsidRDefault="00BB7D0E" w:rsidP="000A1D05">
      <w:pPr>
        <w:jc w:val="both"/>
        <w:rPr>
          <w:rFonts w:ascii="IBM Plex Sans" w:hAnsi="IBM Plex Sans"/>
          <w:sz w:val="20"/>
          <w:szCs w:val="20"/>
        </w:rPr>
      </w:pPr>
      <w:r>
        <w:rPr>
          <w:rFonts w:ascii="IBM Plex Sans" w:hAnsi="IBM Plex Sans"/>
          <w:sz w:val="20"/>
          <w:szCs w:val="20"/>
        </w:rPr>
        <w:t>Visual and descriptive summaries, statistical testing</w:t>
      </w:r>
      <w:r w:rsidR="00A90EDB">
        <w:rPr>
          <w:rFonts w:ascii="IBM Plex Sans" w:hAnsi="IBM Plex Sans"/>
          <w:sz w:val="20"/>
          <w:szCs w:val="20"/>
        </w:rPr>
        <w:t>, index measures</w:t>
      </w:r>
      <w:r w:rsidR="00DC415F">
        <w:rPr>
          <w:rFonts w:ascii="IBM Plex Sans" w:hAnsi="IBM Plex Sans"/>
          <w:sz w:val="20"/>
          <w:szCs w:val="20"/>
        </w:rPr>
        <w:t xml:space="preserve">, ordination methods (PCA/MCA) and the NJ trees </w:t>
      </w:r>
      <w:r w:rsidR="00A90EDB">
        <w:rPr>
          <w:rFonts w:ascii="IBM Plex Sans" w:hAnsi="IBM Plex Sans"/>
          <w:sz w:val="20"/>
          <w:szCs w:val="20"/>
        </w:rPr>
        <w:t xml:space="preserve">were employed </w:t>
      </w:r>
      <w:r w:rsidR="00DC415F">
        <w:rPr>
          <w:rFonts w:ascii="IBM Plex Sans" w:hAnsi="IBM Plex Sans"/>
          <w:sz w:val="20"/>
          <w:szCs w:val="20"/>
        </w:rPr>
        <w:t>on</w:t>
      </w:r>
      <w:r w:rsidR="00A90EDB">
        <w:rPr>
          <w:rFonts w:ascii="IBM Plex Sans" w:hAnsi="IBM Plex Sans"/>
          <w:sz w:val="20"/>
          <w:szCs w:val="20"/>
        </w:rPr>
        <w:t xml:space="preserve"> the four different datasets: core data, blade data, backed point data and tanged point data</w:t>
      </w:r>
      <w:r w:rsidR="00846518">
        <w:rPr>
          <w:rFonts w:ascii="IBM Plex Sans" w:hAnsi="IBM Plex Sans"/>
          <w:sz w:val="20"/>
          <w:szCs w:val="20"/>
        </w:rPr>
        <w:t xml:space="preserve"> to better understanding underlying variation between each (largely undebatable) category of artefact, and discussed together towards the end of this article</w:t>
      </w:r>
      <w:r w:rsidR="00A90EDB">
        <w:rPr>
          <w:rFonts w:ascii="IBM Plex Sans" w:hAnsi="IBM Plex Sans"/>
          <w:sz w:val="20"/>
          <w:szCs w:val="20"/>
        </w:rPr>
        <w:t>.</w:t>
      </w:r>
      <w:r w:rsidR="00394ED0">
        <w:rPr>
          <w:rFonts w:ascii="IBM Plex Sans" w:hAnsi="IBM Plex Sans"/>
          <w:sz w:val="20"/>
          <w:szCs w:val="20"/>
        </w:rPr>
        <w:t xml:space="preserve"> </w:t>
      </w:r>
      <w:r w:rsidR="00846518">
        <w:rPr>
          <w:rFonts w:ascii="IBM Plex Sans" w:hAnsi="IBM Plex Sans"/>
          <w:sz w:val="20"/>
          <w:szCs w:val="20"/>
        </w:rPr>
        <w:t>While the sample sizes for several artefact categories are relatively low, given the fragility of Final Palaeolithic points and the generally low count of artefacts at each site, the holistic and pluralistic framework, examining a variety of artefact types through a variety of methodologies, is a credible means of understanding the relationship between ‘typologically awkward’ assemblages and the surrounding Final Palaeolithic.</w:t>
      </w:r>
    </w:p>
    <w:p w14:paraId="0DBCB9CD" w14:textId="3D8ABC61" w:rsidR="00BB7D0E" w:rsidRDefault="00394ED0" w:rsidP="000A1D05">
      <w:pPr>
        <w:jc w:val="both"/>
        <w:rPr>
          <w:rFonts w:ascii="IBM Plex Sans" w:hAnsi="IBM Plex Sans"/>
          <w:sz w:val="20"/>
          <w:szCs w:val="20"/>
        </w:rPr>
      </w:pPr>
      <w:r w:rsidRPr="00394ED0">
        <w:rPr>
          <w:rFonts w:ascii="IBM Plex Sans" w:hAnsi="IBM Plex Sans"/>
          <w:sz w:val="20"/>
          <w:szCs w:val="20"/>
        </w:rPr>
        <w:t xml:space="preserve">All ordination methods in this analysis were conducted using the </w:t>
      </w:r>
      <w:proofErr w:type="spellStart"/>
      <w:r w:rsidRPr="00394ED0">
        <w:rPr>
          <w:rFonts w:ascii="IBM Plex Sans" w:hAnsi="IBM Plex Sans"/>
          <w:sz w:val="20"/>
          <w:szCs w:val="20"/>
        </w:rPr>
        <w:t>FactoMiner</w:t>
      </w:r>
      <w:proofErr w:type="spellEnd"/>
      <w:r w:rsidRPr="00394ED0">
        <w:rPr>
          <w:rFonts w:ascii="IBM Plex Sans" w:hAnsi="IBM Plex Sans"/>
          <w:sz w:val="20"/>
          <w:szCs w:val="20"/>
        </w:rPr>
        <w:t xml:space="preserve"> (Le et al. 2008), </w:t>
      </w:r>
      <w:proofErr w:type="spellStart"/>
      <w:r w:rsidRPr="00394ED0">
        <w:rPr>
          <w:rFonts w:ascii="IBM Plex Sans" w:hAnsi="IBM Plex Sans"/>
          <w:sz w:val="20"/>
          <w:szCs w:val="20"/>
        </w:rPr>
        <w:t>factoextra</w:t>
      </w:r>
      <w:proofErr w:type="spellEnd"/>
      <w:r w:rsidRPr="00394ED0">
        <w:rPr>
          <w:rFonts w:ascii="IBM Plex Sans" w:hAnsi="IBM Plex Sans"/>
          <w:sz w:val="20"/>
          <w:szCs w:val="20"/>
        </w:rPr>
        <w:t xml:space="preserve"> (</w:t>
      </w:r>
      <w:proofErr w:type="spellStart"/>
      <w:r w:rsidRPr="00394ED0">
        <w:rPr>
          <w:rFonts w:ascii="IBM Plex Sans" w:hAnsi="IBM Plex Sans"/>
          <w:sz w:val="20"/>
          <w:szCs w:val="20"/>
        </w:rPr>
        <w:t>Kassambara</w:t>
      </w:r>
      <w:proofErr w:type="spellEnd"/>
      <w:r w:rsidRPr="00394ED0">
        <w:rPr>
          <w:rFonts w:ascii="IBM Plex Sans" w:hAnsi="IBM Plex Sans"/>
          <w:sz w:val="20"/>
          <w:szCs w:val="20"/>
        </w:rPr>
        <w:t xml:space="preserve"> and Mundt, 2020) and the </w:t>
      </w:r>
      <w:proofErr w:type="spellStart"/>
      <w:r w:rsidRPr="00394ED0">
        <w:rPr>
          <w:rFonts w:ascii="IBM Plex Sans" w:hAnsi="IBM Plex Sans"/>
          <w:sz w:val="20"/>
          <w:szCs w:val="20"/>
        </w:rPr>
        <w:t>tidymodels</w:t>
      </w:r>
      <w:proofErr w:type="spellEnd"/>
      <w:r w:rsidRPr="00394ED0">
        <w:rPr>
          <w:rFonts w:ascii="IBM Plex Sans" w:hAnsi="IBM Plex Sans"/>
          <w:sz w:val="20"/>
          <w:szCs w:val="20"/>
        </w:rPr>
        <w:t xml:space="preserve"> packages (Kuhn et al. 2020), while diversity measures were calculated using the diverse (Guevara et al. 2016) and vegan (</w:t>
      </w:r>
      <w:proofErr w:type="spellStart"/>
      <w:r w:rsidRPr="00394ED0">
        <w:rPr>
          <w:rFonts w:ascii="IBM Plex Sans" w:hAnsi="IBM Plex Sans"/>
          <w:sz w:val="20"/>
          <w:szCs w:val="20"/>
        </w:rPr>
        <w:t>Oksanan</w:t>
      </w:r>
      <w:proofErr w:type="spellEnd"/>
      <w:r w:rsidRPr="00394ED0">
        <w:rPr>
          <w:rFonts w:ascii="IBM Plex Sans" w:hAnsi="IBM Plex Sans"/>
          <w:sz w:val="20"/>
          <w:szCs w:val="20"/>
        </w:rPr>
        <w:t xml:space="preserve"> et al. 2020) packages</w:t>
      </w:r>
      <w:r>
        <w:rPr>
          <w:rFonts w:ascii="IBM Plex Sans" w:hAnsi="IBM Plex Sans"/>
          <w:sz w:val="20"/>
          <w:szCs w:val="20"/>
        </w:rPr>
        <w:t>, and NJ trees produced in ape (Paradis, 2004)</w:t>
      </w:r>
      <w:r w:rsidRPr="00394ED0">
        <w:rPr>
          <w:rFonts w:ascii="IBM Plex Sans" w:hAnsi="IBM Plex Sans"/>
          <w:sz w:val="20"/>
          <w:szCs w:val="20"/>
        </w:rPr>
        <w:t xml:space="preserve">. A number of other packages were used to aid data wrangling, transformation and visualising, including </w:t>
      </w:r>
      <w:proofErr w:type="spellStart"/>
      <w:r w:rsidRPr="00394ED0">
        <w:rPr>
          <w:rFonts w:ascii="IBM Plex Sans" w:hAnsi="IBM Plex Sans"/>
          <w:sz w:val="20"/>
          <w:szCs w:val="20"/>
        </w:rPr>
        <w:t>rio</w:t>
      </w:r>
      <w:proofErr w:type="spellEnd"/>
      <w:r w:rsidRPr="00394ED0">
        <w:rPr>
          <w:rFonts w:ascii="IBM Plex Sans" w:hAnsi="IBM Plex Sans"/>
          <w:sz w:val="20"/>
          <w:szCs w:val="20"/>
        </w:rPr>
        <w:t xml:space="preserve"> (Chan et al. 2018), </w:t>
      </w:r>
      <w:proofErr w:type="spellStart"/>
      <w:r w:rsidRPr="00394ED0">
        <w:rPr>
          <w:rFonts w:ascii="IBM Plex Sans" w:hAnsi="IBM Plex Sans"/>
          <w:sz w:val="20"/>
          <w:szCs w:val="20"/>
        </w:rPr>
        <w:t>tidyverse</w:t>
      </w:r>
      <w:proofErr w:type="spellEnd"/>
      <w:r w:rsidRPr="00394ED0">
        <w:rPr>
          <w:rFonts w:ascii="IBM Plex Sans" w:hAnsi="IBM Plex Sans"/>
          <w:sz w:val="20"/>
          <w:szCs w:val="20"/>
        </w:rPr>
        <w:t xml:space="preserve"> (Wickham et al. 2019), </w:t>
      </w:r>
      <w:proofErr w:type="spellStart"/>
      <w:r w:rsidRPr="00394ED0">
        <w:rPr>
          <w:rFonts w:ascii="IBM Plex Sans" w:hAnsi="IBM Plex Sans"/>
          <w:sz w:val="20"/>
          <w:szCs w:val="20"/>
        </w:rPr>
        <w:t>gt</w:t>
      </w:r>
      <w:proofErr w:type="spellEnd"/>
      <w:r w:rsidRPr="00394ED0">
        <w:rPr>
          <w:rFonts w:ascii="IBM Plex Sans" w:hAnsi="IBM Plex Sans"/>
          <w:sz w:val="20"/>
          <w:szCs w:val="20"/>
        </w:rPr>
        <w:t xml:space="preserve"> (Iannone et al. 2020), broom (Robinson et al. 2020), </w:t>
      </w:r>
      <w:proofErr w:type="spellStart"/>
      <w:r w:rsidRPr="00394ED0">
        <w:rPr>
          <w:rFonts w:ascii="IBM Plex Sans" w:hAnsi="IBM Plex Sans"/>
          <w:sz w:val="20"/>
          <w:szCs w:val="20"/>
        </w:rPr>
        <w:t>tidytext</w:t>
      </w:r>
      <w:proofErr w:type="spellEnd"/>
      <w:r w:rsidRPr="00394ED0">
        <w:rPr>
          <w:rFonts w:ascii="IBM Plex Sans" w:hAnsi="IBM Plex Sans"/>
          <w:sz w:val="20"/>
          <w:szCs w:val="20"/>
        </w:rPr>
        <w:t xml:space="preserve"> (</w:t>
      </w:r>
      <w:proofErr w:type="spellStart"/>
      <w:r w:rsidRPr="00394ED0">
        <w:rPr>
          <w:rFonts w:ascii="IBM Plex Sans" w:hAnsi="IBM Plex Sans"/>
          <w:sz w:val="20"/>
          <w:szCs w:val="20"/>
        </w:rPr>
        <w:t>Silge</w:t>
      </w:r>
      <w:proofErr w:type="spellEnd"/>
      <w:r w:rsidRPr="00394ED0">
        <w:rPr>
          <w:rFonts w:ascii="IBM Plex Sans" w:hAnsi="IBM Plex Sans"/>
          <w:sz w:val="20"/>
          <w:szCs w:val="20"/>
        </w:rPr>
        <w:t xml:space="preserve"> and Robinson, 2016) and </w:t>
      </w:r>
      <w:proofErr w:type="spellStart"/>
      <w:r w:rsidRPr="00394ED0">
        <w:rPr>
          <w:rFonts w:ascii="IBM Plex Sans" w:hAnsi="IBM Plex Sans"/>
          <w:sz w:val="20"/>
          <w:szCs w:val="20"/>
        </w:rPr>
        <w:t>doBy</w:t>
      </w:r>
      <w:proofErr w:type="spellEnd"/>
      <w:r w:rsidRPr="00394ED0">
        <w:rPr>
          <w:rFonts w:ascii="IBM Plex Sans" w:hAnsi="IBM Plex Sans"/>
          <w:sz w:val="20"/>
          <w:szCs w:val="20"/>
        </w:rPr>
        <w:t xml:space="preserve"> (</w:t>
      </w:r>
      <w:proofErr w:type="spellStart"/>
      <w:r w:rsidRPr="00394ED0">
        <w:rPr>
          <w:rFonts w:ascii="IBM Plex Sans" w:hAnsi="IBM Plex Sans"/>
          <w:sz w:val="20"/>
          <w:szCs w:val="20"/>
        </w:rPr>
        <w:t>Højsgaard</w:t>
      </w:r>
      <w:proofErr w:type="spellEnd"/>
      <w:r w:rsidRPr="00394ED0">
        <w:rPr>
          <w:rFonts w:ascii="IBM Plex Sans" w:hAnsi="IBM Plex Sans"/>
          <w:sz w:val="20"/>
          <w:szCs w:val="20"/>
        </w:rPr>
        <w:t xml:space="preserve"> and </w:t>
      </w:r>
      <w:proofErr w:type="spellStart"/>
      <w:r w:rsidRPr="00394ED0">
        <w:rPr>
          <w:rFonts w:ascii="IBM Plex Sans" w:hAnsi="IBM Plex Sans"/>
          <w:sz w:val="20"/>
          <w:szCs w:val="20"/>
        </w:rPr>
        <w:t>Halekoh</w:t>
      </w:r>
      <w:proofErr w:type="spellEnd"/>
      <w:r w:rsidRPr="00394ED0">
        <w:rPr>
          <w:rFonts w:ascii="IBM Plex Sans" w:hAnsi="IBM Plex Sans"/>
          <w:sz w:val="20"/>
          <w:szCs w:val="20"/>
        </w:rPr>
        <w:t xml:space="preserve">, 2020). </w:t>
      </w:r>
      <w:r w:rsidR="00180981">
        <w:rPr>
          <w:rFonts w:ascii="IBM Plex Sans" w:hAnsi="IBM Plex Sans"/>
          <w:sz w:val="20"/>
          <w:szCs w:val="20"/>
        </w:rPr>
        <w:t>In encouraging greater data transparency and method replicability and reproduction, a</w:t>
      </w:r>
      <w:r w:rsidRPr="00394ED0">
        <w:rPr>
          <w:rFonts w:ascii="IBM Plex Sans" w:hAnsi="IBM Plex Sans"/>
          <w:sz w:val="20"/>
          <w:szCs w:val="20"/>
        </w:rPr>
        <w:t>ll data, R code and supporting material (including figures</w:t>
      </w:r>
      <w:r w:rsidR="00846518">
        <w:rPr>
          <w:rFonts w:ascii="IBM Plex Sans" w:hAnsi="IBM Plex Sans"/>
          <w:sz w:val="20"/>
          <w:szCs w:val="20"/>
        </w:rPr>
        <w:t xml:space="preserve"> and technological classifications</w:t>
      </w:r>
      <w:r w:rsidRPr="00394ED0">
        <w:rPr>
          <w:rFonts w:ascii="IBM Plex Sans" w:hAnsi="IBM Plex Sans"/>
          <w:sz w:val="20"/>
          <w:szCs w:val="20"/>
        </w:rPr>
        <w:t xml:space="preserve">) </w:t>
      </w:r>
      <w:r w:rsidR="00180981">
        <w:rPr>
          <w:rFonts w:ascii="IBM Plex Sans" w:hAnsi="IBM Plex Sans"/>
          <w:sz w:val="20"/>
          <w:szCs w:val="20"/>
        </w:rPr>
        <w:t>used to create</w:t>
      </w:r>
      <w:r w:rsidRPr="00394ED0">
        <w:rPr>
          <w:rFonts w:ascii="IBM Plex Sans" w:hAnsi="IBM Plex Sans"/>
          <w:sz w:val="20"/>
          <w:szCs w:val="20"/>
        </w:rPr>
        <w:t xml:space="preserve"> this article can be found on the Open Science Framework (</w:t>
      </w:r>
      <w:hyperlink r:id="rId9" w:history="1">
        <w:r w:rsidR="00846518" w:rsidRPr="00061E1C">
          <w:rPr>
            <w:rStyle w:val="Hyperlink"/>
            <w:rFonts w:ascii="IBM Plex Sans" w:hAnsi="IBM Plex Sans"/>
            <w:sz w:val="20"/>
            <w:szCs w:val="20"/>
          </w:rPr>
          <w:t>https://osf.io/3h2rq/</w:t>
        </w:r>
      </w:hyperlink>
      <w:r w:rsidRPr="00394ED0">
        <w:rPr>
          <w:rFonts w:ascii="IBM Plex Sans" w:hAnsi="IBM Plex Sans"/>
          <w:sz w:val="20"/>
          <w:szCs w:val="20"/>
        </w:rPr>
        <w:t>)</w:t>
      </w:r>
      <w:r w:rsidR="00846518">
        <w:rPr>
          <w:rFonts w:ascii="IBM Plex Sans" w:hAnsi="IBM Plex Sans"/>
          <w:sz w:val="20"/>
          <w:szCs w:val="20"/>
        </w:rPr>
        <w:t>.</w:t>
      </w:r>
    </w:p>
    <w:p w14:paraId="0F7D6D09" w14:textId="65282EDF" w:rsidR="00B539B0" w:rsidRDefault="00B539B0" w:rsidP="000A1D05">
      <w:pPr>
        <w:jc w:val="both"/>
        <w:rPr>
          <w:rFonts w:ascii="IBM Plex Sans" w:hAnsi="IBM Plex Sans"/>
          <w:sz w:val="20"/>
          <w:szCs w:val="20"/>
        </w:rPr>
      </w:pPr>
    </w:p>
    <w:p w14:paraId="519B1B85" w14:textId="467B967B" w:rsidR="000267EC" w:rsidRDefault="000267EC" w:rsidP="000A1D05">
      <w:pPr>
        <w:jc w:val="both"/>
        <w:rPr>
          <w:rFonts w:ascii="IBM Plex Sans" w:hAnsi="IBM Plex Sans"/>
          <w:sz w:val="20"/>
          <w:szCs w:val="20"/>
        </w:rPr>
      </w:pPr>
    </w:p>
    <w:p w14:paraId="0E48CC5F" w14:textId="77777777" w:rsidR="000267EC" w:rsidRDefault="000267EC" w:rsidP="000A1D05">
      <w:pPr>
        <w:jc w:val="both"/>
        <w:rPr>
          <w:rFonts w:ascii="IBM Plex Sans" w:hAnsi="IBM Plex Sans"/>
          <w:sz w:val="20"/>
          <w:szCs w:val="20"/>
        </w:rPr>
      </w:pPr>
    </w:p>
    <w:p w14:paraId="19E5AEBC" w14:textId="5A8C2A53" w:rsidR="00B539B0" w:rsidRDefault="00B539B0" w:rsidP="000A1D05">
      <w:pPr>
        <w:jc w:val="both"/>
        <w:rPr>
          <w:rFonts w:ascii="IBM Plex Sans" w:hAnsi="IBM Plex Sans"/>
          <w:b/>
          <w:bCs/>
          <w:sz w:val="28"/>
          <w:szCs w:val="28"/>
        </w:rPr>
      </w:pPr>
      <w:r>
        <w:rPr>
          <w:rFonts w:ascii="IBM Plex Sans" w:hAnsi="IBM Plex Sans"/>
          <w:b/>
          <w:bCs/>
          <w:sz w:val="28"/>
          <w:szCs w:val="28"/>
        </w:rPr>
        <w:lastRenderedPageBreak/>
        <w:t>Analysis and Results</w:t>
      </w:r>
    </w:p>
    <w:p w14:paraId="4E40A7F0" w14:textId="2720C2BD" w:rsidR="00B539B0" w:rsidRDefault="00B539B0" w:rsidP="000A1D05">
      <w:pPr>
        <w:jc w:val="both"/>
        <w:rPr>
          <w:rFonts w:ascii="IBM Plex Sans" w:hAnsi="IBM Plex Sans"/>
          <w:b/>
          <w:bCs/>
          <w:sz w:val="20"/>
          <w:szCs w:val="20"/>
        </w:rPr>
      </w:pPr>
      <w:r w:rsidRPr="000267EC">
        <w:rPr>
          <w:rFonts w:ascii="IBM Plex Sans" w:hAnsi="IBM Plex Sans"/>
          <w:b/>
          <w:bCs/>
          <w:sz w:val="20"/>
          <w:szCs w:val="20"/>
        </w:rPr>
        <w:t>Blades</w:t>
      </w:r>
    </w:p>
    <w:p w14:paraId="2EDB872E" w14:textId="717E17BC" w:rsidR="005F0CC2" w:rsidRPr="005F0CC2" w:rsidRDefault="005F0CC2" w:rsidP="000A1D05">
      <w:pPr>
        <w:jc w:val="both"/>
        <w:rPr>
          <w:rFonts w:ascii="IBM Plex Sans" w:hAnsi="IBM Plex Sans"/>
          <w:sz w:val="20"/>
          <w:szCs w:val="20"/>
        </w:rPr>
      </w:pPr>
      <w:r>
        <w:rPr>
          <w:rFonts w:ascii="IBM Plex Sans" w:hAnsi="IBM Plex Sans"/>
          <w:sz w:val="20"/>
          <w:szCs w:val="20"/>
        </w:rPr>
        <w:t xml:space="preserve">An examination of morphometric variables highlights that, for contexts categorised as Bromme, blades are heavier, larger (in width, </w:t>
      </w:r>
      <w:proofErr w:type="gramStart"/>
      <w:r>
        <w:rPr>
          <w:rFonts w:ascii="IBM Plex Sans" w:hAnsi="IBM Plex Sans"/>
          <w:sz w:val="20"/>
          <w:szCs w:val="20"/>
        </w:rPr>
        <w:t>length</w:t>
      </w:r>
      <w:proofErr w:type="gramEnd"/>
      <w:r>
        <w:rPr>
          <w:rFonts w:ascii="IBM Plex Sans" w:hAnsi="IBM Plex Sans"/>
          <w:sz w:val="20"/>
          <w:szCs w:val="20"/>
        </w:rPr>
        <w:t xml:space="preserve"> and thickness) with large platform depths in comparison to contexts designated as Federmesser in nature. Generally, both </w:t>
      </w:r>
      <w:r w:rsidRPr="00E00B6E">
        <w:rPr>
          <w:rFonts w:ascii="IBM Plex Sans" w:hAnsi="IBM Plex Sans"/>
          <w:sz w:val="20"/>
          <w:szCs w:val="20"/>
        </w:rPr>
        <w:t>Häcklingen</w:t>
      </w:r>
      <w:r>
        <w:rPr>
          <w:rFonts w:ascii="IBM Plex Sans" w:hAnsi="IBM Plex Sans"/>
          <w:sz w:val="20"/>
          <w:szCs w:val="20"/>
        </w:rPr>
        <w:t xml:space="preserve"> and </w:t>
      </w:r>
      <w:r w:rsidRPr="00E00B6E">
        <w:rPr>
          <w:rFonts w:ascii="IBM Plex Sans" w:hAnsi="IBM Plex Sans"/>
          <w:sz w:val="20"/>
          <w:szCs w:val="20"/>
        </w:rPr>
        <w:t>Bienenbüttel</w:t>
      </w:r>
      <w:r>
        <w:rPr>
          <w:rFonts w:ascii="IBM Plex Sans" w:hAnsi="IBM Plex Sans"/>
          <w:sz w:val="20"/>
          <w:szCs w:val="20"/>
        </w:rPr>
        <w:t xml:space="preserve"> feature dimensions more akin to Federmesser contexts such as </w:t>
      </w:r>
      <w:proofErr w:type="spellStart"/>
      <w:r>
        <w:rPr>
          <w:rFonts w:ascii="IBM Plex Sans" w:hAnsi="IBM Plex Sans"/>
          <w:sz w:val="20"/>
          <w:szCs w:val="20"/>
        </w:rPr>
        <w:t>Rietberg</w:t>
      </w:r>
      <w:proofErr w:type="spellEnd"/>
      <w:r>
        <w:rPr>
          <w:rFonts w:ascii="IBM Plex Sans" w:hAnsi="IBM Plex Sans"/>
          <w:sz w:val="20"/>
          <w:szCs w:val="20"/>
        </w:rPr>
        <w:t xml:space="preserve"> and </w:t>
      </w:r>
      <w:proofErr w:type="spellStart"/>
      <w:r>
        <w:rPr>
          <w:rFonts w:ascii="IBM Plex Sans" w:hAnsi="IBM Plex Sans"/>
          <w:sz w:val="20"/>
          <w:szCs w:val="20"/>
        </w:rPr>
        <w:t>Rothenkirchen</w:t>
      </w:r>
      <w:proofErr w:type="spellEnd"/>
      <w:r>
        <w:rPr>
          <w:rFonts w:ascii="IBM Plex Sans" w:hAnsi="IBM Plex Sans"/>
          <w:sz w:val="20"/>
          <w:szCs w:val="20"/>
        </w:rPr>
        <w:t>, however the generally smaller material at Brummerhof</w:t>
      </w:r>
      <w:r w:rsidR="00B54AC6">
        <w:rPr>
          <w:rFonts w:ascii="IBM Plex Sans" w:hAnsi="IBM Plex Sans"/>
          <w:sz w:val="20"/>
          <w:szCs w:val="20"/>
        </w:rPr>
        <w:t xml:space="preserve">, and a lack of consensus in the Wilcoxon pairwise values (refer to the Supplementary Material) </w:t>
      </w:r>
      <w:r>
        <w:rPr>
          <w:rFonts w:ascii="IBM Plex Sans" w:hAnsi="IBM Plex Sans"/>
          <w:sz w:val="20"/>
          <w:szCs w:val="20"/>
        </w:rPr>
        <w:t xml:space="preserve">complicate this dichotomy. </w:t>
      </w:r>
    </w:p>
    <w:p w14:paraId="6E3C3DBD" w14:textId="12F28067" w:rsidR="000267EC" w:rsidRDefault="005F0CC2" w:rsidP="005F0CC2">
      <w:pPr>
        <w:jc w:val="center"/>
        <w:rPr>
          <w:rFonts w:ascii="IBM Plex Sans" w:hAnsi="IBM Plex Sans"/>
          <w:sz w:val="20"/>
          <w:szCs w:val="20"/>
        </w:rPr>
      </w:pPr>
      <w:r>
        <w:rPr>
          <w:rFonts w:ascii="IBM Plex Sans" w:hAnsi="IBM Plex Sans"/>
          <w:noProof/>
          <w:sz w:val="20"/>
          <w:szCs w:val="20"/>
        </w:rPr>
        <w:drawing>
          <wp:inline distT="0" distB="0" distL="0" distR="0" wp14:anchorId="7C34B2ED" wp14:editId="227D24F2">
            <wp:extent cx="5774893" cy="6538822"/>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7891" cy="6542217"/>
                    </a:xfrm>
                    <a:prstGeom prst="rect">
                      <a:avLst/>
                    </a:prstGeom>
                  </pic:spPr>
                </pic:pic>
              </a:graphicData>
            </a:graphic>
          </wp:inline>
        </w:drawing>
      </w:r>
    </w:p>
    <w:p w14:paraId="1299FC6F" w14:textId="77777777" w:rsidR="00DA0E4C" w:rsidRDefault="005F0CC2" w:rsidP="005F0CC2">
      <w:pPr>
        <w:jc w:val="center"/>
        <w:rPr>
          <w:rFonts w:ascii="IBM Plex Sans" w:hAnsi="IBM Plex Sans"/>
          <w:sz w:val="20"/>
          <w:szCs w:val="20"/>
        </w:rPr>
        <w:sectPr w:rsidR="00DA0E4C">
          <w:pgSz w:w="11906" w:h="16838"/>
          <w:pgMar w:top="1440" w:right="1440" w:bottom="1440" w:left="1440" w:header="708" w:footer="708" w:gutter="0"/>
          <w:cols w:space="708"/>
          <w:docGrid w:linePitch="360"/>
        </w:sectPr>
      </w:pPr>
      <w:r>
        <w:rPr>
          <w:rFonts w:ascii="IBM Plex Sans" w:hAnsi="IBM Plex Sans"/>
          <w:sz w:val="20"/>
          <w:szCs w:val="20"/>
        </w:rPr>
        <w:t xml:space="preserve">Figure 2. </w:t>
      </w:r>
      <w:r w:rsidR="00B54AC6">
        <w:rPr>
          <w:rFonts w:ascii="IBM Plex Sans" w:hAnsi="IBM Plex Sans"/>
          <w:sz w:val="20"/>
          <w:szCs w:val="20"/>
        </w:rPr>
        <w:t>B</w:t>
      </w:r>
      <w:r>
        <w:rPr>
          <w:rFonts w:ascii="IBM Plex Sans" w:hAnsi="IBM Plex Sans"/>
          <w:sz w:val="20"/>
          <w:szCs w:val="20"/>
        </w:rPr>
        <w:t>ox-and-whisker plots of quantitative variables</w:t>
      </w:r>
      <w:r>
        <w:rPr>
          <w:rFonts w:ascii="IBM Plex Sans" w:hAnsi="IBM Plex Sans"/>
          <w:sz w:val="20"/>
          <w:szCs w:val="20"/>
        </w:rPr>
        <w:br/>
        <w:t>(dark grey: Bromme; light grey: Federmesser)</w:t>
      </w:r>
    </w:p>
    <w:p w14:paraId="73DC3564" w14:textId="77777777" w:rsidR="00DA0E4C" w:rsidRDefault="00DA0E4C" w:rsidP="005F0CC2">
      <w:pPr>
        <w:jc w:val="center"/>
        <w:rPr>
          <w:rFonts w:ascii="IBM Plex Sans" w:hAnsi="IBM Plex Sans"/>
          <w:noProof/>
          <w:sz w:val="20"/>
          <w:szCs w:val="20"/>
        </w:rPr>
      </w:pPr>
      <w:r>
        <w:rPr>
          <w:rFonts w:ascii="IBM Plex Sans" w:hAnsi="IBM Plex Sans"/>
          <w:noProof/>
          <w:sz w:val="20"/>
          <w:szCs w:val="20"/>
        </w:rPr>
        <w:lastRenderedPageBreak/>
        <w:drawing>
          <wp:inline distT="0" distB="0" distL="0" distR="0" wp14:anchorId="6ADB661C" wp14:editId="3489C3FD">
            <wp:extent cx="8968772" cy="5252484"/>
            <wp:effectExtent l="0" t="0" r="3810" b="571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74481" cy="5255827"/>
                    </a:xfrm>
                    <a:prstGeom prst="rect">
                      <a:avLst/>
                    </a:prstGeom>
                  </pic:spPr>
                </pic:pic>
              </a:graphicData>
            </a:graphic>
          </wp:inline>
        </w:drawing>
      </w:r>
    </w:p>
    <w:p w14:paraId="2060E4BF" w14:textId="72C69A77" w:rsidR="00DA0E4C" w:rsidRPr="00DA0E4C" w:rsidRDefault="00DA0E4C" w:rsidP="00DA0E4C">
      <w:pPr>
        <w:jc w:val="center"/>
        <w:rPr>
          <w:rFonts w:ascii="IBM Plex Sans" w:hAnsi="IBM Plex Sans"/>
          <w:sz w:val="20"/>
          <w:szCs w:val="20"/>
        </w:rPr>
        <w:sectPr w:rsidR="00DA0E4C" w:rsidRPr="00DA0E4C" w:rsidSect="00DA0E4C">
          <w:pgSz w:w="16838" w:h="11906" w:orient="landscape"/>
          <w:pgMar w:top="1440" w:right="1440" w:bottom="1440" w:left="1440" w:header="708" w:footer="708" w:gutter="0"/>
          <w:cols w:space="708"/>
          <w:docGrid w:linePitch="360"/>
        </w:sectPr>
      </w:pPr>
      <w:r>
        <w:rPr>
          <w:rFonts w:ascii="IBM Plex Sans" w:hAnsi="IBM Plex Sans"/>
          <w:sz w:val="20"/>
          <w:szCs w:val="20"/>
        </w:rPr>
        <w:t xml:space="preserve">Figure 3. Grouped bar charts highlighting </w:t>
      </w:r>
      <w:r>
        <w:rPr>
          <w:rFonts w:ascii="IBM Plex Sans" w:hAnsi="IBM Plex Sans"/>
          <w:sz w:val="20"/>
          <w:szCs w:val="20"/>
        </w:rPr>
        <w:t xml:space="preserve">technological differences in blades produced at </w:t>
      </w:r>
      <w:r w:rsidRPr="00E00B6E">
        <w:rPr>
          <w:rFonts w:ascii="IBM Plex Sans" w:hAnsi="IBM Plex Sans"/>
          <w:sz w:val="20"/>
          <w:szCs w:val="20"/>
        </w:rPr>
        <w:t>Häcklingen</w:t>
      </w:r>
      <w:r>
        <w:rPr>
          <w:rFonts w:ascii="IBM Plex Sans" w:hAnsi="IBM Plex Sans"/>
          <w:sz w:val="20"/>
          <w:szCs w:val="20"/>
        </w:rPr>
        <w:t>,</w:t>
      </w:r>
      <w:r>
        <w:rPr>
          <w:rFonts w:ascii="IBM Plex Sans" w:hAnsi="IBM Plex Sans"/>
          <w:sz w:val="20"/>
          <w:szCs w:val="20"/>
        </w:rPr>
        <w:t xml:space="preserve"> </w:t>
      </w:r>
      <w:r w:rsidRPr="00E00B6E">
        <w:rPr>
          <w:rFonts w:ascii="IBM Plex Sans" w:hAnsi="IBM Plex Sans"/>
          <w:sz w:val="20"/>
          <w:szCs w:val="20"/>
        </w:rPr>
        <w:t>Bienenbüttel</w:t>
      </w:r>
      <w:r>
        <w:rPr>
          <w:rFonts w:ascii="IBM Plex Sans" w:hAnsi="IBM Plex Sans"/>
          <w:sz w:val="20"/>
          <w:szCs w:val="20"/>
        </w:rPr>
        <w:t xml:space="preserve"> and Federmesser and Bromme taxonomic units (for acronym definitions please refer to the Supplementary Information).</w:t>
      </w:r>
      <w:r>
        <w:rPr>
          <w:rFonts w:ascii="IBM Plex Sans" w:hAnsi="IBM Plex Sans"/>
          <w:sz w:val="20"/>
          <w:szCs w:val="20"/>
        </w:rPr>
        <w:tab/>
      </w:r>
    </w:p>
    <w:p w14:paraId="2A4E8856" w14:textId="3875F5BB" w:rsidR="000267EC" w:rsidRDefault="000267EC" w:rsidP="005F0CC2">
      <w:pPr>
        <w:jc w:val="center"/>
        <w:rPr>
          <w:rFonts w:ascii="IBM Plex Sans" w:hAnsi="IBM Plex Sans"/>
          <w:sz w:val="20"/>
          <w:szCs w:val="20"/>
        </w:rPr>
      </w:pPr>
    </w:p>
    <w:p w14:paraId="22D30D76" w14:textId="38406CF6" w:rsidR="005F0CC2" w:rsidRDefault="005F0CC2" w:rsidP="005F0CC2">
      <w:pPr>
        <w:jc w:val="center"/>
        <w:rPr>
          <w:rFonts w:ascii="IBM Plex Sans" w:hAnsi="IBM Plex Sans"/>
          <w:sz w:val="20"/>
          <w:szCs w:val="20"/>
        </w:rPr>
      </w:pPr>
    </w:p>
    <w:p w14:paraId="6E8E538D" w14:textId="77777777" w:rsidR="000267EC" w:rsidRPr="000267EC" w:rsidRDefault="000267EC" w:rsidP="000A1D05">
      <w:pPr>
        <w:jc w:val="both"/>
        <w:rPr>
          <w:rFonts w:ascii="IBM Plex Sans" w:hAnsi="IBM Plex Sans"/>
          <w:sz w:val="20"/>
          <w:szCs w:val="20"/>
        </w:rPr>
      </w:pPr>
    </w:p>
    <w:p w14:paraId="1B57F86F" w14:textId="61C19B72" w:rsidR="00B539B0" w:rsidRPr="000267EC" w:rsidRDefault="00B539B0" w:rsidP="000A1D05">
      <w:pPr>
        <w:jc w:val="both"/>
        <w:rPr>
          <w:rFonts w:ascii="IBM Plex Sans" w:hAnsi="IBM Plex Sans"/>
          <w:b/>
          <w:bCs/>
          <w:sz w:val="20"/>
          <w:szCs w:val="20"/>
        </w:rPr>
      </w:pPr>
      <w:r w:rsidRPr="000267EC">
        <w:rPr>
          <w:rFonts w:ascii="IBM Plex Sans" w:hAnsi="IBM Plex Sans"/>
          <w:b/>
          <w:bCs/>
          <w:sz w:val="20"/>
          <w:szCs w:val="20"/>
        </w:rPr>
        <w:t>Cores</w:t>
      </w:r>
    </w:p>
    <w:p w14:paraId="5B755A6D" w14:textId="401AE4A9" w:rsidR="00B539B0" w:rsidRPr="000267EC" w:rsidRDefault="00B539B0" w:rsidP="000A1D05">
      <w:pPr>
        <w:jc w:val="both"/>
        <w:rPr>
          <w:rFonts w:ascii="IBM Plex Sans" w:hAnsi="IBM Plex Sans"/>
          <w:b/>
          <w:bCs/>
          <w:sz w:val="20"/>
          <w:szCs w:val="20"/>
        </w:rPr>
      </w:pPr>
    </w:p>
    <w:p w14:paraId="0E78CAD2" w14:textId="72E2DFBD" w:rsidR="00B539B0" w:rsidRPr="000267EC" w:rsidRDefault="00B539B0" w:rsidP="000A1D05">
      <w:pPr>
        <w:jc w:val="both"/>
        <w:rPr>
          <w:rFonts w:ascii="IBM Plex Sans" w:hAnsi="IBM Plex Sans"/>
          <w:b/>
          <w:bCs/>
          <w:sz w:val="20"/>
          <w:szCs w:val="20"/>
        </w:rPr>
      </w:pPr>
      <w:r w:rsidRPr="000267EC">
        <w:rPr>
          <w:rFonts w:ascii="IBM Plex Sans" w:hAnsi="IBM Plex Sans"/>
          <w:b/>
          <w:bCs/>
          <w:sz w:val="20"/>
          <w:szCs w:val="20"/>
        </w:rPr>
        <w:t>Backed points</w:t>
      </w:r>
    </w:p>
    <w:p w14:paraId="04AE459B" w14:textId="2CB10D2C" w:rsidR="00B539B0" w:rsidRPr="000267EC" w:rsidRDefault="00B539B0" w:rsidP="000A1D05">
      <w:pPr>
        <w:jc w:val="both"/>
        <w:rPr>
          <w:rFonts w:ascii="IBM Plex Sans" w:hAnsi="IBM Plex Sans"/>
          <w:b/>
          <w:bCs/>
          <w:sz w:val="20"/>
          <w:szCs w:val="20"/>
        </w:rPr>
      </w:pPr>
    </w:p>
    <w:p w14:paraId="1F531DDD" w14:textId="1F9CE53B" w:rsidR="00B539B0" w:rsidRPr="000267EC" w:rsidRDefault="00B539B0" w:rsidP="000A1D05">
      <w:pPr>
        <w:jc w:val="both"/>
        <w:rPr>
          <w:rFonts w:ascii="IBM Plex Sans" w:hAnsi="IBM Plex Sans"/>
          <w:b/>
          <w:bCs/>
          <w:sz w:val="20"/>
          <w:szCs w:val="20"/>
        </w:rPr>
      </w:pPr>
      <w:r w:rsidRPr="000267EC">
        <w:rPr>
          <w:rFonts w:ascii="IBM Plex Sans" w:hAnsi="IBM Plex Sans"/>
          <w:b/>
          <w:bCs/>
          <w:sz w:val="20"/>
          <w:szCs w:val="20"/>
        </w:rPr>
        <w:t>Tanged Points</w:t>
      </w:r>
    </w:p>
    <w:p w14:paraId="6112D575" w14:textId="2A93DF38" w:rsidR="00B539B0" w:rsidRDefault="00B539B0" w:rsidP="000A1D05">
      <w:pPr>
        <w:jc w:val="both"/>
        <w:rPr>
          <w:rFonts w:ascii="IBM Plex Sans" w:hAnsi="IBM Plex Sans"/>
          <w:sz w:val="20"/>
          <w:szCs w:val="20"/>
        </w:rPr>
      </w:pPr>
    </w:p>
    <w:p w14:paraId="081957C0" w14:textId="701B346A" w:rsidR="00B539B0" w:rsidRDefault="00B539B0" w:rsidP="00B539B0">
      <w:pPr>
        <w:jc w:val="both"/>
        <w:rPr>
          <w:rFonts w:ascii="IBM Plex Sans" w:hAnsi="IBM Plex Sans"/>
          <w:b/>
          <w:bCs/>
          <w:sz w:val="28"/>
          <w:szCs w:val="28"/>
        </w:rPr>
      </w:pPr>
      <w:r>
        <w:rPr>
          <w:rFonts w:ascii="IBM Plex Sans" w:hAnsi="IBM Plex Sans"/>
          <w:b/>
          <w:bCs/>
          <w:sz w:val="28"/>
          <w:szCs w:val="28"/>
        </w:rPr>
        <w:t>Discussion</w:t>
      </w:r>
    </w:p>
    <w:p w14:paraId="5EB6B3D4" w14:textId="3FDDFAB6" w:rsidR="00B539B0" w:rsidRDefault="00B539B0" w:rsidP="00B539B0">
      <w:pPr>
        <w:jc w:val="both"/>
        <w:rPr>
          <w:rFonts w:ascii="IBM Plex Sans" w:hAnsi="IBM Plex Sans"/>
          <w:b/>
          <w:bCs/>
          <w:sz w:val="28"/>
          <w:szCs w:val="28"/>
        </w:rPr>
      </w:pPr>
      <w:r>
        <w:rPr>
          <w:rFonts w:ascii="IBM Plex Sans" w:hAnsi="IBM Plex Sans"/>
          <w:b/>
          <w:bCs/>
          <w:sz w:val="28"/>
          <w:szCs w:val="28"/>
        </w:rPr>
        <w:t>Conclusion</w:t>
      </w:r>
    </w:p>
    <w:p w14:paraId="57E88349" w14:textId="575070AA" w:rsidR="00B539B0" w:rsidRDefault="00B539B0" w:rsidP="00B539B0">
      <w:pPr>
        <w:jc w:val="both"/>
        <w:rPr>
          <w:rFonts w:ascii="IBM Plex Sans" w:hAnsi="IBM Plex Sans"/>
          <w:b/>
          <w:bCs/>
          <w:sz w:val="28"/>
          <w:szCs w:val="28"/>
        </w:rPr>
      </w:pPr>
      <w:r>
        <w:rPr>
          <w:rFonts w:ascii="IBM Plex Sans" w:hAnsi="IBM Plex Sans"/>
          <w:b/>
          <w:bCs/>
          <w:sz w:val="28"/>
          <w:szCs w:val="28"/>
        </w:rPr>
        <w:t>Acknowledgments</w:t>
      </w:r>
    </w:p>
    <w:p w14:paraId="43FF0CD0" w14:textId="032AF200" w:rsidR="00B539B0" w:rsidRPr="00B539B0" w:rsidRDefault="00B539B0" w:rsidP="00180981">
      <w:pPr>
        <w:jc w:val="both"/>
        <w:rPr>
          <w:rFonts w:ascii="IBM Plex Sans" w:hAnsi="IBM Plex Sans"/>
          <w:sz w:val="20"/>
          <w:szCs w:val="20"/>
        </w:rPr>
      </w:pPr>
      <w:r>
        <w:rPr>
          <w:rFonts w:ascii="IBM Plex Sans" w:hAnsi="IBM Plex Sans"/>
          <w:sz w:val="20"/>
          <w:szCs w:val="20"/>
        </w:rPr>
        <w:t>The authors would like to thank Mario Pahlow</w:t>
      </w:r>
      <w:r w:rsidR="00180981">
        <w:rPr>
          <w:rFonts w:ascii="IBM Plex Sans" w:hAnsi="IBM Plex Sans"/>
          <w:sz w:val="20"/>
          <w:szCs w:val="20"/>
        </w:rPr>
        <w:t xml:space="preserve"> (</w:t>
      </w:r>
      <w:proofErr w:type="spellStart"/>
      <w:r w:rsidR="00180981" w:rsidRPr="00180981">
        <w:rPr>
          <w:rFonts w:ascii="IBM Plex Sans" w:hAnsi="IBM Plex Sans"/>
          <w:sz w:val="20"/>
          <w:szCs w:val="20"/>
        </w:rPr>
        <w:t>Niedersächsisches</w:t>
      </w:r>
      <w:proofErr w:type="spellEnd"/>
      <w:r w:rsidR="00180981" w:rsidRPr="00180981">
        <w:rPr>
          <w:rFonts w:ascii="IBM Plex Sans" w:hAnsi="IBM Plex Sans"/>
          <w:sz w:val="20"/>
          <w:szCs w:val="20"/>
        </w:rPr>
        <w:t xml:space="preserve"> </w:t>
      </w:r>
      <w:proofErr w:type="spellStart"/>
      <w:r w:rsidR="00180981" w:rsidRPr="00180981">
        <w:rPr>
          <w:rFonts w:ascii="IBM Plex Sans" w:hAnsi="IBM Plex Sans"/>
          <w:sz w:val="20"/>
          <w:szCs w:val="20"/>
        </w:rPr>
        <w:t>Landesamt</w:t>
      </w:r>
      <w:proofErr w:type="spellEnd"/>
      <w:r w:rsidR="00180981" w:rsidRPr="00180981">
        <w:rPr>
          <w:rFonts w:ascii="IBM Plex Sans" w:hAnsi="IBM Plex Sans"/>
          <w:sz w:val="20"/>
          <w:szCs w:val="20"/>
        </w:rPr>
        <w:t xml:space="preserve"> </w:t>
      </w:r>
      <w:proofErr w:type="spellStart"/>
      <w:r w:rsidR="00180981" w:rsidRPr="00180981">
        <w:rPr>
          <w:rFonts w:ascii="IBM Plex Sans" w:hAnsi="IBM Plex Sans"/>
          <w:sz w:val="20"/>
          <w:szCs w:val="20"/>
        </w:rPr>
        <w:t>für</w:t>
      </w:r>
      <w:proofErr w:type="spellEnd"/>
      <w:r w:rsidR="00180981" w:rsidRPr="00180981">
        <w:rPr>
          <w:rFonts w:ascii="IBM Plex Sans" w:hAnsi="IBM Plex Sans"/>
          <w:sz w:val="20"/>
          <w:szCs w:val="20"/>
        </w:rPr>
        <w:t xml:space="preserve"> </w:t>
      </w:r>
      <w:proofErr w:type="spellStart"/>
      <w:r w:rsidR="00180981" w:rsidRPr="00180981">
        <w:rPr>
          <w:rFonts w:ascii="IBM Plex Sans" w:hAnsi="IBM Plex Sans"/>
          <w:sz w:val="20"/>
          <w:szCs w:val="20"/>
        </w:rPr>
        <w:t>Denkmalpflege</w:t>
      </w:r>
      <w:proofErr w:type="spellEnd"/>
      <w:r w:rsidR="00180981">
        <w:rPr>
          <w:rFonts w:ascii="IBM Plex Sans" w:hAnsi="IBM Plex Sans"/>
          <w:sz w:val="20"/>
          <w:szCs w:val="20"/>
        </w:rPr>
        <w:t xml:space="preserve"> </w:t>
      </w:r>
      <w:proofErr w:type="spellStart"/>
      <w:r w:rsidR="00180981" w:rsidRPr="00180981">
        <w:rPr>
          <w:rFonts w:ascii="IBM Plex Sans" w:hAnsi="IBM Plex Sans"/>
          <w:sz w:val="20"/>
          <w:szCs w:val="20"/>
        </w:rPr>
        <w:t>Abteilung</w:t>
      </w:r>
      <w:proofErr w:type="spellEnd"/>
      <w:r w:rsidR="00180981" w:rsidRPr="00180981">
        <w:rPr>
          <w:rFonts w:ascii="IBM Plex Sans" w:hAnsi="IBM Plex Sans"/>
          <w:sz w:val="20"/>
          <w:szCs w:val="20"/>
        </w:rPr>
        <w:t xml:space="preserve"> </w:t>
      </w:r>
      <w:proofErr w:type="spellStart"/>
      <w:r w:rsidR="00180981" w:rsidRPr="00180981">
        <w:rPr>
          <w:rFonts w:ascii="IBM Plex Sans" w:hAnsi="IBM Plex Sans"/>
          <w:sz w:val="20"/>
          <w:szCs w:val="20"/>
        </w:rPr>
        <w:t>Archäologie</w:t>
      </w:r>
      <w:proofErr w:type="spellEnd"/>
      <w:r w:rsidR="00180981">
        <w:rPr>
          <w:rFonts w:ascii="IBM Plex Sans" w:hAnsi="IBM Plex Sans"/>
          <w:sz w:val="20"/>
          <w:szCs w:val="20"/>
        </w:rPr>
        <w:t>)</w:t>
      </w:r>
      <w:r>
        <w:rPr>
          <w:rFonts w:ascii="IBM Plex Sans" w:hAnsi="IBM Plex Sans"/>
          <w:sz w:val="20"/>
          <w:szCs w:val="20"/>
        </w:rPr>
        <w:t>, Luise Del Testa</w:t>
      </w:r>
      <w:r w:rsidR="00180981">
        <w:rPr>
          <w:rFonts w:ascii="IBM Plex Sans" w:hAnsi="IBM Plex Sans"/>
          <w:sz w:val="20"/>
          <w:szCs w:val="20"/>
        </w:rPr>
        <w:t xml:space="preserve"> (Zeven </w:t>
      </w:r>
      <w:proofErr w:type="spellStart"/>
      <w:r w:rsidR="00180981">
        <w:rPr>
          <w:rFonts w:ascii="IBM Plex Sans" w:hAnsi="IBM Plex Sans"/>
          <w:sz w:val="20"/>
          <w:szCs w:val="20"/>
        </w:rPr>
        <w:t>Kloster</w:t>
      </w:r>
      <w:proofErr w:type="spellEnd"/>
      <w:r w:rsidR="00180981">
        <w:rPr>
          <w:rFonts w:ascii="IBM Plex Sans" w:hAnsi="IBM Plex Sans"/>
          <w:sz w:val="20"/>
          <w:szCs w:val="20"/>
        </w:rPr>
        <w:t xml:space="preserve"> Museum)</w:t>
      </w:r>
      <w:r>
        <w:rPr>
          <w:rFonts w:ascii="IBM Plex Sans" w:hAnsi="IBM Plex Sans"/>
          <w:sz w:val="20"/>
          <w:szCs w:val="20"/>
        </w:rPr>
        <w:t xml:space="preserve">, </w:t>
      </w:r>
      <w:r w:rsidR="00180981" w:rsidRPr="00180981">
        <w:rPr>
          <w:rFonts w:ascii="IBM Plex Sans" w:hAnsi="IBM Plex Sans"/>
          <w:sz w:val="20"/>
          <w:szCs w:val="20"/>
        </w:rPr>
        <w:t xml:space="preserve">Jürgen </w:t>
      </w:r>
      <w:r w:rsidR="00180981">
        <w:rPr>
          <w:rFonts w:ascii="IBM Plex Sans" w:hAnsi="IBM Plex Sans"/>
          <w:sz w:val="20"/>
          <w:szCs w:val="20"/>
        </w:rPr>
        <w:t>Richter and Florian Sauer (</w:t>
      </w:r>
      <w:r w:rsidR="00180981" w:rsidRPr="00180981">
        <w:rPr>
          <w:rFonts w:ascii="IBM Plex Sans" w:hAnsi="IBM Plex Sans"/>
          <w:sz w:val="20"/>
          <w:szCs w:val="20"/>
        </w:rPr>
        <w:t>University of Cologne</w:t>
      </w:r>
      <w:r w:rsidR="00180981">
        <w:rPr>
          <w:rFonts w:ascii="IBM Plex Sans" w:hAnsi="IBM Plex Sans"/>
          <w:sz w:val="20"/>
          <w:szCs w:val="20"/>
        </w:rPr>
        <w:t>), Florian Klimscha (</w:t>
      </w:r>
      <w:r w:rsidR="00180981" w:rsidRPr="00180981">
        <w:rPr>
          <w:rFonts w:ascii="IBM Plex Sans" w:hAnsi="IBM Plex Sans"/>
          <w:sz w:val="20"/>
          <w:szCs w:val="20"/>
        </w:rPr>
        <w:t>Lower Saxony State Museum</w:t>
      </w:r>
      <w:r w:rsidR="00180981">
        <w:rPr>
          <w:rFonts w:ascii="IBM Plex Sans" w:hAnsi="IBM Plex Sans"/>
          <w:sz w:val="20"/>
          <w:szCs w:val="20"/>
        </w:rPr>
        <w:t>), XXX (Lund University) and XXX (</w:t>
      </w:r>
      <w:proofErr w:type="spellStart"/>
      <w:r w:rsidR="00180981" w:rsidRPr="00180981">
        <w:rPr>
          <w:rFonts w:ascii="IBM Plex Sans" w:hAnsi="IBM Plex Sans"/>
          <w:sz w:val="20"/>
          <w:szCs w:val="20"/>
        </w:rPr>
        <w:t>Hessisches</w:t>
      </w:r>
      <w:proofErr w:type="spellEnd"/>
      <w:r w:rsidR="00180981" w:rsidRPr="00180981">
        <w:rPr>
          <w:rFonts w:ascii="IBM Plex Sans" w:hAnsi="IBM Plex Sans"/>
          <w:sz w:val="20"/>
          <w:szCs w:val="20"/>
        </w:rPr>
        <w:t xml:space="preserve"> </w:t>
      </w:r>
      <w:proofErr w:type="spellStart"/>
      <w:r w:rsidR="00180981" w:rsidRPr="00180981">
        <w:rPr>
          <w:rFonts w:ascii="IBM Plex Sans" w:hAnsi="IBM Plex Sans"/>
          <w:sz w:val="20"/>
          <w:szCs w:val="20"/>
        </w:rPr>
        <w:t>Landesmuseum</w:t>
      </w:r>
      <w:proofErr w:type="spellEnd"/>
      <w:r w:rsidR="00180981" w:rsidRPr="00180981">
        <w:rPr>
          <w:rFonts w:ascii="IBM Plex Sans" w:hAnsi="IBM Plex Sans"/>
          <w:sz w:val="20"/>
          <w:szCs w:val="20"/>
        </w:rPr>
        <w:t xml:space="preserve"> Kassel</w:t>
      </w:r>
      <w:r w:rsidR="00180981">
        <w:rPr>
          <w:rFonts w:ascii="IBM Plex Sans" w:hAnsi="IBM Plex Sans"/>
          <w:sz w:val="20"/>
          <w:szCs w:val="20"/>
        </w:rPr>
        <w:t>?) and the Moesgaard Museum in providing and assisting with access to the material examined in this article</w:t>
      </w:r>
      <w:r>
        <w:rPr>
          <w:rFonts w:ascii="IBM Plex Sans" w:hAnsi="IBM Plex Sans"/>
          <w:sz w:val="20"/>
          <w:szCs w:val="20"/>
        </w:rPr>
        <w:t>. The authors would also like to thank the Prehistoric Society for the Prehistoric Society Grant which helped substantially in accommodating this analysis.</w:t>
      </w:r>
      <w:r w:rsidR="00180981">
        <w:rPr>
          <w:rFonts w:ascii="IBM Plex Sans" w:hAnsi="IBM Plex Sans"/>
          <w:sz w:val="20"/>
          <w:szCs w:val="20"/>
        </w:rPr>
        <w:t xml:space="preserve"> Christian Hoggard and Felix Riede were supported </w:t>
      </w:r>
      <w:r w:rsidR="00180981" w:rsidRPr="00180981">
        <w:rPr>
          <w:rFonts w:ascii="IBM Plex Sans" w:hAnsi="IBM Plex Sans"/>
          <w:sz w:val="20"/>
          <w:szCs w:val="20"/>
        </w:rPr>
        <w:t>by grant #6107-00059B awarded</w:t>
      </w:r>
      <w:r w:rsidR="00180981">
        <w:rPr>
          <w:rFonts w:ascii="IBM Plex Sans" w:hAnsi="IBM Plex Sans"/>
          <w:sz w:val="20"/>
          <w:szCs w:val="20"/>
        </w:rPr>
        <w:t xml:space="preserve"> </w:t>
      </w:r>
      <w:r w:rsidR="00180981" w:rsidRPr="00180981">
        <w:rPr>
          <w:rFonts w:ascii="IBM Plex Sans" w:hAnsi="IBM Plex Sans"/>
          <w:sz w:val="20"/>
          <w:szCs w:val="20"/>
        </w:rPr>
        <w:t>to Felix Riede by the Independent</w:t>
      </w:r>
      <w:r w:rsidR="00180981">
        <w:rPr>
          <w:rFonts w:ascii="IBM Plex Sans" w:hAnsi="IBM Plex Sans"/>
          <w:sz w:val="20"/>
          <w:szCs w:val="20"/>
        </w:rPr>
        <w:t xml:space="preserve"> </w:t>
      </w:r>
      <w:r w:rsidR="00180981" w:rsidRPr="00180981">
        <w:rPr>
          <w:rFonts w:ascii="IBM Plex Sans" w:hAnsi="IBM Plex Sans"/>
          <w:sz w:val="20"/>
          <w:szCs w:val="20"/>
        </w:rPr>
        <w:t>Research Fund Denmark</w:t>
      </w:r>
      <w:r w:rsidR="00180981">
        <w:rPr>
          <w:rFonts w:ascii="IBM Plex Sans" w:hAnsi="IBM Plex Sans"/>
          <w:sz w:val="20"/>
          <w:szCs w:val="20"/>
        </w:rPr>
        <w:t xml:space="preserve">. </w:t>
      </w:r>
      <w:r w:rsidR="00180981" w:rsidRPr="00180981">
        <w:rPr>
          <w:rFonts w:ascii="IBM Plex Sans" w:hAnsi="IBM Plex Sans"/>
          <w:sz w:val="20"/>
          <w:szCs w:val="20"/>
        </w:rPr>
        <w:t>Felix Riede also</w:t>
      </w:r>
      <w:r w:rsidR="00180981">
        <w:rPr>
          <w:rFonts w:ascii="IBM Plex Sans" w:hAnsi="IBM Plex Sans"/>
          <w:sz w:val="20"/>
          <w:szCs w:val="20"/>
        </w:rPr>
        <w:t xml:space="preserve"> </w:t>
      </w:r>
      <w:r w:rsidR="00180981" w:rsidRPr="00180981">
        <w:rPr>
          <w:rFonts w:ascii="IBM Plex Sans" w:hAnsi="IBM Plex Sans"/>
          <w:sz w:val="20"/>
          <w:szCs w:val="20"/>
        </w:rPr>
        <w:t>gratefully acknowledges funding from the</w:t>
      </w:r>
      <w:r w:rsidR="00180981">
        <w:rPr>
          <w:rFonts w:ascii="IBM Plex Sans" w:hAnsi="IBM Plex Sans"/>
          <w:sz w:val="20"/>
          <w:szCs w:val="20"/>
        </w:rPr>
        <w:t xml:space="preserve"> </w:t>
      </w:r>
      <w:r w:rsidR="00180981" w:rsidRPr="00180981">
        <w:rPr>
          <w:rFonts w:ascii="IBM Plex Sans" w:hAnsi="IBM Plex Sans"/>
          <w:sz w:val="20"/>
          <w:szCs w:val="20"/>
        </w:rPr>
        <w:t>European Research Council (grant agreement</w:t>
      </w:r>
      <w:r w:rsidR="00180981">
        <w:rPr>
          <w:rFonts w:ascii="IBM Plex Sans" w:hAnsi="IBM Plex Sans"/>
          <w:sz w:val="20"/>
          <w:szCs w:val="20"/>
        </w:rPr>
        <w:t xml:space="preserve"> </w:t>
      </w:r>
      <w:r w:rsidR="00180981" w:rsidRPr="00180981">
        <w:rPr>
          <w:rFonts w:ascii="IBM Plex Sans" w:hAnsi="IBM Plex Sans"/>
          <w:sz w:val="20"/>
          <w:szCs w:val="20"/>
        </w:rPr>
        <w:t>817564 under the Horizon 2020</w:t>
      </w:r>
      <w:r w:rsidR="00180981">
        <w:rPr>
          <w:rFonts w:ascii="IBM Plex Sans" w:hAnsi="IBM Plex Sans"/>
          <w:sz w:val="20"/>
          <w:szCs w:val="20"/>
        </w:rPr>
        <w:t xml:space="preserve"> </w:t>
      </w:r>
      <w:r w:rsidR="00180981" w:rsidRPr="00180981">
        <w:rPr>
          <w:rFonts w:ascii="IBM Plex Sans" w:hAnsi="IBM Plex Sans"/>
          <w:sz w:val="20"/>
          <w:szCs w:val="20"/>
        </w:rPr>
        <w:t>research and innovation programme).</w:t>
      </w:r>
    </w:p>
    <w:p w14:paraId="05E72889" w14:textId="77777777" w:rsidR="00B539B0" w:rsidRPr="00B539B0" w:rsidRDefault="00B539B0" w:rsidP="000A1D05">
      <w:pPr>
        <w:jc w:val="both"/>
        <w:rPr>
          <w:rFonts w:ascii="IBM Plex Sans" w:hAnsi="IBM Plex Sans"/>
          <w:sz w:val="20"/>
          <w:szCs w:val="20"/>
        </w:rPr>
      </w:pPr>
    </w:p>
    <w:p w14:paraId="6107EF92" w14:textId="1DB41BF6" w:rsidR="003A3804" w:rsidRPr="003A3804" w:rsidRDefault="003A3804" w:rsidP="003A3804">
      <w:pPr>
        <w:pStyle w:val="BodyText"/>
        <w:jc w:val="both"/>
        <w:rPr>
          <w:rFonts w:ascii="IBM Plex Sans" w:hAnsi="IBM Plex Sans"/>
          <w:sz w:val="20"/>
          <w:szCs w:val="20"/>
        </w:rPr>
      </w:pPr>
    </w:p>
    <w:sectPr w:rsidR="003A3804" w:rsidRPr="003A3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3E3D1" w14:textId="77777777" w:rsidR="00681782" w:rsidRDefault="00681782" w:rsidP="00B54AC6">
      <w:pPr>
        <w:spacing w:after="0" w:line="240" w:lineRule="auto"/>
      </w:pPr>
      <w:r>
        <w:separator/>
      </w:r>
    </w:p>
  </w:endnote>
  <w:endnote w:type="continuationSeparator" w:id="0">
    <w:p w14:paraId="612CBD2A" w14:textId="77777777" w:rsidR="00681782" w:rsidRDefault="00681782" w:rsidP="00B5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panose1 w:val="020B0503050000000000"/>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3593837"/>
      <w:docPartObj>
        <w:docPartGallery w:val="Page Numbers (Bottom of Page)"/>
        <w:docPartUnique/>
      </w:docPartObj>
    </w:sdtPr>
    <w:sdtEndPr>
      <w:rPr>
        <w:rFonts w:ascii="IBM Plex Sans" w:hAnsi="IBM Plex Sans"/>
        <w:noProof/>
        <w:sz w:val="20"/>
        <w:szCs w:val="20"/>
      </w:rPr>
    </w:sdtEndPr>
    <w:sdtContent>
      <w:p w14:paraId="04269A28" w14:textId="77777777" w:rsidR="00731BF5" w:rsidRPr="0044340F" w:rsidRDefault="00681782">
        <w:pPr>
          <w:pStyle w:val="Footer"/>
          <w:jc w:val="center"/>
          <w:rPr>
            <w:rFonts w:ascii="IBM Plex Sans" w:hAnsi="IBM Plex Sans"/>
            <w:sz w:val="20"/>
            <w:szCs w:val="20"/>
          </w:rPr>
        </w:pPr>
        <w:r w:rsidRPr="0044340F">
          <w:rPr>
            <w:rFonts w:ascii="IBM Plex Sans" w:hAnsi="IBM Plex Sans"/>
            <w:sz w:val="20"/>
            <w:szCs w:val="20"/>
          </w:rPr>
          <w:fldChar w:fldCharType="begin"/>
        </w:r>
        <w:r w:rsidRPr="0044340F">
          <w:rPr>
            <w:rFonts w:ascii="IBM Plex Sans" w:hAnsi="IBM Plex Sans"/>
            <w:sz w:val="20"/>
            <w:szCs w:val="20"/>
          </w:rPr>
          <w:instrText xml:space="preserve"> PAGE   \* MERGEFORMAT </w:instrText>
        </w:r>
        <w:r w:rsidRPr="0044340F">
          <w:rPr>
            <w:rFonts w:ascii="IBM Plex Sans" w:hAnsi="IBM Plex Sans"/>
            <w:sz w:val="20"/>
            <w:szCs w:val="20"/>
          </w:rPr>
          <w:fldChar w:fldCharType="separate"/>
        </w:r>
        <w:r w:rsidRPr="0044340F">
          <w:rPr>
            <w:rFonts w:ascii="IBM Plex Sans" w:hAnsi="IBM Plex Sans"/>
            <w:noProof/>
            <w:sz w:val="20"/>
            <w:szCs w:val="20"/>
          </w:rPr>
          <w:t>2</w:t>
        </w:r>
        <w:r w:rsidRPr="0044340F">
          <w:rPr>
            <w:rFonts w:ascii="IBM Plex Sans" w:hAnsi="IBM Plex Sans"/>
            <w:noProof/>
            <w:sz w:val="20"/>
            <w:szCs w:val="20"/>
          </w:rPr>
          <w:fldChar w:fldCharType="end"/>
        </w:r>
      </w:p>
    </w:sdtContent>
  </w:sdt>
  <w:p w14:paraId="57F4988B" w14:textId="77777777" w:rsidR="00731BF5" w:rsidRDefault="00681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76B64" w14:textId="77777777" w:rsidR="00681782" w:rsidRDefault="00681782" w:rsidP="00B54AC6">
      <w:pPr>
        <w:spacing w:after="0" w:line="240" w:lineRule="auto"/>
      </w:pPr>
      <w:r>
        <w:separator/>
      </w:r>
    </w:p>
  </w:footnote>
  <w:footnote w:type="continuationSeparator" w:id="0">
    <w:p w14:paraId="1A3F7D75" w14:textId="77777777" w:rsidR="00681782" w:rsidRDefault="00681782" w:rsidP="00B54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45750"/>
    <w:multiLevelType w:val="hybridMultilevel"/>
    <w:tmpl w:val="BFE8C274"/>
    <w:lvl w:ilvl="0" w:tplc="87903EB2">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917B12"/>
    <w:multiLevelType w:val="hybridMultilevel"/>
    <w:tmpl w:val="BFE8C274"/>
    <w:lvl w:ilvl="0" w:tplc="87903EB2">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4"/>
    <w:rsid w:val="000267EC"/>
    <w:rsid w:val="000A1D05"/>
    <w:rsid w:val="00176574"/>
    <w:rsid w:val="00180981"/>
    <w:rsid w:val="00394ED0"/>
    <w:rsid w:val="003A3804"/>
    <w:rsid w:val="005F0CC2"/>
    <w:rsid w:val="00681782"/>
    <w:rsid w:val="00846518"/>
    <w:rsid w:val="00A90EDB"/>
    <w:rsid w:val="00B539B0"/>
    <w:rsid w:val="00B54AC6"/>
    <w:rsid w:val="00BB7D0E"/>
    <w:rsid w:val="00DA0E4C"/>
    <w:rsid w:val="00DC4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58FE"/>
  <w15:chartTrackingRefBased/>
  <w15:docId w15:val="{FE7D1A11-68CF-402E-B9DB-3D991DAA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3A380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3A3804"/>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3A3804"/>
    <w:pPr>
      <w:keepNext/>
      <w:keepLines/>
      <w:spacing w:after="200" w:line="240" w:lineRule="auto"/>
      <w:jc w:val="center"/>
    </w:pPr>
    <w:rPr>
      <w:sz w:val="24"/>
      <w:szCs w:val="24"/>
      <w:lang w:val="en-US"/>
    </w:rPr>
  </w:style>
  <w:style w:type="paragraph" w:styleId="Date">
    <w:name w:val="Date"/>
    <w:next w:val="BodyText"/>
    <w:link w:val="DateChar"/>
    <w:qFormat/>
    <w:rsid w:val="003A3804"/>
    <w:pPr>
      <w:keepNext/>
      <w:keepLines/>
      <w:spacing w:after="200" w:line="240" w:lineRule="auto"/>
      <w:jc w:val="center"/>
    </w:pPr>
    <w:rPr>
      <w:sz w:val="24"/>
      <w:szCs w:val="24"/>
      <w:lang w:val="en-US"/>
    </w:rPr>
  </w:style>
  <w:style w:type="character" w:customStyle="1" w:styleId="DateChar">
    <w:name w:val="Date Char"/>
    <w:basedOn w:val="DefaultParagraphFont"/>
    <w:link w:val="Date"/>
    <w:rsid w:val="003A3804"/>
    <w:rPr>
      <w:sz w:val="24"/>
      <w:szCs w:val="24"/>
      <w:lang w:val="en-US"/>
    </w:rPr>
  </w:style>
  <w:style w:type="paragraph" w:styleId="BodyText">
    <w:name w:val="Body Text"/>
    <w:basedOn w:val="Normal"/>
    <w:link w:val="BodyTextChar"/>
    <w:uiPriority w:val="99"/>
    <w:unhideWhenUsed/>
    <w:rsid w:val="003A3804"/>
    <w:pPr>
      <w:spacing w:after="120"/>
    </w:pPr>
  </w:style>
  <w:style w:type="character" w:customStyle="1" w:styleId="BodyTextChar">
    <w:name w:val="Body Text Char"/>
    <w:basedOn w:val="DefaultParagraphFont"/>
    <w:link w:val="BodyText"/>
    <w:uiPriority w:val="99"/>
    <w:rsid w:val="003A3804"/>
  </w:style>
  <w:style w:type="paragraph" w:styleId="BalloonText">
    <w:name w:val="Balloon Text"/>
    <w:basedOn w:val="Normal"/>
    <w:link w:val="BalloonTextChar"/>
    <w:uiPriority w:val="99"/>
    <w:semiHidden/>
    <w:unhideWhenUsed/>
    <w:rsid w:val="003A3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804"/>
    <w:rPr>
      <w:rFonts w:ascii="Segoe UI" w:hAnsi="Segoe UI" w:cs="Segoe UI"/>
      <w:sz w:val="18"/>
      <w:szCs w:val="18"/>
    </w:rPr>
  </w:style>
  <w:style w:type="paragraph" w:customStyle="1" w:styleId="FirstParagraph">
    <w:name w:val="First Paragraph"/>
    <w:basedOn w:val="BodyText"/>
    <w:next w:val="BodyText"/>
    <w:qFormat/>
    <w:rsid w:val="003A3804"/>
    <w:pPr>
      <w:spacing w:before="180" w:after="180" w:line="240" w:lineRule="auto"/>
    </w:pPr>
    <w:rPr>
      <w:sz w:val="24"/>
      <w:szCs w:val="24"/>
      <w:lang w:val="en-US"/>
    </w:rPr>
  </w:style>
  <w:style w:type="paragraph" w:styleId="Footer">
    <w:name w:val="footer"/>
    <w:basedOn w:val="Normal"/>
    <w:link w:val="FooterChar"/>
    <w:uiPriority w:val="99"/>
    <w:unhideWhenUsed/>
    <w:rsid w:val="003A3804"/>
    <w:pPr>
      <w:tabs>
        <w:tab w:val="center" w:pos="4513"/>
        <w:tab w:val="right" w:pos="9026"/>
      </w:tabs>
      <w:spacing w:after="0" w:line="240" w:lineRule="auto"/>
    </w:pPr>
    <w:rPr>
      <w:sz w:val="24"/>
      <w:szCs w:val="24"/>
      <w:lang w:val="en-US"/>
    </w:rPr>
  </w:style>
  <w:style w:type="character" w:customStyle="1" w:styleId="FooterChar">
    <w:name w:val="Footer Char"/>
    <w:basedOn w:val="DefaultParagraphFont"/>
    <w:link w:val="Footer"/>
    <w:uiPriority w:val="99"/>
    <w:rsid w:val="003A3804"/>
    <w:rPr>
      <w:sz w:val="24"/>
      <w:szCs w:val="24"/>
      <w:lang w:val="en-US"/>
    </w:rPr>
  </w:style>
  <w:style w:type="table" w:styleId="TableGridLight">
    <w:name w:val="Grid Table Light"/>
    <w:basedOn w:val="TableNormal"/>
    <w:rsid w:val="003A3804"/>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rsid w:val="000A1D05"/>
    <w:pPr>
      <w:spacing w:after="200" w:line="240" w:lineRule="auto"/>
      <w:ind w:left="720"/>
      <w:contextualSpacing/>
    </w:pPr>
    <w:rPr>
      <w:sz w:val="24"/>
      <w:szCs w:val="24"/>
      <w:lang w:val="en-US"/>
    </w:rPr>
  </w:style>
  <w:style w:type="table" w:styleId="TableGrid">
    <w:name w:val="Table Grid"/>
    <w:basedOn w:val="TableNormal"/>
    <w:uiPriority w:val="39"/>
    <w:rsid w:val="00DC4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6518"/>
    <w:rPr>
      <w:color w:val="0563C1" w:themeColor="hyperlink"/>
      <w:u w:val="single"/>
    </w:rPr>
  </w:style>
  <w:style w:type="character" w:styleId="UnresolvedMention">
    <w:name w:val="Unresolved Mention"/>
    <w:basedOn w:val="DefaultParagraphFont"/>
    <w:uiPriority w:val="99"/>
    <w:semiHidden/>
    <w:unhideWhenUsed/>
    <w:rsid w:val="00846518"/>
    <w:rPr>
      <w:color w:val="605E5C"/>
      <w:shd w:val="clear" w:color="auto" w:fill="E1DFDD"/>
    </w:rPr>
  </w:style>
  <w:style w:type="paragraph" w:styleId="Header">
    <w:name w:val="header"/>
    <w:basedOn w:val="Normal"/>
    <w:link w:val="HeaderChar"/>
    <w:uiPriority w:val="99"/>
    <w:unhideWhenUsed/>
    <w:rsid w:val="00B54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22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sf.io/3h2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Hoggard</dc:creator>
  <cp:keywords/>
  <dc:description/>
  <cp:lastModifiedBy>Christian Hoggard</cp:lastModifiedBy>
  <cp:revision>2</cp:revision>
  <dcterms:created xsi:type="dcterms:W3CDTF">2021-05-03T08:20:00Z</dcterms:created>
  <dcterms:modified xsi:type="dcterms:W3CDTF">2021-05-03T10:53:00Z</dcterms:modified>
</cp:coreProperties>
</file>