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3A1" w:rsidRPr="00CC65D1" w:rsidRDefault="008C5599" w:rsidP="00CC65D1">
      <w:pPr>
        <w:jc w:val="center"/>
        <w:rPr>
          <w:rFonts w:ascii="Arial" w:hAnsi="Arial" w:cs="Arial"/>
          <w:b/>
          <w:sz w:val="32"/>
          <w:szCs w:val="24"/>
        </w:rPr>
      </w:pPr>
      <w:r w:rsidRPr="00CC65D1">
        <w:rPr>
          <w:rFonts w:ascii="Arial" w:hAnsi="Arial" w:cs="Arial"/>
          <w:b/>
          <w:sz w:val="32"/>
          <w:szCs w:val="24"/>
        </w:rPr>
        <w:t xml:space="preserve">NIA </w:t>
      </w:r>
      <w:r w:rsidR="00CC65D1">
        <w:rPr>
          <w:rFonts w:ascii="Arial" w:hAnsi="Arial" w:cs="Arial"/>
          <w:b/>
          <w:sz w:val="32"/>
          <w:szCs w:val="24"/>
        </w:rPr>
        <w:t xml:space="preserve">Selection </w:t>
      </w:r>
      <w:r w:rsidRPr="00CC65D1">
        <w:rPr>
          <w:rFonts w:ascii="Arial" w:hAnsi="Arial" w:cs="Arial"/>
          <w:b/>
          <w:sz w:val="32"/>
          <w:szCs w:val="24"/>
        </w:rPr>
        <w:t>Methodology FAQ</w:t>
      </w:r>
    </w:p>
    <w:p w:rsidR="008C5599" w:rsidRDefault="008C5599">
      <w:pPr>
        <w:rPr>
          <w:rFonts w:ascii="Arial" w:hAnsi="Arial" w:cs="Arial"/>
          <w:sz w:val="24"/>
          <w:szCs w:val="24"/>
        </w:rPr>
      </w:pPr>
    </w:p>
    <w:p w:rsidR="008C5599" w:rsidRDefault="008C5599">
      <w:pPr>
        <w:rPr>
          <w:rFonts w:ascii="Arial" w:hAnsi="Arial" w:cs="Arial"/>
          <w:sz w:val="24"/>
          <w:szCs w:val="24"/>
        </w:rPr>
      </w:pPr>
    </w:p>
    <w:p w:rsidR="007C0C12" w:rsidRPr="007C0C12" w:rsidRDefault="007C0C12" w:rsidP="007C0C12">
      <w:pPr>
        <w:rPr>
          <w:rFonts w:ascii="Arial" w:hAnsi="Arial" w:cs="Arial"/>
          <w:b/>
          <w:sz w:val="24"/>
          <w:szCs w:val="24"/>
        </w:rPr>
      </w:pPr>
      <w:r w:rsidRPr="007C0C12">
        <w:rPr>
          <w:rFonts w:ascii="Arial" w:hAnsi="Arial" w:cs="Arial"/>
          <w:b/>
          <w:sz w:val="24"/>
          <w:szCs w:val="24"/>
        </w:rPr>
        <w:t>How are Neighbourhood Improvement Areas (NIAs) selected under TSNS 2020?</w:t>
      </w:r>
    </w:p>
    <w:p w:rsidR="007C0C12" w:rsidRDefault="007C0C12" w:rsidP="007C0C12">
      <w:pPr>
        <w:rPr>
          <w:rFonts w:ascii="Arial" w:hAnsi="Arial" w:cs="Arial"/>
          <w:sz w:val="24"/>
          <w:szCs w:val="24"/>
        </w:rPr>
      </w:pPr>
    </w:p>
    <w:p w:rsidR="002853B5" w:rsidRDefault="007C0C12" w:rsidP="007C0C12">
      <w:pPr>
        <w:rPr>
          <w:rFonts w:ascii="Arial" w:hAnsi="Arial" w:cs="Arial"/>
          <w:sz w:val="24"/>
          <w:szCs w:val="24"/>
        </w:rPr>
      </w:pPr>
      <w:r>
        <w:rPr>
          <w:rFonts w:ascii="Arial" w:hAnsi="Arial" w:cs="Arial"/>
          <w:sz w:val="24"/>
          <w:szCs w:val="24"/>
        </w:rPr>
        <w:t xml:space="preserve">NIAs are selected based on how neighbourhoods in Toronto fare across 15 indicators </w:t>
      </w:r>
      <w:r w:rsidR="00D17FBD">
        <w:rPr>
          <w:rFonts w:ascii="Arial" w:hAnsi="Arial" w:cs="Arial"/>
          <w:sz w:val="24"/>
          <w:szCs w:val="24"/>
        </w:rPr>
        <w:t>measuring outcomes related to economic opportunities, social development, participation, health, and physical surroundings.</w:t>
      </w:r>
      <w:r w:rsidR="002853B5">
        <w:rPr>
          <w:rFonts w:ascii="Arial" w:hAnsi="Arial" w:cs="Arial"/>
          <w:sz w:val="24"/>
          <w:szCs w:val="24"/>
        </w:rPr>
        <w:t xml:space="preserve"> The goal of TSNS 2020 is to identify neighbourhoods experiencing inequitable outcomes across a broad range of factors.</w:t>
      </w:r>
    </w:p>
    <w:p w:rsidR="002853B5" w:rsidRDefault="002853B5" w:rsidP="007C0C12">
      <w:pPr>
        <w:rPr>
          <w:rFonts w:ascii="Arial" w:hAnsi="Arial" w:cs="Arial"/>
          <w:sz w:val="24"/>
          <w:szCs w:val="24"/>
        </w:rPr>
      </w:pPr>
    </w:p>
    <w:p w:rsidR="007C0C12" w:rsidRDefault="00D17FBD" w:rsidP="007C0C12">
      <w:pPr>
        <w:rPr>
          <w:rFonts w:ascii="Arial" w:hAnsi="Arial" w:cs="Arial"/>
          <w:sz w:val="24"/>
          <w:szCs w:val="24"/>
        </w:rPr>
      </w:pPr>
      <w:r>
        <w:rPr>
          <w:rFonts w:ascii="Arial" w:hAnsi="Arial" w:cs="Arial"/>
          <w:sz w:val="24"/>
          <w:szCs w:val="24"/>
        </w:rPr>
        <w:t>Neighbourhoods with the most inequitable outcomes compared to other Toronto neighbourhoods were recommended as NIAs.</w:t>
      </w:r>
    </w:p>
    <w:p w:rsidR="007C0C12" w:rsidRDefault="007C0C12" w:rsidP="007C0C12">
      <w:pPr>
        <w:rPr>
          <w:rFonts w:ascii="Arial" w:hAnsi="Arial" w:cs="Arial"/>
          <w:sz w:val="24"/>
          <w:szCs w:val="24"/>
        </w:rPr>
      </w:pPr>
    </w:p>
    <w:p w:rsidR="00DF3671" w:rsidRDefault="00DF3671" w:rsidP="007C0C12">
      <w:pPr>
        <w:rPr>
          <w:rFonts w:ascii="Arial" w:hAnsi="Arial" w:cs="Arial"/>
          <w:sz w:val="24"/>
          <w:szCs w:val="24"/>
        </w:rPr>
      </w:pPr>
    </w:p>
    <w:p w:rsidR="007C0C12" w:rsidRDefault="007C0C12" w:rsidP="007C0C12">
      <w:pPr>
        <w:rPr>
          <w:rFonts w:ascii="Arial" w:hAnsi="Arial" w:cs="Arial"/>
          <w:b/>
          <w:sz w:val="24"/>
          <w:szCs w:val="24"/>
        </w:rPr>
      </w:pPr>
      <w:r w:rsidRPr="00D17FBD">
        <w:rPr>
          <w:rFonts w:ascii="Arial" w:hAnsi="Arial" w:cs="Arial"/>
          <w:b/>
          <w:sz w:val="24"/>
          <w:szCs w:val="24"/>
        </w:rPr>
        <w:t>What indicators are included in the Neighbourhood Equity Index (NEI)?</w:t>
      </w:r>
    </w:p>
    <w:p w:rsidR="00D17FBD" w:rsidRDefault="00D17FBD" w:rsidP="007C0C12">
      <w:pPr>
        <w:rPr>
          <w:rFonts w:ascii="Arial" w:hAnsi="Arial" w:cs="Arial"/>
          <w:b/>
          <w:sz w:val="24"/>
          <w:szCs w:val="24"/>
        </w:rPr>
      </w:pPr>
    </w:p>
    <w:p w:rsidR="00D17FBD" w:rsidRDefault="00DF3671" w:rsidP="007C0C12">
      <w:pPr>
        <w:rPr>
          <w:rFonts w:ascii="Arial" w:hAnsi="Arial" w:cs="Arial"/>
          <w:sz w:val="24"/>
          <w:szCs w:val="24"/>
        </w:rPr>
      </w:pPr>
      <w:r>
        <w:rPr>
          <w:rFonts w:ascii="Arial" w:hAnsi="Arial" w:cs="Arial"/>
          <w:sz w:val="24"/>
          <w:szCs w:val="24"/>
        </w:rPr>
        <w:t>15</w:t>
      </w:r>
      <w:r w:rsidR="00D17FBD">
        <w:rPr>
          <w:rFonts w:ascii="Arial" w:hAnsi="Arial" w:cs="Arial"/>
          <w:sz w:val="24"/>
          <w:szCs w:val="24"/>
        </w:rPr>
        <w:t xml:space="preserve"> </w:t>
      </w:r>
      <w:r>
        <w:rPr>
          <w:rFonts w:ascii="Arial" w:hAnsi="Arial" w:cs="Arial"/>
          <w:sz w:val="24"/>
          <w:szCs w:val="24"/>
        </w:rPr>
        <w:t xml:space="preserve">neighbourhood-level </w:t>
      </w:r>
      <w:r w:rsidR="00D17FBD">
        <w:rPr>
          <w:rFonts w:ascii="Arial" w:hAnsi="Arial" w:cs="Arial"/>
          <w:sz w:val="24"/>
          <w:szCs w:val="24"/>
        </w:rPr>
        <w:t xml:space="preserve">indicators were provided by the Urban </w:t>
      </w:r>
      <w:proofErr w:type="spellStart"/>
      <w:r w:rsidR="00D17FBD">
        <w:rPr>
          <w:rFonts w:ascii="Arial" w:hAnsi="Arial" w:cs="Arial"/>
          <w:sz w:val="24"/>
          <w:szCs w:val="24"/>
        </w:rPr>
        <w:t>HEART@Toronto</w:t>
      </w:r>
      <w:proofErr w:type="spellEnd"/>
      <w:r w:rsidR="00D17FBD">
        <w:rPr>
          <w:rFonts w:ascii="Arial" w:hAnsi="Arial" w:cs="Arial"/>
          <w:sz w:val="24"/>
          <w:szCs w:val="24"/>
        </w:rPr>
        <w:t xml:space="preserve"> research initiative, a joint project between the Centre for Research on Inner City Health, the City of Toronto, the United Way, the Toronto Central Local Health Integration Network, and </w:t>
      </w:r>
      <w:proofErr w:type="spellStart"/>
      <w:r w:rsidR="00D17FBD">
        <w:rPr>
          <w:rFonts w:ascii="Arial" w:hAnsi="Arial" w:cs="Arial"/>
          <w:sz w:val="24"/>
          <w:szCs w:val="24"/>
        </w:rPr>
        <w:t>WoodGreen</w:t>
      </w:r>
      <w:proofErr w:type="spellEnd"/>
      <w:r w:rsidR="00D17FBD">
        <w:rPr>
          <w:rFonts w:ascii="Arial" w:hAnsi="Arial" w:cs="Arial"/>
          <w:sz w:val="24"/>
          <w:szCs w:val="24"/>
        </w:rPr>
        <w:t xml:space="preserve"> Community Services.</w:t>
      </w:r>
    </w:p>
    <w:p w:rsidR="00DF3671" w:rsidRDefault="00DF3671" w:rsidP="007C0C12">
      <w:pPr>
        <w:rPr>
          <w:rFonts w:ascii="Arial" w:hAnsi="Arial" w:cs="Arial"/>
          <w:sz w:val="24"/>
          <w:szCs w:val="24"/>
        </w:rPr>
      </w:pPr>
    </w:p>
    <w:p w:rsidR="00D533A5" w:rsidRDefault="00DF3671" w:rsidP="00D533A5">
      <w:pPr>
        <w:ind w:firstLine="720"/>
        <w:rPr>
          <w:rFonts w:ascii="Arial" w:hAnsi="Arial" w:cs="Arial"/>
          <w:i/>
          <w:sz w:val="24"/>
          <w:szCs w:val="24"/>
        </w:rPr>
      </w:pPr>
      <w:r w:rsidRPr="00DF3671">
        <w:rPr>
          <w:rFonts w:ascii="Arial" w:hAnsi="Arial" w:cs="Arial"/>
          <w:i/>
          <w:sz w:val="24"/>
          <w:szCs w:val="24"/>
        </w:rPr>
        <w:t>Economi</w:t>
      </w:r>
      <w:r>
        <w:rPr>
          <w:rFonts w:ascii="Arial" w:hAnsi="Arial" w:cs="Arial"/>
          <w:i/>
          <w:sz w:val="24"/>
          <w:szCs w:val="24"/>
        </w:rPr>
        <w:t xml:space="preserve">c Opportunities: </w:t>
      </w:r>
    </w:p>
    <w:p w:rsidR="00D533A5" w:rsidRDefault="00DF3671" w:rsidP="00D533A5">
      <w:pPr>
        <w:pStyle w:val="ListParagraph"/>
        <w:numPr>
          <w:ilvl w:val="0"/>
          <w:numId w:val="1"/>
        </w:numPr>
        <w:rPr>
          <w:rFonts w:ascii="Arial" w:hAnsi="Arial" w:cs="Arial"/>
          <w:sz w:val="24"/>
          <w:szCs w:val="24"/>
        </w:rPr>
      </w:pPr>
      <w:r w:rsidRPr="00D533A5">
        <w:rPr>
          <w:rFonts w:ascii="Arial" w:hAnsi="Arial" w:cs="Arial"/>
          <w:sz w:val="24"/>
          <w:szCs w:val="24"/>
        </w:rPr>
        <w:t xml:space="preserve">Unemployment rate; </w:t>
      </w:r>
    </w:p>
    <w:p w:rsidR="00D533A5" w:rsidRDefault="00DF3671" w:rsidP="00D533A5">
      <w:pPr>
        <w:pStyle w:val="ListParagraph"/>
        <w:numPr>
          <w:ilvl w:val="0"/>
          <w:numId w:val="1"/>
        </w:numPr>
        <w:rPr>
          <w:rFonts w:ascii="Arial" w:hAnsi="Arial" w:cs="Arial"/>
          <w:sz w:val="24"/>
          <w:szCs w:val="24"/>
        </w:rPr>
      </w:pPr>
      <w:r w:rsidRPr="00D533A5">
        <w:rPr>
          <w:rFonts w:ascii="Arial" w:hAnsi="Arial" w:cs="Arial"/>
          <w:sz w:val="24"/>
          <w:szCs w:val="24"/>
        </w:rPr>
        <w:t xml:space="preserve">Prevalence of low income (LIM-AT); </w:t>
      </w:r>
    </w:p>
    <w:p w:rsidR="00DF3671" w:rsidRPr="00D533A5" w:rsidRDefault="00DF3671" w:rsidP="00D533A5">
      <w:pPr>
        <w:pStyle w:val="ListParagraph"/>
        <w:numPr>
          <w:ilvl w:val="0"/>
          <w:numId w:val="1"/>
        </w:numPr>
        <w:rPr>
          <w:rFonts w:ascii="Arial" w:hAnsi="Arial" w:cs="Arial"/>
          <w:sz w:val="24"/>
          <w:szCs w:val="24"/>
        </w:rPr>
      </w:pPr>
      <w:r w:rsidRPr="00D533A5">
        <w:rPr>
          <w:rFonts w:ascii="Arial" w:hAnsi="Arial" w:cs="Arial"/>
          <w:sz w:val="24"/>
          <w:szCs w:val="24"/>
        </w:rPr>
        <w:t>Social assistance rate.</w:t>
      </w:r>
    </w:p>
    <w:p w:rsidR="00DF3671" w:rsidRDefault="00DF3671" w:rsidP="007C0C12">
      <w:pPr>
        <w:rPr>
          <w:rFonts w:ascii="Arial" w:hAnsi="Arial" w:cs="Arial"/>
          <w:sz w:val="24"/>
          <w:szCs w:val="24"/>
        </w:rPr>
      </w:pPr>
    </w:p>
    <w:p w:rsidR="00D533A5" w:rsidRDefault="00DF3671" w:rsidP="00D533A5">
      <w:pPr>
        <w:ind w:firstLine="720"/>
        <w:rPr>
          <w:rFonts w:ascii="Arial" w:hAnsi="Arial" w:cs="Arial"/>
          <w:sz w:val="24"/>
          <w:szCs w:val="24"/>
        </w:rPr>
      </w:pPr>
      <w:r>
        <w:rPr>
          <w:rFonts w:ascii="Arial" w:hAnsi="Arial" w:cs="Arial"/>
          <w:i/>
          <w:sz w:val="24"/>
          <w:szCs w:val="24"/>
        </w:rPr>
        <w:t>Social Development:</w:t>
      </w:r>
      <w:r>
        <w:rPr>
          <w:rFonts w:ascii="Arial" w:hAnsi="Arial" w:cs="Arial"/>
          <w:sz w:val="24"/>
          <w:szCs w:val="24"/>
        </w:rPr>
        <w:t xml:space="preserve"> </w:t>
      </w:r>
    </w:p>
    <w:p w:rsidR="00D533A5" w:rsidRDefault="00DF3671" w:rsidP="00D533A5">
      <w:pPr>
        <w:pStyle w:val="ListParagraph"/>
        <w:numPr>
          <w:ilvl w:val="0"/>
          <w:numId w:val="2"/>
        </w:numPr>
        <w:rPr>
          <w:rFonts w:ascii="Arial" w:hAnsi="Arial" w:cs="Arial"/>
          <w:sz w:val="24"/>
          <w:szCs w:val="24"/>
        </w:rPr>
      </w:pPr>
      <w:r w:rsidRPr="00D533A5">
        <w:rPr>
          <w:rFonts w:ascii="Arial" w:hAnsi="Arial" w:cs="Arial"/>
          <w:sz w:val="24"/>
          <w:szCs w:val="24"/>
        </w:rPr>
        <w:t xml:space="preserve">Likelihood of graduating high school; </w:t>
      </w:r>
    </w:p>
    <w:p w:rsidR="00D533A5" w:rsidRDefault="00DF3671" w:rsidP="00D533A5">
      <w:pPr>
        <w:pStyle w:val="ListParagraph"/>
        <w:numPr>
          <w:ilvl w:val="0"/>
          <w:numId w:val="2"/>
        </w:numPr>
        <w:rPr>
          <w:rFonts w:ascii="Arial" w:hAnsi="Arial" w:cs="Arial"/>
          <w:sz w:val="24"/>
          <w:szCs w:val="24"/>
        </w:rPr>
      </w:pPr>
      <w:r w:rsidRPr="00D533A5">
        <w:rPr>
          <w:rFonts w:ascii="Arial" w:hAnsi="Arial" w:cs="Arial"/>
          <w:sz w:val="24"/>
          <w:szCs w:val="24"/>
        </w:rPr>
        <w:t xml:space="preserve">Ontario Marginalization Index; </w:t>
      </w:r>
    </w:p>
    <w:p w:rsidR="00DF3671" w:rsidRPr="00D533A5" w:rsidRDefault="00DF3671" w:rsidP="00D533A5">
      <w:pPr>
        <w:pStyle w:val="ListParagraph"/>
        <w:numPr>
          <w:ilvl w:val="0"/>
          <w:numId w:val="2"/>
        </w:numPr>
        <w:rPr>
          <w:rFonts w:ascii="Arial" w:hAnsi="Arial" w:cs="Arial"/>
          <w:sz w:val="24"/>
          <w:szCs w:val="24"/>
        </w:rPr>
      </w:pPr>
      <w:r w:rsidRPr="00D533A5">
        <w:rPr>
          <w:rFonts w:ascii="Arial" w:hAnsi="Arial" w:cs="Arial"/>
          <w:sz w:val="24"/>
          <w:szCs w:val="24"/>
        </w:rPr>
        <w:t>Post-secondary education attainment rate.</w:t>
      </w:r>
    </w:p>
    <w:p w:rsidR="00DF3671" w:rsidRDefault="00DF3671" w:rsidP="007C0C12">
      <w:pPr>
        <w:rPr>
          <w:rFonts w:ascii="Arial" w:hAnsi="Arial" w:cs="Arial"/>
          <w:sz w:val="24"/>
          <w:szCs w:val="24"/>
        </w:rPr>
      </w:pPr>
    </w:p>
    <w:p w:rsidR="00D533A5" w:rsidRDefault="00DF3671" w:rsidP="00D533A5">
      <w:pPr>
        <w:ind w:firstLine="720"/>
        <w:rPr>
          <w:rFonts w:ascii="Arial" w:hAnsi="Arial" w:cs="Arial"/>
          <w:sz w:val="24"/>
          <w:szCs w:val="24"/>
        </w:rPr>
      </w:pPr>
      <w:r>
        <w:rPr>
          <w:rFonts w:ascii="Arial" w:hAnsi="Arial" w:cs="Arial"/>
          <w:i/>
          <w:sz w:val="24"/>
          <w:szCs w:val="24"/>
        </w:rPr>
        <w:t>Participation in Decision-Making</w:t>
      </w:r>
      <w:r>
        <w:rPr>
          <w:rFonts w:ascii="Arial" w:hAnsi="Arial" w:cs="Arial"/>
          <w:sz w:val="24"/>
          <w:szCs w:val="24"/>
        </w:rPr>
        <w:t xml:space="preserve">: </w:t>
      </w:r>
    </w:p>
    <w:p w:rsidR="00DF3671" w:rsidRPr="00D533A5" w:rsidRDefault="00DF3671" w:rsidP="00D533A5">
      <w:pPr>
        <w:pStyle w:val="ListParagraph"/>
        <w:numPr>
          <w:ilvl w:val="0"/>
          <w:numId w:val="3"/>
        </w:numPr>
        <w:rPr>
          <w:rFonts w:ascii="Arial" w:hAnsi="Arial" w:cs="Arial"/>
          <w:sz w:val="24"/>
          <w:szCs w:val="24"/>
        </w:rPr>
      </w:pPr>
      <w:r w:rsidRPr="00D533A5">
        <w:rPr>
          <w:rFonts w:ascii="Arial" w:hAnsi="Arial" w:cs="Arial"/>
          <w:sz w:val="24"/>
          <w:szCs w:val="24"/>
        </w:rPr>
        <w:t>Municipal voting rate.</w:t>
      </w:r>
    </w:p>
    <w:p w:rsidR="00DF3671" w:rsidRDefault="00DF3671" w:rsidP="007C0C12">
      <w:pPr>
        <w:rPr>
          <w:rFonts w:ascii="Arial" w:hAnsi="Arial" w:cs="Arial"/>
          <w:sz w:val="24"/>
          <w:szCs w:val="24"/>
        </w:rPr>
      </w:pPr>
    </w:p>
    <w:p w:rsidR="00D533A5" w:rsidRDefault="00DF3671" w:rsidP="00D533A5">
      <w:pPr>
        <w:ind w:firstLine="720"/>
        <w:rPr>
          <w:rFonts w:ascii="Arial" w:hAnsi="Arial" w:cs="Arial"/>
          <w:sz w:val="24"/>
          <w:szCs w:val="24"/>
        </w:rPr>
      </w:pPr>
      <w:r>
        <w:rPr>
          <w:rFonts w:ascii="Arial" w:hAnsi="Arial" w:cs="Arial"/>
          <w:i/>
          <w:sz w:val="24"/>
          <w:szCs w:val="24"/>
        </w:rPr>
        <w:t>Physical Surroundings:</w:t>
      </w:r>
      <w:r>
        <w:rPr>
          <w:rFonts w:ascii="Arial" w:hAnsi="Arial" w:cs="Arial"/>
          <w:sz w:val="24"/>
          <w:szCs w:val="24"/>
        </w:rPr>
        <w:t xml:space="preserve"> </w:t>
      </w:r>
    </w:p>
    <w:p w:rsidR="00D533A5" w:rsidRDefault="00DF3671" w:rsidP="00D533A5">
      <w:pPr>
        <w:pStyle w:val="ListParagraph"/>
        <w:numPr>
          <w:ilvl w:val="0"/>
          <w:numId w:val="3"/>
        </w:numPr>
        <w:rPr>
          <w:rFonts w:ascii="Arial" w:hAnsi="Arial" w:cs="Arial"/>
          <w:sz w:val="24"/>
          <w:szCs w:val="24"/>
        </w:rPr>
      </w:pPr>
      <w:r w:rsidRPr="00D533A5">
        <w:rPr>
          <w:rFonts w:ascii="Arial" w:hAnsi="Arial" w:cs="Arial"/>
          <w:sz w:val="24"/>
          <w:szCs w:val="24"/>
        </w:rPr>
        <w:t xml:space="preserve">Community spaces for meeting; </w:t>
      </w:r>
    </w:p>
    <w:p w:rsidR="00D533A5" w:rsidRDefault="00DF3671" w:rsidP="00D533A5">
      <w:pPr>
        <w:pStyle w:val="ListParagraph"/>
        <w:numPr>
          <w:ilvl w:val="0"/>
          <w:numId w:val="3"/>
        </w:numPr>
        <w:rPr>
          <w:rFonts w:ascii="Arial" w:hAnsi="Arial" w:cs="Arial"/>
          <w:sz w:val="24"/>
          <w:szCs w:val="24"/>
        </w:rPr>
      </w:pPr>
      <w:proofErr w:type="spellStart"/>
      <w:r w:rsidRPr="00D533A5">
        <w:rPr>
          <w:rFonts w:ascii="Arial" w:hAnsi="Arial" w:cs="Arial"/>
          <w:sz w:val="24"/>
          <w:szCs w:val="24"/>
        </w:rPr>
        <w:t>Walkscore</w:t>
      </w:r>
      <w:proofErr w:type="spellEnd"/>
      <w:r w:rsidRPr="00D533A5">
        <w:rPr>
          <w:rFonts w:ascii="Arial" w:hAnsi="Arial" w:cs="Arial"/>
          <w:sz w:val="24"/>
          <w:szCs w:val="24"/>
        </w:rPr>
        <w:t xml:space="preserve">; </w:t>
      </w:r>
    </w:p>
    <w:p w:rsidR="00D533A5" w:rsidRDefault="00DF3671" w:rsidP="00D533A5">
      <w:pPr>
        <w:pStyle w:val="ListParagraph"/>
        <w:numPr>
          <w:ilvl w:val="0"/>
          <w:numId w:val="3"/>
        </w:numPr>
        <w:rPr>
          <w:rFonts w:ascii="Arial" w:hAnsi="Arial" w:cs="Arial"/>
          <w:sz w:val="24"/>
          <w:szCs w:val="24"/>
        </w:rPr>
      </w:pPr>
      <w:r w:rsidRPr="00D533A5">
        <w:rPr>
          <w:rFonts w:ascii="Arial" w:hAnsi="Arial" w:cs="Arial"/>
          <w:sz w:val="24"/>
          <w:szCs w:val="24"/>
        </w:rPr>
        <w:t xml:space="preserve">Access to healthier food stores; </w:t>
      </w:r>
    </w:p>
    <w:p w:rsidR="00DF3671" w:rsidRPr="00D533A5" w:rsidRDefault="00DF3671" w:rsidP="00D533A5">
      <w:pPr>
        <w:pStyle w:val="ListParagraph"/>
        <w:numPr>
          <w:ilvl w:val="0"/>
          <w:numId w:val="3"/>
        </w:numPr>
        <w:rPr>
          <w:rFonts w:ascii="Arial" w:hAnsi="Arial" w:cs="Arial"/>
          <w:sz w:val="24"/>
          <w:szCs w:val="24"/>
        </w:rPr>
      </w:pPr>
      <w:r w:rsidRPr="00D533A5">
        <w:rPr>
          <w:rFonts w:ascii="Arial" w:hAnsi="Arial" w:cs="Arial"/>
          <w:sz w:val="24"/>
          <w:szCs w:val="24"/>
        </w:rPr>
        <w:t>Access to green space.</w:t>
      </w:r>
    </w:p>
    <w:p w:rsidR="00DF3671" w:rsidRDefault="00DF3671" w:rsidP="007C0C12">
      <w:pPr>
        <w:rPr>
          <w:rFonts w:ascii="Arial" w:hAnsi="Arial" w:cs="Arial"/>
          <w:sz w:val="24"/>
          <w:szCs w:val="24"/>
        </w:rPr>
      </w:pPr>
    </w:p>
    <w:p w:rsidR="00D533A5" w:rsidRDefault="00DF3671" w:rsidP="00D533A5">
      <w:pPr>
        <w:ind w:firstLine="720"/>
        <w:rPr>
          <w:rFonts w:ascii="Arial" w:hAnsi="Arial" w:cs="Arial"/>
          <w:sz w:val="24"/>
          <w:szCs w:val="24"/>
        </w:rPr>
      </w:pPr>
      <w:r>
        <w:rPr>
          <w:rFonts w:ascii="Arial" w:hAnsi="Arial" w:cs="Arial"/>
          <w:i/>
          <w:sz w:val="24"/>
          <w:szCs w:val="24"/>
        </w:rPr>
        <w:t>Healthy:</w:t>
      </w:r>
      <w:r>
        <w:rPr>
          <w:rFonts w:ascii="Arial" w:hAnsi="Arial" w:cs="Arial"/>
          <w:sz w:val="24"/>
          <w:szCs w:val="24"/>
        </w:rPr>
        <w:t xml:space="preserve"> </w:t>
      </w:r>
    </w:p>
    <w:p w:rsidR="00D533A5" w:rsidRDefault="00DF3671" w:rsidP="00D533A5">
      <w:pPr>
        <w:pStyle w:val="ListParagraph"/>
        <w:numPr>
          <w:ilvl w:val="0"/>
          <w:numId w:val="4"/>
        </w:numPr>
        <w:rPr>
          <w:rFonts w:ascii="Arial" w:hAnsi="Arial" w:cs="Arial"/>
          <w:sz w:val="24"/>
          <w:szCs w:val="24"/>
        </w:rPr>
      </w:pPr>
      <w:r w:rsidRPr="00D533A5">
        <w:rPr>
          <w:rFonts w:ascii="Arial" w:hAnsi="Arial" w:cs="Arial"/>
          <w:sz w:val="24"/>
          <w:szCs w:val="24"/>
        </w:rPr>
        <w:t xml:space="preserve">Premature mortality rate; </w:t>
      </w:r>
    </w:p>
    <w:p w:rsidR="00D533A5" w:rsidRDefault="00DF3671" w:rsidP="00D533A5">
      <w:pPr>
        <w:pStyle w:val="ListParagraph"/>
        <w:numPr>
          <w:ilvl w:val="0"/>
          <w:numId w:val="4"/>
        </w:numPr>
        <w:rPr>
          <w:rFonts w:ascii="Arial" w:hAnsi="Arial" w:cs="Arial"/>
          <w:sz w:val="24"/>
          <w:szCs w:val="24"/>
        </w:rPr>
      </w:pPr>
      <w:r w:rsidRPr="00D533A5">
        <w:rPr>
          <w:rFonts w:ascii="Arial" w:hAnsi="Arial" w:cs="Arial"/>
          <w:sz w:val="24"/>
          <w:szCs w:val="24"/>
        </w:rPr>
        <w:t xml:space="preserve">Self-assessed mental health; </w:t>
      </w:r>
    </w:p>
    <w:p w:rsidR="00D533A5" w:rsidRDefault="00DF3671" w:rsidP="00D533A5">
      <w:pPr>
        <w:pStyle w:val="ListParagraph"/>
        <w:numPr>
          <w:ilvl w:val="0"/>
          <w:numId w:val="4"/>
        </w:numPr>
        <w:rPr>
          <w:rFonts w:ascii="Arial" w:hAnsi="Arial" w:cs="Arial"/>
          <w:sz w:val="24"/>
          <w:szCs w:val="24"/>
        </w:rPr>
      </w:pPr>
      <w:r w:rsidRPr="00D533A5">
        <w:rPr>
          <w:rFonts w:ascii="Arial" w:hAnsi="Arial" w:cs="Arial"/>
          <w:sz w:val="24"/>
          <w:szCs w:val="24"/>
        </w:rPr>
        <w:t xml:space="preserve">Preventable hospitalizations; </w:t>
      </w:r>
    </w:p>
    <w:p w:rsidR="00DF3671" w:rsidRPr="00D533A5" w:rsidRDefault="00DF3671" w:rsidP="00D533A5">
      <w:pPr>
        <w:pStyle w:val="ListParagraph"/>
        <w:numPr>
          <w:ilvl w:val="0"/>
          <w:numId w:val="4"/>
        </w:numPr>
        <w:rPr>
          <w:rFonts w:ascii="Arial" w:hAnsi="Arial" w:cs="Arial"/>
          <w:sz w:val="24"/>
          <w:szCs w:val="24"/>
        </w:rPr>
      </w:pPr>
      <w:r w:rsidRPr="00D533A5">
        <w:rPr>
          <w:rFonts w:ascii="Arial" w:hAnsi="Arial" w:cs="Arial"/>
          <w:sz w:val="24"/>
          <w:szCs w:val="24"/>
        </w:rPr>
        <w:t>Diabetes prevalence.</w:t>
      </w:r>
    </w:p>
    <w:p w:rsidR="00DF3671" w:rsidRDefault="00DF3671" w:rsidP="00DF3671">
      <w:pPr>
        <w:rPr>
          <w:rFonts w:ascii="Arial" w:hAnsi="Arial" w:cs="Arial"/>
          <w:sz w:val="24"/>
          <w:szCs w:val="24"/>
        </w:rPr>
      </w:pPr>
    </w:p>
    <w:p w:rsidR="00DF3671" w:rsidRDefault="00DF3671" w:rsidP="00DF3671">
      <w:pPr>
        <w:rPr>
          <w:rFonts w:ascii="Arial" w:hAnsi="Arial" w:cs="Arial"/>
          <w:b/>
          <w:sz w:val="24"/>
          <w:szCs w:val="24"/>
        </w:rPr>
      </w:pPr>
      <w:r w:rsidRPr="00DF3671">
        <w:rPr>
          <w:rFonts w:ascii="Arial" w:hAnsi="Arial" w:cs="Arial"/>
          <w:b/>
          <w:sz w:val="24"/>
          <w:szCs w:val="24"/>
        </w:rPr>
        <w:t xml:space="preserve">How were indicators selected? </w:t>
      </w:r>
    </w:p>
    <w:p w:rsidR="00D533A5" w:rsidRDefault="00D533A5" w:rsidP="00DF3671">
      <w:pPr>
        <w:rPr>
          <w:rFonts w:ascii="Arial" w:hAnsi="Arial" w:cs="Arial"/>
          <w:sz w:val="24"/>
          <w:szCs w:val="24"/>
        </w:rPr>
      </w:pPr>
    </w:p>
    <w:p w:rsidR="00DF3671" w:rsidRDefault="00D533A5" w:rsidP="00DF3671">
      <w:pPr>
        <w:rPr>
          <w:rFonts w:ascii="Arial" w:hAnsi="Arial" w:cs="Arial"/>
          <w:sz w:val="24"/>
          <w:szCs w:val="24"/>
        </w:rPr>
      </w:pPr>
      <w:r>
        <w:rPr>
          <w:rFonts w:ascii="Arial" w:hAnsi="Arial" w:cs="Arial"/>
          <w:sz w:val="24"/>
          <w:szCs w:val="24"/>
        </w:rPr>
        <w:t xml:space="preserve">The indicators were selected by the Urban </w:t>
      </w:r>
      <w:proofErr w:type="spellStart"/>
      <w:r>
        <w:rPr>
          <w:rFonts w:ascii="Arial" w:hAnsi="Arial" w:cs="Arial"/>
          <w:sz w:val="24"/>
          <w:szCs w:val="24"/>
        </w:rPr>
        <w:t>HEART@Toronto</w:t>
      </w:r>
      <w:proofErr w:type="spellEnd"/>
      <w:r>
        <w:rPr>
          <w:rFonts w:ascii="Arial" w:hAnsi="Arial" w:cs="Arial"/>
          <w:sz w:val="24"/>
          <w:szCs w:val="24"/>
        </w:rPr>
        <w:t xml:space="preserve"> steering committee based on the recommendations of 80 researchers and experts through an online Delphi process. Indicators were selected based on several criteria, including data availability, whether the indicator revealed </w:t>
      </w:r>
      <w:r w:rsidR="00995D84">
        <w:rPr>
          <w:rFonts w:ascii="Arial" w:hAnsi="Arial" w:cs="Arial"/>
          <w:sz w:val="24"/>
          <w:szCs w:val="24"/>
        </w:rPr>
        <w:t xml:space="preserve">a unique </w:t>
      </w:r>
      <w:r>
        <w:rPr>
          <w:rFonts w:ascii="Arial" w:hAnsi="Arial" w:cs="Arial"/>
          <w:sz w:val="24"/>
          <w:szCs w:val="24"/>
        </w:rPr>
        <w:t xml:space="preserve">neighbourhood </w:t>
      </w:r>
      <w:r w:rsidR="00995D84">
        <w:rPr>
          <w:rFonts w:ascii="Arial" w:hAnsi="Arial" w:cs="Arial"/>
          <w:sz w:val="24"/>
          <w:szCs w:val="24"/>
        </w:rPr>
        <w:t>inequity</w:t>
      </w:r>
      <w:r>
        <w:rPr>
          <w:rFonts w:ascii="Arial" w:hAnsi="Arial" w:cs="Arial"/>
          <w:sz w:val="24"/>
          <w:szCs w:val="24"/>
        </w:rPr>
        <w:t xml:space="preserve"> and comparability over time.</w:t>
      </w:r>
    </w:p>
    <w:p w:rsidR="00D533A5" w:rsidRDefault="00D533A5" w:rsidP="00DF3671">
      <w:pPr>
        <w:rPr>
          <w:rFonts w:ascii="Arial" w:hAnsi="Arial" w:cs="Arial"/>
          <w:sz w:val="24"/>
          <w:szCs w:val="24"/>
        </w:rPr>
      </w:pPr>
    </w:p>
    <w:p w:rsidR="00D533A5" w:rsidRDefault="00D533A5" w:rsidP="00DF3671">
      <w:pPr>
        <w:rPr>
          <w:rFonts w:ascii="Arial" w:hAnsi="Arial" w:cs="Arial"/>
          <w:sz w:val="24"/>
          <w:szCs w:val="24"/>
        </w:rPr>
      </w:pPr>
    </w:p>
    <w:p w:rsidR="00D533A5" w:rsidRPr="00DF3671" w:rsidRDefault="00D533A5" w:rsidP="00D533A5">
      <w:pPr>
        <w:rPr>
          <w:rFonts w:ascii="Arial" w:hAnsi="Arial" w:cs="Arial"/>
          <w:b/>
          <w:sz w:val="24"/>
          <w:szCs w:val="24"/>
        </w:rPr>
      </w:pPr>
      <w:r w:rsidRPr="00DF3671">
        <w:rPr>
          <w:rFonts w:ascii="Arial" w:hAnsi="Arial" w:cs="Arial"/>
          <w:b/>
          <w:sz w:val="24"/>
          <w:szCs w:val="24"/>
        </w:rPr>
        <w:t xml:space="preserve">Why were other indicators such those measuring transit access and housing not included? </w:t>
      </w:r>
    </w:p>
    <w:p w:rsidR="00D533A5" w:rsidRDefault="00D533A5" w:rsidP="00DF3671">
      <w:pPr>
        <w:rPr>
          <w:rFonts w:ascii="Arial" w:hAnsi="Arial" w:cs="Arial"/>
          <w:sz w:val="24"/>
          <w:szCs w:val="24"/>
        </w:rPr>
      </w:pPr>
    </w:p>
    <w:p w:rsidR="00DF3671" w:rsidRDefault="002853B5" w:rsidP="00DF3671">
      <w:pPr>
        <w:rPr>
          <w:rFonts w:ascii="Arial" w:hAnsi="Arial" w:cs="Arial"/>
          <w:sz w:val="24"/>
          <w:szCs w:val="24"/>
        </w:rPr>
      </w:pPr>
      <w:r>
        <w:rPr>
          <w:rFonts w:ascii="Arial" w:hAnsi="Arial" w:cs="Arial"/>
          <w:sz w:val="24"/>
          <w:szCs w:val="24"/>
        </w:rPr>
        <w:t xml:space="preserve">Many possible indicators, including those relating to housing, transit and safety, were considered when deciding on the final set of 15 indicators. </w:t>
      </w:r>
      <w:r w:rsidRPr="002853B5">
        <w:rPr>
          <w:rFonts w:ascii="Arial" w:hAnsi="Arial" w:cs="Arial"/>
          <w:sz w:val="24"/>
          <w:szCs w:val="24"/>
        </w:rPr>
        <w:t xml:space="preserve">Unfortunately, </w:t>
      </w:r>
      <w:r>
        <w:rPr>
          <w:rFonts w:ascii="Arial" w:hAnsi="Arial" w:cs="Arial"/>
          <w:sz w:val="24"/>
          <w:szCs w:val="24"/>
        </w:rPr>
        <w:t>high-quality</w:t>
      </w:r>
      <w:r w:rsidRPr="002853B5">
        <w:rPr>
          <w:rFonts w:ascii="Arial" w:hAnsi="Arial" w:cs="Arial"/>
          <w:sz w:val="24"/>
          <w:szCs w:val="24"/>
        </w:rPr>
        <w:t xml:space="preserve"> indicators </w:t>
      </w:r>
      <w:r>
        <w:rPr>
          <w:rFonts w:ascii="Arial" w:hAnsi="Arial" w:cs="Arial"/>
          <w:sz w:val="24"/>
          <w:szCs w:val="24"/>
        </w:rPr>
        <w:t xml:space="preserve">measuring these issues </w:t>
      </w:r>
      <w:r w:rsidRPr="002853B5">
        <w:rPr>
          <w:rFonts w:ascii="Arial" w:hAnsi="Arial" w:cs="Arial"/>
          <w:sz w:val="24"/>
          <w:szCs w:val="24"/>
        </w:rPr>
        <w:t>are not currently available for a neighbourhood-level analysis. There is, however, a significant opportunity to develop these indicators in the future.</w:t>
      </w:r>
    </w:p>
    <w:p w:rsidR="00DF3671" w:rsidRDefault="00DF3671" w:rsidP="00DF3671">
      <w:pPr>
        <w:rPr>
          <w:rFonts w:ascii="Arial" w:hAnsi="Arial" w:cs="Arial"/>
          <w:sz w:val="24"/>
          <w:szCs w:val="24"/>
        </w:rPr>
      </w:pPr>
    </w:p>
    <w:p w:rsidR="002853B5" w:rsidRDefault="002853B5" w:rsidP="00DF3671">
      <w:pPr>
        <w:rPr>
          <w:rFonts w:ascii="Arial" w:hAnsi="Arial" w:cs="Arial"/>
          <w:sz w:val="24"/>
          <w:szCs w:val="24"/>
        </w:rPr>
      </w:pPr>
    </w:p>
    <w:p w:rsidR="008C5599" w:rsidRPr="004C5C31" w:rsidRDefault="008C5599">
      <w:pPr>
        <w:rPr>
          <w:rFonts w:ascii="Arial" w:hAnsi="Arial" w:cs="Arial"/>
          <w:b/>
          <w:sz w:val="24"/>
          <w:szCs w:val="24"/>
        </w:rPr>
      </w:pPr>
      <w:r w:rsidRPr="004C5C31">
        <w:rPr>
          <w:rFonts w:ascii="Arial" w:hAnsi="Arial" w:cs="Arial"/>
          <w:b/>
          <w:sz w:val="24"/>
          <w:szCs w:val="24"/>
        </w:rPr>
        <w:t xml:space="preserve">How is </w:t>
      </w:r>
      <w:r w:rsidR="004C5C31" w:rsidRPr="004C5C31">
        <w:rPr>
          <w:rFonts w:ascii="Arial" w:hAnsi="Arial" w:cs="Arial"/>
          <w:b/>
          <w:sz w:val="24"/>
          <w:szCs w:val="24"/>
        </w:rPr>
        <w:t>NIA selection</w:t>
      </w:r>
      <w:r w:rsidRPr="004C5C31">
        <w:rPr>
          <w:rFonts w:ascii="Arial" w:hAnsi="Arial" w:cs="Arial"/>
          <w:b/>
          <w:sz w:val="24"/>
          <w:szCs w:val="24"/>
        </w:rPr>
        <w:t xml:space="preserve"> different from the way Priority Neighbourhoods for Investment (PNIs) were selected?</w:t>
      </w:r>
    </w:p>
    <w:p w:rsidR="007C0C12" w:rsidRDefault="007C0C12">
      <w:pPr>
        <w:rPr>
          <w:rFonts w:ascii="Arial" w:hAnsi="Arial" w:cs="Arial"/>
          <w:sz w:val="24"/>
          <w:szCs w:val="24"/>
        </w:rPr>
      </w:pPr>
    </w:p>
    <w:p w:rsidR="008C5599" w:rsidRDefault="00DD752A">
      <w:pPr>
        <w:rPr>
          <w:rFonts w:ascii="Arial" w:hAnsi="Arial" w:cs="Arial"/>
          <w:sz w:val="24"/>
          <w:szCs w:val="24"/>
        </w:rPr>
      </w:pPr>
      <w:r>
        <w:rPr>
          <w:rFonts w:ascii="Arial" w:hAnsi="Arial" w:cs="Arial"/>
          <w:sz w:val="24"/>
          <w:szCs w:val="24"/>
        </w:rPr>
        <w:t xml:space="preserve">The previous PNIs were selected based on a combination of indicators measuring access to service, </w:t>
      </w:r>
      <w:proofErr w:type="spellStart"/>
      <w:r>
        <w:rPr>
          <w:rFonts w:ascii="Arial" w:hAnsi="Arial" w:cs="Arial"/>
          <w:sz w:val="24"/>
          <w:szCs w:val="24"/>
        </w:rPr>
        <w:t>sociodemographic</w:t>
      </w:r>
      <w:proofErr w:type="spellEnd"/>
      <w:r>
        <w:rPr>
          <w:rFonts w:ascii="Arial" w:hAnsi="Arial" w:cs="Arial"/>
          <w:sz w:val="24"/>
          <w:szCs w:val="24"/>
        </w:rPr>
        <w:t xml:space="preserve"> risk/vulnerability, and areas identified in the Community Safety Plan.</w:t>
      </w:r>
    </w:p>
    <w:p w:rsidR="00904931" w:rsidRDefault="00904931">
      <w:pPr>
        <w:rPr>
          <w:rFonts w:ascii="Arial" w:hAnsi="Arial" w:cs="Arial"/>
          <w:sz w:val="24"/>
          <w:szCs w:val="24"/>
        </w:rPr>
      </w:pPr>
    </w:p>
    <w:p w:rsidR="00904931" w:rsidRDefault="00904931">
      <w:pPr>
        <w:rPr>
          <w:rFonts w:ascii="Arial" w:hAnsi="Arial" w:cs="Arial"/>
          <w:sz w:val="24"/>
          <w:szCs w:val="24"/>
        </w:rPr>
      </w:pPr>
    </w:p>
    <w:p w:rsidR="008C5599" w:rsidRPr="00CC65D1" w:rsidRDefault="008C5599">
      <w:pPr>
        <w:rPr>
          <w:rFonts w:ascii="Arial" w:hAnsi="Arial" w:cs="Arial"/>
          <w:b/>
          <w:sz w:val="24"/>
          <w:szCs w:val="24"/>
        </w:rPr>
      </w:pPr>
      <w:r w:rsidRPr="00CC65D1">
        <w:rPr>
          <w:rFonts w:ascii="Arial" w:hAnsi="Arial" w:cs="Arial"/>
          <w:b/>
          <w:sz w:val="24"/>
          <w:szCs w:val="24"/>
        </w:rPr>
        <w:t>How have PNIs changed over time? Using the 2005 criteria, how are PNIs doing today?</w:t>
      </w:r>
    </w:p>
    <w:p w:rsidR="008C5599" w:rsidRDefault="008C5599">
      <w:pPr>
        <w:rPr>
          <w:rFonts w:ascii="Arial" w:hAnsi="Arial" w:cs="Arial"/>
          <w:sz w:val="24"/>
          <w:szCs w:val="24"/>
        </w:rPr>
      </w:pPr>
    </w:p>
    <w:p w:rsidR="00CC65D1" w:rsidRDefault="00CC65D1">
      <w:pPr>
        <w:rPr>
          <w:rFonts w:ascii="Arial" w:hAnsi="Arial" w:cs="Arial"/>
          <w:sz w:val="24"/>
          <w:szCs w:val="24"/>
        </w:rPr>
      </w:pPr>
      <w:r>
        <w:rPr>
          <w:rFonts w:ascii="Arial" w:hAnsi="Arial" w:cs="Arial"/>
          <w:sz w:val="24"/>
          <w:szCs w:val="24"/>
        </w:rPr>
        <w:t>It is difficult to determine how neighbourhoods selected as PNIs in 2005 have changed due to lack of high quality comparable neighbourhood data. Because of the change in methodology from the Census to the 2011 National Household Survey, socioeconomic indicators that formed a part of the 2005 strategy cannot be compared across time.</w:t>
      </w:r>
    </w:p>
    <w:p w:rsidR="00CC65D1" w:rsidRPr="00CC65D1" w:rsidRDefault="00CC65D1">
      <w:pPr>
        <w:rPr>
          <w:rFonts w:ascii="Arial" w:hAnsi="Arial" w:cs="Arial"/>
          <w:sz w:val="24"/>
          <w:szCs w:val="24"/>
        </w:rPr>
      </w:pPr>
    </w:p>
    <w:p w:rsidR="008C5599" w:rsidRDefault="008C5599">
      <w:pPr>
        <w:rPr>
          <w:rFonts w:ascii="Arial" w:hAnsi="Arial" w:cs="Arial"/>
          <w:sz w:val="24"/>
          <w:szCs w:val="24"/>
        </w:rPr>
      </w:pPr>
    </w:p>
    <w:p w:rsidR="00433A55" w:rsidRPr="00CC65D1" w:rsidRDefault="00433A55" w:rsidP="00433A55">
      <w:pPr>
        <w:rPr>
          <w:rFonts w:ascii="Arial" w:hAnsi="Arial" w:cs="Arial"/>
          <w:b/>
          <w:sz w:val="24"/>
          <w:szCs w:val="24"/>
        </w:rPr>
      </w:pPr>
      <w:r w:rsidRPr="00CC65D1">
        <w:rPr>
          <w:rFonts w:ascii="Arial" w:hAnsi="Arial" w:cs="Arial"/>
          <w:b/>
          <w:sz w:val="24"/>
          <w:szCs w:val="24"/>
        </w:rPr>
        <w:t xml:space="preserve">How </w:t>
      </w:r>
      <w:proofErr w:type="gramStart"/>
      <w:r w:rsidRPr="00CC65D1">
        <w:rPr>
          <w:rFonts w:ascii="Arial" w:hAnsi="Arial" w:cs="Arial"/>
          <w:b/>
          <w:sz w:val="24"/>
          <w:szCs w:val="24"/>
        </w:rPr>
        <w:t>does</w:t>
      </w:r>
      <w:proofErr w:type="gramEnd"/>
      <w:r w:rsidRPr="00CC65D1">
        <w:rPr>
          <w:rFonts w:ascii="Arial" w:hAnsi="Arial" w:cs="Arial"/>
          <w:b/>
          <w:sz w:val="24"/>
          <w:szCs w:val="24"/>
        </w:rPr>
        <w:t xml:space="preserve"> the TSNS 2020 NIA Selection Criteria differ from the 2005 strategy?</w:t>
      </w:r>
    </w:p>
    <w:p w:rsidR="00433A55" w:rsidRDefault="00433A55" w:rsidP="00433A55">
      <w:pPr>
        <w:rPr>
          <w:rFonts w:ascii="Arial" w:hAnsi="Arial" w:cs="Arial"/>
          <w:sz w:val="24"/>
          <w:szCs w:val="24"/>
        </w:rPr>
      </w:pPr>
    </w:p>
    <w:p w:rsidR="00CC65D1" w:rsidRPr="00CC65D1" w:rsidRDefault="00CC65D1" w:rsidP="00433A55">
      <w:pPr>
        <w:rPr>
          <w:rFonts w:ascii="Arial" w:hAnsi="Arial" w:cs="Arial"/>
          <w:sz w:val="24"/>
          <w:szCs w:val="24"/>
        </w:rPr>
      </w:pPr>
      <w:r>
        <w:rPr>
          <w:rFonts w:ascii="Arial" w:hAnsi="Arial" w:cs="Arial"/>
          <w:sz w:val="24"/>
          <w:szCs w:val="24"/>
        </w:rPr>
        <w:t xml:space="preserve">The previous strategy selected neighbourhoods based on inputs (e.g. service access) and particular issues (e.g. crime and safety). TSNS 2020 is a significant broadening in scope from the previous strategy. The NIAs are selected on </w:t>
      </w:r>
      <w:r>
        <w:rPr>
          <w:rFonts w:ascii="Arial" w:hAnsi="Arial" w:cs="Arial"/>
          <w:i/>
          <w:sz w:val="24"/>
          <w:szCs w:val="24"/>
        </w:rPr>
        <w:t>outcomes</w:t>
      </w:r>
      <w:r w:rsidR="00F671F3">
        <w:rPr>
          <w:rFonts w:ascii="Arial" w:hAnsi="Arial" w:cs="Arial"/>
          <w:sz w:val="24"/>
          <w:szCs w:val="24"/>
        </w:rPr>
        <w:t>. Consequently, the indicators used to select NIAs for TSNS 2020 are different, with a different goal than the previous strategy.</w:t>
      </w:r>
      <w:r w:rsidR="00F671F3" w:rsidRPr="00CC65D1">
        <w:rPr>
          <w:rFonts w:ascii="Arial" w:hAnsi="Arial" w:cs="Arial"/>
          <w:sz w:val="24"/>
          <w:szCs w:val="24"/>
        </w:rPr>
        <w:t xml:space="preserve"> </w:t>
      </w:r>
    </w:p>
    <w:p w:rsidR="00CC65D1" w:rsidRDefault="00CC65D1" w:rsidP="00433A55">
      <w:pPr>
        <w:rPr>
          <w:rFonts w:ascii="Arial" w:hAnsi="Arial" w:cs="Arial"/>
          <w:sz w:val="24"/>
          <w:szCs w:val="24"/>
        </w:rPr>
      </w:pPr>
    </w:p>
    <w:p w:rsidR="00433A55" w:rsidRDefault="00433A55" w:rsidP="008C5599">
      <w:pPr>
        <w:rPr>
          <w:rFonts w:ascii="Arial" w:hAnsi="Arial" w:cs="Arial"/>
          <w:sz w:val="24"/>
          <w:szCs w:val="24"/>
        </w:rPr>
      </w:pPr>
    </w:p>
    <w:p w:rsidR="00433A55" w:rsidRDefault="00433A55">
      <w:pPr>
        <w:rPr>
          <w:rFonts w:ascii="Arial" w:hAnsi="Arial" w:cs="Arial"/>
          <w:sz w:val="24"/>
          <w:szCs w:val="24"/>
        </w:rPr>
      </w:pPr>
    </w:p>
    <w:p w:rsidR="00576DDE" w:rsidRPr="00CC65D1" w:rsidRDefault="00576DDE">
      <w:pPr>
        <w:rPr>
          <w:rFonts w:ascii="Arial" w:hAnsi="Arial" w:cs="Arial"/>
          <w:b/>
          <w:sz w:val="24"/>
          <w:szCs w:val="24"/>
        </w:rPr>
      </w:pPr>
      <w:r w:rsidRPr="00CC65D1">
        <w:rPr>
          <w:rFonts w:ascii="Arial" w:hAnsi="Arial" w:cs="Arial"/>
          <w:b/>
          <w:sz w:val="24"/>
          <w:szCs w:val="24"/>
        </w:rPr>
        <w:t>How were the indicators combined? Why are some indicators weighted more heavily?</w:t>
      </w:r>
    </w:p>
    <w:p w:rsidR="00576DDE" w:rsidRDefault="00576DDE">
      <w:pPr>
        <w:rPr>
          <w:rFonts w:ascii="Arial" w:hAnsi="Arial" w:cs="Arial"/>
          <w:sz w:val="24"/>
          <w:szCs w:val="24"/>
        </w:rPr>
      </w:pPr>
    </w:p>
    <w:p w:rsidR="00F55779" w:rsidRDefault="00CC65D1">
      <w:pPr>
        <w:rPr>
          <w:rFonts w:ascii="Arial" w:hAnsi="Arial" w:cs="Arial"/>
          <w:sz w:val="24"/>
          <w:szCs w:val="24"/>
        </w:rPr>
      </w:pPr>
      <w:r>
        <w:rPr>
          <w:rFonts w:ascii="Arial" w:hAnsi="Arial" w:cs="Arial"/>
          <w:sz w:val="24"/>
          <w:szCs w:val="24"/>
        </w:rPr>
        <w:t>Indicators that consistently explain more of the differences between Toronto neighbourhoods are weighted more heavily. Indicator weights were calculated using a statistical clustering method called principal component analysis (PCA).</w:t>
      </w:r>
    </w:p>
    <w:p w:rsidR="00CC65D1" w:rsidRDefault="00CC65D1">
      <w:pPr>
        <w:rPr>
          <w:rFonts w:ascii="Arial" w:hAnsi="Arial" w:cs="Arial"/>
          <w:sz w:val="24"/>
          <w:szCs w:val="24"/>
        </w:rPr>
      </w:pPr>
    </w:p>
    <w:p w:rsidR="00CC65D1" w:rsidRDefault="00CC65D1">
      <w:pPr>
        <w:rPr>
          <w:rFonts w:ascii="Arial" w:hAnsi="Arial" w:cs="Arial"/>
          <w:sz w:val="24"/>
          <w:szCs w:val="24"/>
        </w:rPr>
      </w:pPr>
    </w:p>
    <w:p w:rsidR="00F55779" w:rsidRDefault="00F55779">
      <w:pPr>
        <w:rPr>
          <w:rFonts w:ascii="Arial" w:hAnsi="Arial" w:cs="Arial"/>
          <w:sz w:val="24"/>
          <w:szCs w:val="24"/>
        </w:rPr>
      </w:pPr>
      <w:r w:rsidRPr="00CC65D1">
        <w:rPr>
          <w:rFonts w:ascii="Arial" w:hAnsi="Arial" w:cs="Arial"/>
          <w:b/>
          <w:sz w:val="24"/>
          <w:szCs w:val="24"/>
        </w:rPr>
        <w:t xml:space="preserve">Why </w:t>
      </w:r>
      <w:proofErr w:type="gramStart"/>
      <w:r w:rsidRPr="00CC65D1">
        <w:rPr>
          <w:rFonts w:ascii="Arial" w:hAnsi="Arial" w:cs="Arial"/>
          <w:b/>
          <w:sz w:val="24"/>
          <w:szCs w:val="24"/>
        </w:rPr>
        <w:t>is "Access to Green Space"</w:t>
      </w:r>
      <w:proofErr w:type="gramEnd"/>
      <w:r w:rsidRPr="00CC65D1">
        <w:rPr>
          <w:rFonts w:ascii="Arial" w:hAnsi="Arial" w:cs="Arial"/>
          <w:b/>
          <w:sz w:val="24"/>
          <w:szCs w:val="24"/>
        </w:rPr>
        <w:t xml:space="preserve"> negatively weighted?</w:t>
      </w:r>
    </w:p>
    <w:p w:rsidR="00CC65D1" w:rsidRDefault="00CC65D1">
      <w:pPr>
        <w:rPr>
          <w:rFonts w:ascii="Arial" w:hAnsi="Arial" w:cs="Arial"/>
          <w:sz w:val="24"/>
          <w:szCs w:val="24"/>
        </w:rPr>
      </w:pPr>
    </w:p>
    <w:p w:rsidR="00CC65D1" w:rsidRPr="00CC65D1" w:rsidRDefault="00CC65D1">
      <w:pPr>
        <w:rPr>
          <w:rFonts w:ascii="Arial" w:hAnsi="Arial" w:cs="Arial"/>
          <w:sz w:val="24"/>
          <w:szCs w:val="24"/>
        </w:rPr>
      </w:pPr>
      <w:r>
        <w:rPr>
          <w:rFonts w:ascii="Arial" w:hAnsi="Arial" w:cs="Arial"/>
          <w:sz w:val="24"/>
          <w:szCs w:val="24"/>
        </w:rPr>
        <w:t>Green space is negatively weighted because the PCA analysis showed that neighbourhoods that lacked green space had greater overall inequities across the 5 thematic domains as compared to neighbourhoods with large amounts of green space. This negative weighting reflects a tension regarding the optimal density of neighbourhoods.</w:t>
      </w:r>
    </w:p>
    <w:p w:rsidR="00576DDE" w:rsidRDefault="00576DDE">
      <w:pPr>
        <w:rPr>
          <w:rFonts w:ascii="Arial" w:hAnsi="Arial" w:cs="Arial"/>
          <w:sz w:val="24"/>
          <w:szCs w:val="24"/>
        </w:rPr>
      </w:pPr>
    </w:p>
    <w:p w:rsidR="00253988" w:rsidRDefault="00253988">
      <w:pPr>
        <w:rPr>
          <w:rFonts w:ascii="Arial" w:hAnsi="Arial" w:cs="Arial"/>
          <w:sz w:val="24"/>
          <w:szCs w:val="24"/>
        </w:rPr>
      </w:pPr>
    </w:p>
    <w:p w:rsidR="00303E37" w:rsidRDefault="00303E37" w:rsidP="00303E37">
      <w:pPr>
        <w:rPr>
          <w:rFonts w:ascii="Arial" w:hAnsi="Arial" w:cs="Arial"/>
          <w:b/>
          <w:sz w:val="24"/>
          <w:szCs w:val="24"/>
        </w:rPr>
      </w:pPr>
      <w:r w:rsidRPr="00CC65D1">
        <w:rPr>
          <w:rFonts w:ascii="Arial" w:hAnsi="Arial" w:cs="Arial"/>
          <w:b/>
          <w:sz w:val="24"/>
          <w:szCs w:val="24"/>
        </w:rPr>
        <w:t>Why 31 neighbourhoods?</w:t>
      </w:r>
      <w:r w:rsidR="008162E3" w:rsidRPr="00CC65D1">
        <w:rPr>
          <w:rFonts w:ascii="Arial" w:hAnsi="Arial" w:cs="Arial"/>
          <w:b/>
          <w:sz w:val="24"/>
          <w:szCs w:val="24"/>
        </w:rPr>
        <w:t xml:space="preserve"> Why not more or less?</w:t>
      </w:r>
    </w:p>
    <w:p w:rsidR="00CC65D1" w:rsidRDefault="00CC65D1" w:rsidP="00303E37">
      <w:pPr>
        <w:rPr>
          <w:rFonts w:ascii="Arial" w:hAnsi="Arial" w:cs="Arial"/>
          <w:b/>
          <w:sz w:val="24"/>
          <w:szCs w:val="24"/>
        </w:rPr>
      </w:pPr>
    </w:p>
    <w:p w:rsidR="00CC65D1" w:rsidRDefault="00CC65D1" w:rsidP="00303E37">
      <w:pPr>
        <w:rPr>
          <w:rFonts w:ascii="Arial" w:hAnsi="Arial" w:cs="Arial"/>
          <w:sz w:val="24"/>
          <w:szCs w:val="24"/>
        </w:rPr>
      </w:pPr>
      <w:r>
        <w:rPr>
          <w:rFonts w:ascii="Arial" w:hAnsi="Arial" w:cs="Arial"/>
          <w:sz w:val="24"/>
          <w:szCs w:val="24"/>
        </w:rPr>
        <w:t xml:space="preserve">All 31 neighbourhoods fell below the neighbourhood benchmark. This benchmark was mathematically calculated based on the indicator weights used to calculate neighbourhood scores and benchmark values provided by Urban HEART. </w:t>
      </w:r>
      <w:r w:rsidR="00B50A40">
        <w:rPr>
          <w:rFonts w:ascii="Arial" w:hAnsi="Arial" w:cs="Arial"/>
          <w:sz w:val="24"/>
          <w:szCs w:val="24"/>
        </w:rPr>
        <w:t>This resulted in a composite benchmark value of 42.89.</w:t>
      </w:r>
    </w:p>
    <w:p w:rsidR="00B50A40" w:rsidRDefault="00B50A40" w:rsidP="00303E37">
      <w:pPr>
        <w:rPr>
          <w:rFonts w:ascii="Arial" w:hAnsi="Arial" w:cs="Arial"/>
          <w:sz w:val="24"/>
          <w:szCs w:val="24"/>
        </w:rPr>
      </w:pPr>
    </w:p>
    <w:p w:rsidR="00AE3135" w:rsidRDefault="00AE3135" w:rsidP="00303E37">
      <w:pPr>
        <w:rPr>
          <w:rFonts w:ascii="Arial" w:hAnsi="Arial" w:cs="Arial"/>
          <w:sz w:val="24"/>
          <w:szCs w:val="24"/>
        </w:rPr>
      </w:pPr>
    </w:p>
    <w:p w:rsidR="008162E3" w:rsidRDefault="00143186" w:rsidP="00303E37">
      <w:pPr>
        <w:rPr>
          <w:rFonts w:ascii="Arial" w:hAnsi="Arial" w:cs="Arial"/>
          <w:b/>
          <w:sz w:val="24"/>
          <w:szCs w:val="24"/>
        </w:rPr>
      </w:pPr>
      <w:r w:rsidRPr="00B50A40">
        <w:rPr>
          <w:rFonts w:ascii="Arial" w:hAnsi="Arial" w:cs="Arial"/>
          <w:b/>
          <w:sz w:val="24"/>
          <w:szCs w:val="24"/>
        </w:rPr>
        <w:t>How do NIAs demographically compare to the rest of Toronto neighbourhoods?</w:t>
      </w:r>
    </w:p>
    <w:p w:rsidR="00B50A40" w:rsidRDefault="00B50A40" w:rsidP="00303E37">
      <w:pPr>
        <w:rPr>
          <w:rFonts w:ascii="Arial" w:hAnsi="Arial" w:cs="Arial"/>
          <w:b/>
          <w:sz w:val="24"/>
          <w:szCs w:val="24"/>
        </w:rPr>
      </w:pPr>
    </w:p>
    <w:p w:rsidR="00B50A40" w:rsidRPr="00B50A40" w:rsidRDefault="00B50A40" w:rsidP="00303E37">
      <w:pPr>
        <w:rPr>
          <w:rFonts w:ascii="Arial" w:hAnsi="Arial" w:cs="Arial"/>
          <w:sz w:val="24"/>
          <w:szCs w:val="24"/>
        </w:rPr>
      </w:pPr>
      <w:r>
        <w:rPr>
          <w:rFonts w:ascii="Arial" w:hAnsi="Arial" w:cs="Arial"/>
          <w:sz w:val="24"/>
          <w:szCs w:val="24"/>
        </w:rPr>
        <w:t xml:space="preserve">NIAs are, on average, have more children, newcomers, and visible minorities. NIAs have greater socioeconomic challenges across a wide range of issues, such as housing and income. </w:t>
      </w:r>
    </w:p>
    <w:p w:rsidR="00143186" w:rsidRDefault="00143186" w:rsidP="00303E37">
      <w:pPr>
        <w:rPr>
          <w:rFonts w:ascii="Arial" w:hAnsi="Arial" w:cs="Arial"/>
          <w:sz w:val="24"/>
          <w:szCs w:val="24"/>
        </w:rPr>
      </w:pPr>
    </w:p>
    <w:p w:rsidR="00143186" w:rsidRDefault="00143186" w:rsidP="00303E37">
      <w:pPr>
        <w:rPr>
          <w:rFonts w:ascii="Arial" w:hAnsi="Arial" w:cs="Arial"/>
          <w:sz w:val="24"/>
          <w:szCs w:val="24"/>
        </w:rPr>
      </w:pPr>
    </w:p>
    <w:p w:rsidR="00253988" w:rsidRDefault="00274BB2">
      <w:pPr>
        <w:rPr>
          <w:rFonts w:ascii="Arial" w:hAnsi="Arial" w:cs="Arial"/>
          <w:b/>
          <w:sz w:val="24"/>
          <w:szCs w:val="24"/>
        </w:rPr>
      </w:pPr>
      <w:r>
        <w:rPr>
          <w:rFonts w:ascii="Arial" w:hAnsi="Arial" w:cs="Arial"/>
          <w:b/>
          <w:sz w:val="24"/>
          <w:szCs w:val="24"/>
        </w:rPr>
        <w:t>How do the results compare with the "three cities" concept of Toronto?</w:t>
      </w:r>
    </w:p>
    <w:p w:rsidR="00274BB2" w:rsidRDefault="00274BB2">
      <w:pPr>
        <w:rPr>
          <w:rFonts w:ascii="Arial" w:hAnsi="Arial" w:cs="Arial"/>
          <w:b/>
          <w:sz w:val="24"/>
          <w:szCs w:val="24"/>
        </w:rPr>
      </w:pPr>
    </w:p>
    <w:p w:rsidR="00274BB2" w:rsidRDefault="00274BB2">
      <w:pPr>
        <w:rPr>
          <w:rFonts w:ascii="Arial" w:hAnsi="Arial" w:cs="Arial"/>
          <w:sz w:val="24"/>
          <w:szCs w:val="24"/>
        </w:rPr>
      </w:pPr>
      <w:r w:rsidRPr="00274BB2">
        <w:rPr>
          <w:rFonts w:ascii="Arial" w:hAnsi="Arial" w:cs="Arial"/>
          <w:sz w:val="24"/>
          <w:szCs w:val="24"/>
        </w:rPr>
        <w:t xml:space="preserve">The </w:t>
      </w:r>
      <w:r>
        <w:rPr>
          <w:rFonts w:ascii="Arial" w:hAnsi="Arial" w:cs="Arial"/>
          <w:sz w:val="24"/>
          <w:szCs w:val="24"/>
        </w:rPr>
        <w:t xml:space="preserve">geographical locations of the </w:t>
      </w:r>
      <w:r w:rsidRPr="00274BB2">
        <w:rPr>
          <w:rFonts w:ascii="Arial" w:hAnsi="Arial" w:cs="Arial"/>
          <w:sz w:val="24"/>
          <w:szCs w:val="24"/>
        </w:rPr>
        <w:t>N</w:t>
      </w:r>
      <w:r>
        <w:rPr>
          <w:rFonts w:ascii="Arial" w:hAnsi="Arial" w:cs="Arial"/>
          <w:sz w:val="24"/>
          <w:szCs w:val="24"/>
        </w:rPr>
        <w:t xml:space="preserve">IAs roughly fall within the "U" of poverty in Toronto identified in David </w:t>
      </w:r>
      <w:proofErr w:type="spellStart"/>
      <w:r>
        <w:rPr>
          <w:rFonts w:ascii="Arial" w:hAnsi="Arial" w:cs="Arial"/>
          <w:sz w:val="24"/>
          <w:szCs w:val="24"/>
        </w:rPr>
        <w:t>Hulchanski's</w:t>
      </w:r>
      <w:proofErr w:type="spellEnd"/>
      <w:r>
        <w:rPr>
          <w:rFonts w:ascii="Arial" w:hAnsi="Arial" w:cs="Arial"/>
          <w:sz w:val="24"/>
          <w:szCs w:val="24"/>
        </w:rPr>
        <w:t xml:space="preserve"> report. This is not surprising because income and socioeconomic status is contained within the Neighbourhood Equity Index.</w:t>
      </w:r>
    </w:p>
    <w:p w:rsidR="00274BB2" w:rsidRDefault="00274BB2">
      <w:pPr>
        <w:rPr>
          <w:rFonts w:ascii="Arial" w:hAnsi="Arial" w:cs="Arial"/>
          <w:sz w:val="24"/>
          <w:szCs w:val="24"/>
        </w:rPr>
      </w:pPr>
    </w:p>
    <w:p w:rsidR="00274BB2" w:rsidRPr="00DB0A12" w:rsidRDefault="00274BB2">
      <w:pPr>
        <w:rPr>
          <w:rFonts w:ascii="Arial" w:hAnsi="Arial" w:cs="Arial"/>
          <w:sz w:val="24"/>
          <w:szCs w:val="24"/>
        </w:rPr>
      </w:pPr>
    </w:p>
    <w:p w:rsidR="00576DDE" w:rsidRDefault="00AE3135">
      <w:pPr>
        <w:rPr>
          <w:rFonts w:ascii="Arial" w:hAnsi="Arial" w:cs="Arial"/>
          <w:sz w:val="24"/>
          <w:szCs w:val="24"/>
        </w:rPr>
      </w:pPr>
      <w:r>
        <w:rPr>
          <w:rFonts w:ascii="Arial" w:hAnsi="Arial" w:cs="Arial"/>
          <w:b/>
          <w:sz w:val="24"/>
          <w:szCs w:val="24"/>
        </w:rPr>
        <w:t xml:space="preserve">What role did Urban </w:t>
      </w:r>
      <w:proofErr w:type="spellStart"/>
      <w:r>
        <w:rPr>
          <w:rFonts w:ascii="Arial" w:hAnsi="Arial" w:cs="Arial"/>
          <w:b/>
          <w:sz w:val="24"/>
          <w:szCs w:val="24"/>
        </w:rPr>
        <w:t>HEART@Toronto</w:t>
      </w:r>
      <w:proofErr w:type="spellEnd"/>
      <w:r>
        <w:rPr>
          <w:rFonts w:ascii="Arial" w:hAnsi="Arial" w:cs="Arial"/>
          <w:b/>
          <w:sz w:val="24"/>
          <w:szCs w:val="24"/>
        </w:rPr>
        <w:t xml:space="preserve"> play in selecting NIAs?</w:t>
      </w:r>
    </w:p>
    <w:p w:rsidR="00AE3135" w:rsidRDefault="00AE3135">
      <w:pPr>
        <w:rPr>
          <w:rFonts w:ascii="Arial" w:hAnsi="Arial" w:cs="Arial"/>
          <w:sz w:val="24"/>
          <w:szCs w:val="24"/>
        </w:rPr>
      </w:pPr>
    </w:p>
    <w:p w:rsidR="00AE3135" w:rsidRDefault="00AE3135">
      <w:pPr>
        <w:rPr>
          <w:rFonts w:ascii="Arial" w:hAnsi="Arial" w:cs="Arial"/>
          <w:sz w:val="24"/>
          <w:szCs w:val="24"/>
        </w:rPr>
      </w:pPr>
      <w:r>
        <w:rPr>
          <w:rFonts w:ascii="Arial" w:hAnsi="Arial" w:cs="Arial"/>
          <w:sz w:val="24"/>
          <w:szCs w:val="24"/>
        </w:rPr>
        <w:t xml:space="preserve">Urban </w:t>
      </w:r>
      <w:proofErr w:type="spellStart"/>
      <w:r>
        <w:rPr>
          <w:rFonts w:ascii="Arial" w:hAnsi="Arial" w:cs="Arial"/>
          <w:sz w:val="24"/>
          <w:szCs w:val="24"/>
        </w:rPr>
        <w:t>HEART@Toronto</w:t>
      </w:r>
      <w:proofErr w:type="spellEnd"/>
      <w:r>
        <w:rPr>
          <w:rFonts w:ascii="Arial" w:hAnsi="Arial" w:cs="Arial"/>
          <w:sz w:val="24"/>
          <w:szCs w:val="24"/>
        </w:rPr>
        <w:t xml:space="preserve"> and TSNS 2020 are two related but different projects. Urban </w:t>
      </w:r>
      <w:proofErr w:type="spellStart"/>
      <w:r>
        <w:rPr>
          <w:rFonts w:ascii="Arial" w:hAnsi="Arial" w:cs="Arial"/>
          <w:sz w:val="24"/>
          <w:szCs w:val="24"/>
        </w:rPr>
        <w:t>HEART@Toronto</w:t>
      </w:r>
      <w:proofErr w:type="spellEnd"/>
      <w:r>
        <w:rPr>
          <w:rFonts w:ascii="Arial" w:hAnsi="Arial" w:cs="Arial"/>
          <w:sz w:val="24"/>
          <w:szCs w:val="24"/>
        </w:rPr>
        <w:t xml:space="preserve"> provided the raw data and benchmark indicator values that underpin the selection of NIAs. However, NIA selection under TSNS 2020 does not use the "red/yellow/green" </w:t>
      </w:r>
      <w:proofErr w:type="gramStart"/>
      <w:r>
        <w:rPr>
          <w:rFonts w:ascii="Arial" w:hAnsi="Arial" w:cs="Arial"/>
          <w:sz w:val="24"/>
          <w:szCs w:val="24"/>
        </w:rPr>
        <w:t>classifications that is</w:t>
      </w:r>
      <w:proofErr w:type="gramEnd"/>
      <w:r>
        <w:rPr>
          <w:rFonts w:ascii="Arial" w:hAnsi="Arial" w:cs="Arial"/>
          <w:sz w:val="24"/>
          <w:szCs w:val="24"/>
        </w:rPr>
        <w:t xml:space="preserve"> a key component of the Urban HEART project.</w:t>
      </w:r>
    </w:p>
    <w:sectPr w:rsidR="00AE3135" w:rsidSect="00EA73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7E03"/>
    <w:multiLevelType w:val="hybridMultilevel"/>
    <w:tmpl w:val="09427C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2DA4319A"/>
    <w:multiLevelType w:val="hybridMultilevel"/>
    <w:tmpl w:val="3B848F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53535CA9"/>
    <w:multiLevelType w:val="hybridMultilevel"/>
    <w:tmpl w:val="23F848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7C4119E7"/>
    <w:multiLevelType w:val="hybridMultilevel"/>
    <w:tmpl w:val="68EA50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5599"/>
    <w:rsid w:val="00143186"/>
    <w:rsid w:val="00146386"/>
    <w:rsid w:val="00164E1B"/>
    <w:rsid w:val="00253988"/>
    <w:rsid w:val="00274BB2"/>
    <w:rsid w:val="002853B5"/>
    <w:rsid w:val="00303E37"/>
    <w:rsid w:val="00433A55"/>
    <w:rsid w:val="004C5C31"/>
    <w:rsid w:val="00576DDE"/>
    <w:rsid w:val="007C0C12"/>
    <w:rsid w:val="008162E3"/>
    <w:rsid w:val="00860E60"/>
    <w:rsid w:val="008A1698"/>
    <w:rsid w:val="008C5599"/>
    <w:rsid w:val="00904931"/>
    <w:rsid w:val="00995D84"/>
    <w:rsid w:val="00AE3135"/>
    <w:rsid w:val="00B50A40"/>
    <w:rsid w:val="00BC0703"/>
    <w:rsid w:val="00CC65D1"/>
    <w:rsid w:val="00D17FBD"/>
    <w:rsid w:val="00D533A5"/>
    <w:rsid w:val="00DB0A12"/>
    <w:rsid w:val="00DD752A"/>
    <w:rsid w:val="00DE5275"/>
    <w:rsid w:val="00DF3671"/>
    <w:rsid w:val="00E468B9"/>
    <w:rsid w:val="00EA383B"/>
    <w:rsid w:val="00EA73A1"/>
    <w:rsid w:val="00F55779"/>
    <w:rsid w:val="00F671F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A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C0FA1-C718-4551-B2FA-6D29FC43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wchu</dc:creator>
  <cp:lastModifiedBy>wchu</cp:lastModifiedBy>
  <cp:revision>20</cp:revision>
  <dcterms:created xsi:type="dcterms:W3CDTF">2014-03-04T15:00:00Z</dcterms:created>
  <dcterms:modified xsi:type="dcterms:W3CDTF">2014-03-07T22:40:00Z</dcterms:modified>
</cp:coreProperties>
</file>