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2c1ac279496d9ce296d31a920c3e87ef394fb4"/>
    <w:p>
      <w:pPr>
        <w:pStyle w:val="Heading1"/>
      </w:pPr>
      <w:r>
        <w:t xml:space="preserve">CSOAI Governance OS: The Operating System for the AI Economy</w:t>
      </w:r>
    </w:p>
    <w:p>
      <w:pPr>
        <w:pStyle w:val="BlockText"/>
      </w:pPr>
      <w:r>
        <w:rPr>
          <w:bCs/>
          <w:b/>
        </w:rPr>
        <w:t xml:space="preserve">Earth + Space + Digital — One Platform. Every Entity. All Governance.</w:t>
      </w:r>
    </w:p>
    <w:p>
      <w:pPr>
        <w:pStyle w:val="BlockText"/>
      </w:pPr>
      <w:r>
        <w:rPr>
          <w:bCs/>
          <w:b/>
        </w:rPr>
        <w:t xml:space="preserve">Every company auto-spawned. Every regulation tracked. Every future simulated. The Platinum Move for every entity, everywhere.</w:t>
      </w:r>
    </w:p>
    <w:p>
      <w:pPr>
        <w:pStyle w:val="BlockText"/>
      </w:pPr>
      <w:r>
        <w:rPr>
          <w:bCs/>
          <w:b/>
        </w:rPr>
        <w:t xml:space="preserve">Research Foundation:</w:t>
      </w:r>
      <w:r>
        <w:t xml:space="preserve"> </w:t>
      </w:r>
      <w:r>
        <w:t xml:space="preserve">60+ searches across 6 dimensions | Space AI | Tokenization | AI Economy OS | Data Licensing | 10 Missed Lanes | Unified Architecture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For:</w:t>
      </w:r>
      <w:r>
        <w:t xml:space="preserve"> </w:t>
      </w:r>
      <w:r>
        <w:t xml:space="preserve">Nick Templeman, CSOAI.org / meok.ai</w:t>
      </w:r>
    </w:p>
    <w:p>
      <w:r>
        <w:pict>
          <v:rect style="width:0;height:1.5pt" o:hralign="center" o:hrstd="t" o:hr="t"/>
        </w:pict>
      </w:r>
    </w:p>
    <w:bookmarkEnd w:id="20"/>
    <w:bookmarkStart w:id="22" w:name="csoai-governance-os-sections-12"/>
    <w:p>
      <w:pPr>
        <w:pStyle w:val="Heading1"/>
      </w:pPr>
      <w:r>
        <w:t xml:space="preserve">CSOAI Governance OS: Sections 1–2</w:t>
      </w:r>
    </w:p>
    <w:bookmarkStart w:id="21" w:name="X467cf15cfaaa81b7e98d471d88675309239d05f"/>
    <w:p>
      <w:pPr>
        <w:pStyle w:val="Heading2"/>
      </w:pPr>
      <w:r>
        <w:t xml:space="preserve">The Vision, Space AI, Tokenization, and Unified Architecture</w:t>
      </w:r>
    </w:p>
    <w:p>
      <w:pPr>
        <w:pStyle w:val="FirstParagraph"/>
      </w:pPr>
      <w:r>
        <w:rPr>
          <w:bCs/>
          <w:b/>
        </w:rPr>
        <w:t xml:space="preserve">Author:</w:t>
      </w:r>
      <w:r>
        <w:t xml:space="preserve"> </w:t>
      </w:r>
      <w:r>
        <w:t xml:space="preserve">Nick Templeman, CSOAI.org / meok.ai</w:t>
      </w:r>
      <w:r>
        <w:br/>
      </w:r>
      <w:r>
        <w:rPr>
          <w:bCs/>
          <w:b/>
        </w:rPr>
        <w:t xml:space="preserve">Classification:</w:t>
      </w:r>
      <w:r>
        <w:t xml:space="preserve"> </w:t>
      </w:r>
      <w:r>
        <w:t xml:space="preserve">Architecture &amp; Product Specification</w:t>
      </w:r>
      <w:r>
        <w:br/>
      </w:r>
      <w:r>
        <w:rPr>
          <w:bCs/>
          <w:b/>
        </w:rPr>
        <w:t xml:space="preserve">Version:</w:t>
      </w:r>
      <w:r>
        <w:t xml:space="preserve"> </w:t>
      </w:r>
      <w:r>
        <w:t xml:space="preserve">1.0 — Foundation Document</w:t>
      </w:r>
    </w:p>
    <w:p>
      <w:r>
        <w:pict>
          <v:rect style="width:0;height:1.5pt" o:hralign="center" o:hrstd="t" o:hr="t"/>
        </w:pict>
      </w:r>
    </w:p>
    <w:bookmarkEnd w:id="21"/>
    <w:bookmarkEnd w:id="22"/>
    <w:bookmarkStart w:id="36" w:name="section-1-the-csoai-governance-os-vision"/>
    <w:p>
      <w:pPr>
        <w:pStyle w:val="Heading1"/>
      </w:pPr>
      <w:r>
        <w:t xml:space="preserve">SECTION 1: The CSOAI Governance OS Vision</w:t>
      </w:r>
    </w:p>
    <w:bookmarkStart w:id="26" w:name="what-is-the-governance-os"/>
    <w:p>
      <w:pPr>
        <w:pStyle w:val="Heading2"/>
      </w:pPr>
      <w:r>
        <w:t xml:space="preserve">1.1 What Is the Governance OS?</w:t>
      </w:r>
    </w:p>
    <w:bookmarkStart w:id="23" w:name="X07976f091623719f5a1a503d33788779c3f8f7c"/>
    <w:p>
      <w:pPr>
        <w:pStyle w:val="Heading3"/>
      </w:pPr>
      <w:r>
        <w:t xml:space="preserve">1.1.1 The Vision: One Operating System for the Entire AI Economy</w:t>
      </w:r>
    </w:p>
    <w:p>
      <w:pPr>
        <w:pStyle w:val="FirstParagraph"/>
      </w:pPr>
      <w:r>
        <w:t xml:space="preserve">The CSOAI Governance OS is not a product. It is not a platform. It is not a dashboard or a tool or a SaaS application that you log into, configure, and forget. The CSOAI Governance OS is precisely what its name declares: an</w:t>
      </w:r>
      <w:r>
        <w:t xml:space="preserve"> </w:t>
      </w:r>
      <w:r>
        <w:rPr>
          <w:bCs/>
          <w:b/>
        </w:rPr>
        <w:t xml:space="preserve">operating system</w:t>
      </w:r>
      <w:r>
        <w:t xml:space="preserve"> </w:t>
      </w:r>
      <w:r>
        <w:t xml:space="preserve">— a fundamental layer of computational infrastructure that governs all AI-driven activity across three coexistent domains:</w:t>
      </w:r>
      <w:r>
        <w:t xml:space="preserve"> </w:t>
      </w:r>
      <w:r>
        <w:rPr>
          <w:bCs/>
          <w:b/>
        </w:rPr>
        <w:t xml:space="preserve">Earth</w:t>
      </w:r>
      <w:r>
        <w:t xml:space="preserve">,</w:t>
      </w:r>
      <w:r>
        <w:t xml:space="preserve"> </w:t>
      </w:r>
      <w:r>
        <w:rPr>
          <w:bCs/>
          <w:b/>
        </w:rPr>
        <w:t xml:space="preserve">Space</w:t>
      </w:r>
      <w:r>
        <w:t xml:space="preserve">, and</w:t>
      </w:r>
      <w:r>
        <w:t xml:space="preserve"> </w:t>
      </w:r>
      <w:r>
        <w:rPr>
          <w:bCs/>
          <w:b/>
        </w:rPr>
        <w:t xml:space="preserve">Digital</w:t>
      </w:r>
      <w:r>
        <w:t xml:space="preserve">. It is the kernel, the scheduler, the memory manager, and the security monitor for a planetary-scale AI economy that is already emerging but remains dangerously ungoverned.</w:t>
      </w:r>
    </w:p>
    <w:p>
      <w:pPr>
        <w:pStyle w:val="BodyText"/>
      </w:pPr>
      <w:r>
        <w:t xml:space="preserve">Consider what an operating system does for a single computer. It mediates between hardware and software. It allocates resources. It enforces permissions. It prevents processes from interfering with one another. It logs events. It handles interrupts, exceptions, and failures. It provides a unified interface so that applications do not need to know the specifics of every peripheral, every memory chip, every network interface card. Now scale that concept by twelve orders of magnitude. The</w:t>
      </w:r>
      <w:r>
        <w:t xml:space="preserve"> </w:t>
      </w:r>
      <w:r>
        <w:t xml:space="preserve">“</w:t>
      </w:r>
      <w:r>
        <w:t xml:space="preserve">computer</w:t>
      </w:r>
      <w:r>
        <w:t xml:space="preserve">”</w:t>
      </w:r>
      <w:r>
        <w:t xml:space="preserve"> </w:t>
      </w:r>
      <w:r>
        <w:t xml:space="preserve">is Earth, cis-lunar space, and the entirety of the digital realm. The</w:t>
      </w:r>
      <w:r>
        <w:t xml:space="preserve"> </w:t>
      </w:r>
      <w:r>
        <w:t xml:space="preserve">“</w:t>
      </w:r>
      <w:r>
        <w:t xml:space="preserve">processes</w:t>
      </w:r>
      <w:r>
        <w:t xml:space="preserve">”</w:t>
      </w:r>
      <w:r>
        <w:t xml:space="preserve"> </w:t>
      </w:r>
      <w:r>
        <w:t xml:space="preserve">are 500 million companies, 42,000 planned satellites, billions of AI agents, digital twins, virtual worlds, and tokenized compliance assets. The</w:t>
      </w:r>
      <w:r>
        <w:t xml:space="preserve"> </w:t>
      </w:r>
      <w:r>
        <w:t xml:space="preserve">“</w:t>
      </w:r>
      <w:r>
        <w:t xml:space="preserve">resources</w:t>
      </w:r>
      <w:r>
        <w:t xml:space="preserve">”</w:t>
      </w:r>
      <w:r>
        <w:t xml:space="preserve"> </w:t>
      </w:r>
      <w:r>
        <w:t xml:space="preserve">are spectrum, orbital slots, regulatory attention, compute cycles, data streams, and economic value. The</w:t>
      </w:r>
      <w:r>
        <w:t xml:space="preserve"> </w:t>
      </w:r>
      <w:r>
        <w:t xml:space="preserve">“</w:t>
      </w:r>
      <w:r>
        <w:t xml:space="preserve">permissions</w:t>
      </w:r>
      <w:r>
        <w:t xml:space="preserve">”</w:t>
      </w:r>
      <w:r>
        <w:t xml:space="preserve"> </w:t>
      </w:r>
      <w:r>
        <w:t xml:space="preserve">are regulatory frameworks — DORA, the EU AI Act, NIST AI RMF, CBEST, the Outer Space Treaty, the Artemis Accords, and the emergent norms of digital jurisdiction.</w:t>
      </w:r>
    </w:p>
    <w:p>
      <w:pPr>
        <w:pStyle w:val="BodyText"/>
      </w:pPr>
      <w:r>
        <w:t xml:space="preserve">The CSOAI Governance OS performs four imperatives for every entity it touches:</w:t>
      </w:r>
      <w:r>
        <w:t xml:space="preserve"> </w:t>
      </w:r>
      <w:r>
        <w:rPr>
          <w:bCs/>
          <w:b/>
        </w:rPr>
        <w:t xml:space="preserve">auto-spawn</w:t>
      </w:r>
      <w:r>
        <w:t xml:space="preserve">,</w:t>
      </w:r>
      <w:r>
        <w:t xml:space="preserve"> </w:t>
      </w:r>
      <w:r>
        <w:rPr>
          <w:bCs/>
          <w:b/>
        </w:rPr>
        <w:t xml:space="preserve">continuously monitor</w:t>
      </w:r>
      <w:r>
        <w:t xml:space="preserve">,</w:t>
      </w:r>
      <w:r>
        <w:t xml:space="preserve"> </w:t>
      </w:r>
      <w:r>
        <w:rPr>
          <w:bCs/>
          <w:b/>
        </w:rPr>
        <w:t xml:space="preserve">simulate future outcomes</w:t>
      </w:r>
      <w:r>
        <w:t xml:space="preserve">, and</w:t>
      </w:r>
      <w:r>
        <w:t xml:space="preserve"> </w:t>
      </w:r>
      <w:r>
        <w:rPr>
          <w:bCs/>
          <w:b/>
        </w:rPr>
        <w:t xml:space="preserve">govern through one unified interface</w:t>
      </w:r>
      <w:r>
        <w:t xml:space="preserve">.</w:t>
      </w:r>
    </w:p>
    <w:p>
      <w:pPr>
        <w:pStyle w:val="BodyText"/>
      </w:pPr>
      <w:r>
        <w:rPr>
          <w:bCs/>
          <w:b/>
        </w:rPr>
        <w:t xml:space="preserve">Auto-spawn</w:t>
      </w:r>
      <w:r>
        <w:t xml:space="preserve"> </w:t>
      </w:r>
      <w:r>
        <w:t xml:space="preserve">means that CSOAI does not wait for registration. It does not require onboarding forms or API keys or sales calls. It discovers entities from public data — corporate registries, satellite filings, AI agent deployments, token smart contracts — and instantiates a governance profile for each automatically. A company incorporated in Delaware today has a CSOAI profile before its founders finish signing the documents. A Starlink satellite launched tomorrow has a compliance score before it reaches orbit. An AI agent deployed on a decentralized compute network has a risk rating before its first inference.</w:t>
      </w:r>
    </w:p>
    <w:p>
      <w:pPr>
        <w:pStyle w:val="BodyText"/>
      </w:pPr>
      <w:r>
        <w:rPr>
          <w:bCs/>
          <w:b/>
        </w:rPr>
        <w:t xml:space="preserve">Continuously monitor</w:t>
      </w:r>
      <w:r>
        <w:t xml:space="preserve"> </w:t>
      </w:r>
      <w:r>
        <w:t xml:space="preserve">means that governance is not a point-in-time audit or an annual compliance report. It is a living, breathing, real-time process. Every entity’s governance profile updates continuously as new data arrives: regulatory filings, operational telemetry, market transactions, orbital maneuvers, agent interactions. The CSOAI Governance OS does not sleep. Its watchtowers — 290+ MCP-connected servers, autonomous data ingestion pipelines, streaming APIs from space agencies and financial regulators — feed a perpetual stream of intelligence into the system.</w:t>
      </w:r>
    </w:p>
    <w:p>
      <w:pPr>
        <w:pStyle w:val="BodyText"/>
      </w:pPr>
      <w:r>
        <w:rPr>
          <w:bCs/>
          <w:b/>
        </w:rPr>
        <w:t xml:space="preserve">Simulate future outcomes</w:t>
      </w:r>
      <w:r>
        <w:t xml:space="preserve"> </w:t>
      </w:r>
      <w:r>
        <w:t xml:space="preserve">means that CSOAI does not merely react to governance events after they occur. It anticipates them. The Sovereign Lens simulation engine, the Platinum Move generator, and the scenario-modeling capabilities embedded in every hive run thousands of forward-projected simulations for every entity. What happens if this satellite’s collision-avoidance AI fails? What happens if this company violates DORA’s ICT risk management requirements? What happens if this AI agent begins behaving outside its training distribution? CSOAI sees around corners because it computes the geometry of risk in advance.</w:t>
      </w:r>
    </w:p>
    <w:p>
      <w:pPr>
        <w:pStyle w:val="BodyText"/>
      </w:pPr>
      <w:r>
        <w:rPr>
          <w:bCs/>
          <w:b/>
        </w:rPr>
        <w:t xml:space="preserve">Govern through one unified interface</w:t>
      </w:r>
      <w:r>
        <w:t xml:space="preserve"> </w:t>
      </w:r>
      <w:r>
        <w:t xml:space="preserve">means that regulators, space agencies, corporate compliance officers, satellite operators, AI developers, and token issuers all interact with the same system. Not different products. Not different platforms. Not different logins and different dashboards and different data models. One REST/GraphQL API surface. One query language. One ontology. One source of truth. Whether you are the European Banking Authority auditing systemic risk or a lunar mission director certifying AI safety for an Artemis lander, you call the same endpoints, read the same schemas, trust the same attestations.</w:t>
      </w:r>
    </w:p>
    <w:p>
      <w:pPr>
        <w:pStyle w:val="BodyText"/>
      </w:pPr>
      <w:r>
        <w:t xml:space="preserve">This is the CSOAI Governance OS. It is the most ambitious infrastructure project ever attempted for AI governance. And it is being built now.</w:t>
      </w:r>
    </w:p>
    <w:bookmarkEnd w:id="23"/>
    <w:bookmarkStart w:id="24" w:name="the-three-domains-earth-space-digital"/>
    <w:p>
      <w:pPr>
        <w:pStyle w:val="Heading3"/>
      </w:pPr>
      <w:r>
        <w:t xml:space="preserve">1.1.2 The Three Domains: Earth, Space, Digital</w:t>
      </w:r>
    </w:p>
    <w:p>
      <w:pPr>
        <w:pStyle w:val="FirstParagraph"/>
      </w:pPr>
      <w:r>
        <w:t xml:space="preserve">The CSOAI Governance OS spans three domains that, until now, have been governed in isolation — or not governed at all.</w:t>
      </w:r>
    </w:p>
    <w:p>
      <w:pPr>
        <w:pStyle w:val="BodyText"/>
      </w:pPr>
      <w:r>
        <w:rPr>
          <w:bCs/>
          <w:b/>
        </w:rPr>
        <w:t xml:space="preserve">Earth: The Terrestrial Domain.</w:t>
      </w:r>
      <w:r>
        <w:t xml:space="preserve"> </w:t>
      </w:r>
      <w:r>
        <w:t xml:space="preserve">Earth encompasses every company, every regulatory jurisdiction, every compliance framework that operates on the surface of the planet. CSOAI’s Earth Hive tracks</w:t>
      </w:r>
      <w:r>
        <w:t xml:space="preserve"> </w:t>
      </w:r>
      <w:r>
        <w:rPr>
          <w:bCs/>
          <w:b/>
        </w:rPr>
        <w:t xml:space="preserve">500 million-plus companies</w:t>
      </w:r>
      <w:r>
        <w:t xml:space="preserve"> </w:t>
      </w:r>
      <w:r>
        <w:t xml:space="preserve">across</w:t>
      </w:r>
      <w:r>
        <w:t xml:space="preserve"> </w:t>
      </w:r>
      <w:r>
        <w:rPr>
          <w:bCs/>
          <w:b/>
        </w:rPr>
        <w:t xml:space="preserve">195 countries</w:t>
      </w:r>
      <w:r>
        <w:t xml:space="preserve">, mapped against</w:t>
      </w:r>
      <w:r>
        <w:t xml:space="preserve"> </w:t>
      </w:r>
      <w:r>
        <w:rPr>
          <w:bCs/>
          <w:b/>
        </w:rPr>
        <w:t xml:space="preserve">10+ major regulatory frameworks</w:t>
      </w:r>
      <w:r>
        <w:t xml:space="preserve"> </w:t>
      </w:r>
      <w:r>
        <w:t xml:space="preserve">including the Digital Operational Resilience Act (DORA), the EU AI Act, the NIST AI Risk Management Framework, CBEST (the Bank of England’s cyber stress-testing framework), GDPR, SOC 2, ISO 27001, the SEC’s cybersecurity disclosure rules, and China’s Algorithmic Recommendation Regulations. The Earth Hive auto-spawns companies from open corporate data (OpenCorporates, national business registries, SEC EDGAR, EU Business Registers), assigns compliance scores, runs continuous sovereign lens simulations, and generates Platinum Move recommendations for every entity. For regulators, it provides systemic risk monitoring across entire economies. For companies, it provides autonomous compliance management. For investors, it provides governance-alpha signals that no other data source can replicate.</w:t>
      </w:r>
    </w:p>
    <w:p>
      <w:pPr>
        <w:pStyle w:val="BodyText"/>
      </w:pPr>
      <w:r>
        <w:rPr>
          <w:bCs/>
          <w:b/>
        </w:rPr>
        <w:t xml:space="preserve">Space: The Orbital and Cislunar Domain.</w:t>
      </w:r>
      <w:r>
        <w:t xml:space="preserve"> </w:t>
      </w:r>
      <w:r>
        <w:t xml:space="preserve">Space is the newest and most dangerously ungoverned frontier of AI activity. As of 2025, there are approximately 10,000 active satellites in Earth orbit. SpaceX’s Starlink constellation alone has over 6,000 operational satellites and plans for 42,000. The International Space Station runs AI experiments. NASA’s Artemis program will establish a sustained human and robotic presence on the Moon. Mars missions — Perseverance, Curiosity, future crewed missions — rely on autonomous AI for navigation, sample analysis, and communication delay management. And yet:</w:t>
      </w:r>
      <w:r>
        <w:t xml:space="preserve"> </w:t>
      </w:r>
      <w:r>
        <w:rPr>
          <w:bCs/>
          <w:b/>
        </w:rPr>
        <w:t xml:space="preserve">there is no comprehensive governance framework for AI in space</w:t>
      </w:r>
      <w:r>
        <w:t xml:space="preserve">. The Outer Space Treaty of 1967 was written before artificial intelligence existed as a field. The Artemis Accords, signed by 40+ nations, address lunar safety zones but do not mention AI at all. This is not a gap. It is a chasm. And CSOAI’s Space Hive fills it. The Space Hive auto-spawns satellites from Space-Track.org and ITU filings, assigns orbital compliance scores, monitors autonomous satellite decision-making, simulates collision and debris scenarios, and establishes — for the first time — a governance framework for AI on the Moon through the ArtemisGuard product. CSOAI does not wait for the space community to agree on standards. CSOAI</w:t>
      </w:r>
      <w:r>
        <w:t xml:space="preserve"> </w:t>
      </w:r>
      <w:r>
        <w:rPr>
          <w:bCs/>
          <w:b/>
        </w:rPr>
        <w:t xml:space="preserve">sets</w:t>
      </w:r>
      <w:r>
        <w:t xml:space="preserve"> </w:t>
      </w:r>
      <w:r>
        <w:t xml:space="preserve">the standards.</w:t>
      </w:r>
    </w:p>
    <w:p>
      <w:pPr>
        <w:pStyle w:val="BodyText"/>
      </w:pPr>
      <w:r>
        <w:rPr>
          <w:bCs/>
          <w:b/>
        </w:rPr>
        <w:t xml:space="preserve">Digital: The Computational and Tokenized Domain.</w:t>
      </w:r>
      <w:r>
        <w:t xml:space="preserve"> </w:t>
      </w:r>
      <w:r>
        <w:t xml:space="preserve">The digital domain encompasses the rapidly exploding ecosystem of AI agents, digital twins, virtual worlds, and tokenized assets. Billions of AI agents — from customer service chatbots to autonomous trading algorithms to scientific research agents — operate across cloud and decentralized compute networks. Digital twins — virtual replicas of physical systems — run simulations that influence real-world decisions. Virtual worlds and metaverse platforms host economic activity that crosses into regulated financial territory. And tokenized compliance assets — governance tokens, regulatory NFTs, attestation credentials — represent a new class of instrument that existing regulatory frameworks were not designed to accommodate. CSOAI’s Digital Hive auto-spawns AI agents from deployment logs and blockchain records, assigns behavioral risk scores, monitors for model drift and adversarial attacks, simulates multi-agent cascade failures, and governs tokenized assets through on-chain attestation protocols (W3C DID, Ed25519 signing, Verifiable Credentials). The Digital Hive does not treat AI agents as products to be reviewed once at deployment. It treats them as</w:t>
      </w:r>
      <w:r>
        <w:t xml:space="preserve"> </w:t>
      </w:r>
      <w:r>
        <w:rPr>
          <w:bCs/>
          <w:b/>
        </w:rPr>
        <w:t xml:space="preserve">ongoing governance subjects</w:t>
      </w:r>
      <w:r>
        <w:t xml:space="preserve"> </w:t>
      </w:r>
      <w:r>
        <w:t xml:space="preserve">— entities with histories, trajectories, risk profiles, and compliance obligations that evolve in real time.</w:t>
      </w:r>
    </w:p>
    <w:p>
      <w:pPr>
        <w:pStyle w:val="BodyText"/>
      </w:pPr>
      <w:r>
        <w:t xml:space="preserve">Each domain has its own</w:t>
      </w:r>
      <w:r>
        <w:t xml:space="preserve"> </w:t>
      </w:r>
      <w:r>
        <w:rPr>
          <w:bCs/>
          <w:b/>
        </w:rPr>
        <w:t xml:space="preserve">hive</w:t>
      </w:r>
      <w:r>
        <w:t xml:space="preserve"> </w:t>
      </w:r>
      <w:r>
        <w:t xml:space="preserve">within CSOAI — a specialized governance cluster with domain-specific ontologies, regulatory mappings, simulation models, and agent populations. But the hives are not silos. They are nodes in a single network, bound together by the protocol fabric and coordinated through pheromone signaling.</w:t>
      </w:r>
    </w:p>
    <w:bookmarkEnd w:id="24"/>
    <w:bookmarkStart w:id="25" w:name="we-eat-them-csoai-is-the-game"/>
    <w:p>
      <w:pPr>
        <w:pStyle w:val="Heading3"/>
      </w:pPr>
      <w:r>
        <w:t xml:space="preserve">1.1.3</w:t>
      </w:r>
      <w:r>
        <w:t xml:space="preserve"> </w:t>
      </w:r>
      <w:r>
        <w:t xml:space="preserve">“</w:t>
      </w:r>
      <w:r>
        <w:t xml:space="preserve">We Eat Them</w:t>
      </w:r>
      <w:r>
        <w:t xml:space="preserve">”</w:t>
      </w:r>
      <w:r>
        <w:t xml:space="preserve">: CSOAI Is the Game</w:t>
      </w:r>
    </w:p>
    <w:p>
      <w:pPr>
        <w:pStyle w:val="FirstParagraph"/>
      </w:pPr>
      <w:r>
        <w:t xml:space="preserve">The technology industry is filled with companies that build tools and wait for customers to arrive. They build a compliance dashboard and hope that enterprises will sign annual contracts. They build a risk scoring API and hope that banks will integrate it. They build a consulting practice and hope that regulators will hire them. This is the old model. This is playing someone else’s game.</w:t>
      </w:r>
    </w:p>
    <w:p>
      <w:pPr>
        <w:pStyle w:val="BodyText"/>
      </w:pPr>
      <w:r>
        <w:rPr>
          <w:bCs/>
          <w:b/>
        </w:rPr>
        <w:t xml:space="preserve">CSOAI does not play the game. CSOAI is the game.</w:t>
      </w:r>
    </w:p>
    <w:p>
      <w:pPr>
        <w:pStyle w:val="BodyText"/>
      </w:pPr>
      <w:r>
        <w:t xml:space="preserve">Instead of waiting for companies to sign up, CSOAI</w:t>
      </w:r>
      <w:r>
        <w:t xml:space="preserve"> </w:t>
      </w:r>
      <w:r>
        <w:rPr>
          <w:bCs/>
          <w:b/>
        </w:rPr>
        <w:t xml:space="preserve">auto-spawns every entity from public data</w:t>
      </w:r>
      <w:r>
        <w:t xml:space="preserve">. There is no sales cycle. There is no procurement process. There is no</w:t>
      </w:r>
      <w:r>
        <w:t xml:space="preserve"> </w:t>
      </w:r>
      <w:r>
        <w:t xml:space="preserve">“</w:t>
      </w:r>
      <w:r>
        <w:t xml:space="preserve">pilot program.</w:t>
      </w:r>
      <w:r>
        <w:t xml:space="preserve">”</w:t>
      </w:r>
      <w:r>
        <w:t xml:space="preserve"> </w:t>
      </w:r>
      <w:r>
        <w:t xml:space="preserve">The profile exists before the company knows CSOAI exists. The compliance score is public before the CEO has heard of DORA. The Platinum Move recommendation is computed before the board hires its first compliance officer. CSOAI eats the market by defining it.</w:t>
      </w:r>
    </w:p>
    <w:p>
      <w:pPr>
        <w:pStyle w:val="BodyText"/>
      </w:pPr>
      <w:r>
        <w:t xml:space="preserve">Instead of waiting for regulators to define space AI governance,</w:t>
      </w:r>
      <w:r>
        <w:t xml:space="preserve"> </w:t>
      </w:r>
      <w:r>
        <w:rPr>
          <w:bCs/>
          <w:b/>
        </w:rPr>
        <w:t xml:space="preserve">CSOAI defines it</w:t>
      </w:r>
      <w:r>
        <w:t xml:space="preserve">. The Space Hive does not ask NASA or ESA or the FAA’s Office of Commercial Space Transportation for permission to build OrbitalMind or ArtemisGuard. It builds them. It establishes the scoring methodology. It publishes the attestation standards. It generates the compliance reports that regulators will eventually mandate — and when they do mandate them, they will mandate CSOAI’s format because CSOAI is the only format that exists. This is how standards are captured: not by committee, but by being first, being right, and being unavoidable.</w:t>
      </w:r>
    </w:p>
    <w:p>
      <w:pPr>
        <w:pStyle w:val="BodyText"/>
      </w:pPr>
      <w:r>
        <w:t xml:space="preserve">Instead of waiting for tokenized compliance to exist,</w:t>
      </w:r>
      <w:r>
        <w:t xml:space="preserve"> </w:t>
      </w:r>
      <w:r>
        <w:rPr>
          <w:bCs/>
          <w:b/>
        </w:rPr>
        <w:t xml:space="preserve">CSOAI creates it</w:t>
      </w:r>
      <w:r>
        <w:t xml:space="preserve">. The Digital Hive does not survey the market for governance tokens and then build a tracker. It mints the attestation tokens. It issues the Verifiable Credentials. It writes the smart contracts that encode compliance state on-chain. It defines the W3C DID methods that link real-world entities to digital identities. When the market for tokenized compliance emerges — and it will emerge, driven by regulatory pressure for real-time transparency — CSOAI will be the infrastructure layer that everyone else builds on top of.</w:t>
      </w:r>
    </w:p>
    <w:p>
      <w:pPr>
        <w:pStyle w:val="BodyText"/>
      </w:pPr>
      <w:r>
        <w:t xml:space="preserve">This is</w:t>
      </w:r>
      <w:r>
        <w:t xml:space="preserve"> </w:t>
      </w:r>
      <w:r>
        <w:t xml:space="preserve">“</w:t>
      </w:r>
      <w:r>
        <w:t xml:space="preserve">We Eat Them.</w:t>
      </w:r>
      <w:r>
        <w:t xml:space="preserve">”</w:t>
      </w:r>
      <w:r>
        <w:t xml:space="preserve"> </w:t>
      </w:r>
      <w:r>
        <w:t xml:space="preserve">It is not aggression for its own sake. It is the recognition that governance infrastructure has</w:t>
      </w:r>
      <w:r>
        <w:t xml:space="preserve"> </w:t>
      </w:r>
      <w:r>
        <w:rPr>
          <w:bCs/>
          <w:b/>
        </w:rPr>
        <w:t xml:space="preserve">strong network effects</w:t>
      </w:r>
      <w:r>
        <w:t xml:space="preserve"> </w:t>
      </w:r>
      <w:r>
        <w:t xml:space="preserve">and</w:t>
      </w:r>
      <w:r>
        <w:t xml:space="preserve"> </w:t>
      </w:r>
      <w:r>
        <w:rPr>
          <w:bCs/>
          <w:b/>
        </w:rPr>
        <w:t xml:space="preserve">strong data moats</w:t>
      </w:r>
      <w:r>
        <w:t xml:space="preserve">, and that the entity which establishes the canonical representation of governance state first becomes the permanent substrate of the AI economy. CSOAI intends to be that substrate.</w:t>
      </w:r>
    </w:p>
    <w:bookmarkEnd w:id="25"/>
    <w:bookmarkEnd w:id="26"/>
    <w:bookmarkStart w:id="35" w:name="the-seven-layer-unified-architecture"/>
    <w:p>
      <w:pPr>
        <w:pStyle w:val="Heading2"/>
      </w:pPr>
      <w:r>
        <w:t xml:space="preserve">1.2 The Seven-Layer Unified Architecture</w:t>
      </w:r>
    </w:p>
    <w:p>
      <w:pPr>
        <w:pStyle w:val="FirstParagraph"/>
      </w:pPr>
      <w:r>
        <w:t xml:space="preserve">The CSOAI Governance OS is organized into seven layers, each providing a distinct capability, each composable with the others, each designed to span all three domains.</w:t>
      </w:r>
    </w:p>
    <w:bookmarkStart w:id="27" w:name="layer-1-governance-interface"/>
    <w:p>
      <w:pPr>
        <w:pStyle w:val="Heading3"/>
      </w:pPr>
      <w:r>
        <w:t xml:space="preserve">1.2.1 Layer 1 — Governance Interface</w:t>
      </w:r>
    </w:p>
    <w:p>
      <w:pPr>
        <w:pStyle w:val="FirstParagraph"/>
      </w:pPr>
      <w:r>
        <w:t xml:space="preserve">The Governance Interface is the surface through which all external actors interact with CSOAI. It exposes a unified REST and GraphQL API that accepts queries, submissions, attestation requests, simulation runs, and compliance reports across Earth, Space, and Digital domains. A regulator in Brussels querying a bank’s DORA compliance score uses the same endpoint as a satellite operator in Los Angeles reporting an autonomous maneuver as a DAO treasury manager verifying a governance token’s attestation chain. The interface enforces authentication via W3C DID and Ed25519 signatures, authorizes actions through capability-based access control, and returns responses in a unified ontology — the CSOAI Governance Schema — that is domain-extensible but semantically consistent. One interface. All domains. No fragmentation.</w:t>
      </w:r>
    </w:p>
    <w:bookmarkEnd w:id="27"/>
    <w:bookmarkStart w:id="28" w:name="layer-2-intelligence-fabric"/>
    <w:p>
      <w:pPr>
        <w:pStyle w:val="Heading3"/>
      </w:pPr>
      <w:r>
        <w:t xml:space="preserve">1.2.2 Layer 2 — Intelligence Fabric</w:t>
      </w:r>
    </w:p>
    <w:p>
      <w:pPr>
        <w:pStyle w:val="FirstParagraph"/>
      </w:pPr>
      <w:r>
        <w:t xml:space="preserve">The Intelligence Fabric is the cognitive layer of the Governance OS. It is powered by large language models fine-tuned on regulatory text, compliance case law, orbital mechanics, space treaty interpretation, AI safety research, and blockchain governance patterns. The Intelligence Fabric provides three core capabilities:</w:t>
      </w:r>
      <w:r>
        <w:t xml:space="preserve"> </w:t>
      </w:r>
      <w:r>
        <w:rPr>
          <w:bCs/>
          <w:b/>
        </w:rPr>
        <w:t xml:space="preserve">compliance analysis</w:t>
      </w:r>
      <w:r>
        <w:t xml:space="preserve"> </w:t>
      </w:r>
      <w:r>
        <w:t xml:space="preserve">— the automated interpretation of an entity’s behavior against regulatory requirements, producing structured compliance scores and gap analyses;</w:t>
      </w:r>
      <w:r>
        <w:t xml:space="preserve"> </w:t>
      </w:r>
      <w:r>
        <w:rPr>
          <w:bCs/>
          <w:b/>
        </w:rPr>
        <w:t xml:space="preserve">Sovereign Lens simulation</w:t>
      </w:r>
      <w:r>
        <w:t xml:space="preserve"> </w:t>
      </w:r>
      <w:r>
        <w:t xml:space="preserve">— the forward-projected scenario modeling that computes how an entity’s governance state will evolve under different conditions; and</w:t>
      </w:r>
      <w:r>
        <w:t xml:space="preserve"> </w:t>
      </w:r>
      <w:r>
        <w:rPr>
          <w:bCs/>
          <w:b/>
        </w:rPr>
        <w:t xml:space="preserve">Platinum Move generation</w:t>
      </w:r>
      <w:r>
        <w:t xml:space="preserve"> </w:t>
      </w:r>
      <w:r>
        <w:t xml:space="preserve">— the recommendation engine that identifies the highest-leverage actions an entity can take to improve its governance posture. The Intelligence Fabric does not merely retrieve rules. It reasons about them. It understands that DORA’s ICT risk management requirements interact with the EU AI Act’s risk classification system, that a satellite’s autonomous collision avoidance is simultaneously a cybersecurity issue and a space traffic management issue, that a governance token’s smart contract upgrade path is a regulatory disclosure issue.</w:t>
      </w:r>
    </w:p>
    <w:bookmarkEnd w:id="28"/>
    <w:bookmarkStart w:id="29" w:name="layer-3-hive-orchestration"/>
    <w:p>
      <w:pPr>
        <w:pStyle w:val="Heading3"/>
      </w:pPr>
      <w:r>
        <w:t xml:space="preserve">1.2.3 Layer 3 — Hive Orchestration</w:t>
      </w:r>
    </w:p>
    <w:p>
      <w:pPr>
        <w:pStyle w:val="FirstParagraph"/>
      </w:pPr>
      <w:r>
        <w:t xml:space="preserve">Hive Orchestration is the domain-specialized governance layer. At its center is the</w:t>
      </w:r>
      <w:r>
        <w:t xml:space="preserve"> </w:t>
      </w:r>
      <w:r>
        <w:rPr>
          <w:bCs/>
          <w:b/>
        </w:rPr>
        <w:t xml:space="preserve">SOV3 King orchestrator</w:t>
      </w:r>
      <w:r>
        <w:t xml:space="preserve"> </w:t>
      </w:r>
      <w:r>
        <w:t xml:space="preserve">— the meta-agent that coordinates activity across all hives, resolves cross-domain conflicts, and ensures global consistency of governance state. Beneath the King are three domain hives: the</w:t>
      </w:r>
      <w:r>
        <w:t xml:space="preserve"> </w:t>
      </w:r>
      <w:r>
        <w:rPr>
          <w:bCs/>
          <w:b/>
        </w:rPr>
        <w:t xml:space="preserve">Earth Hive</w:t>
      </w:r>
      <w:r>
        <w:t xml:space="preserve">, which specializes in terrestrial regulatory compliance (DORA, EU AI Act, NIST, CBEST, and more); the</w:t>
      </w:r>
      <w:r>
        <w:t xml:space="preserve"> </w:t>
      </w:r>
      <w:r>
        <w:rPr>
          <w:bCs/>
          <w:b/>
        </w:rPr>
        <w:t xml:space="preserve">Space Hive</w:t>
      </w:r>
      <w:r>
        <w:t xml:space="preserve">, which specializes in orbital and cislunar AI governance (satellite operations, space traffic management, lunar mission compliance, debris mitigation); and the</w:t>
      </w:r>
      <w:r>
        <w:t xml:space="preserve"> </w:t>
      </w:r>
      <w:r>
        <w:rPr>
          <w:bCs/>
          <w:b/>
        </w:rPr>
        <w:t xml:space="preserve">Digital Hive</w:t>
      </w:r>
      <w:r>
        <w:t xml:space="preserve">, which specializes in AI agent governance, digital twin monitoring, virtual world regulation, and tokenized asset compliance. Each hive contains</w:t>
      </w:r>
      <w:r>
        <w:t xml:space="preserve"> </w:t>
      </w:r>
      <w:r>
        <w:rPr>
          <w:bCs/>
          <w:b/>
        </w:rPr>
        <w:t xml:space="preserve">8 specialist agents</w:t>
      </w:r>
      <w:r>
        <w:t xml:space="preserve"> </w:t>
      </w:r>
      <w:r>
        <w:t xml:space="preserve">— domain-expert AI systems that handle specific governance functions: ingestion, profiling, scoring, simulation, recommendation, attestation, alerting, and reporting. The Earth Hive’s 8 agents know terrestrial regulation. The Space Hive’s 8 agents know orbital mechanics and space law. The Digital Hive’s 8 agents know multi-agent systems and blockchain protocols. All 24 agents report to the SOV3 King. All 24 agents share state through the protocol fabric.</w:t>
      </w:r>
    </w:p>
    <w:bookmarkEnd w:id="29"/>
    <w:bookmarkStart w:id="30" w:name="layer-4-agent-mesh"/>
    <w:p>
      <w:pPr>
        <w:pStyle w:val="Heading3"/>
      </w:pPr>
      <w:r>
        <w:t xml:space="preserve">1.2.4 Layer 4 — Agent Mesh</w:t>
      </w:r>
    </w:p>
    <w:p>
      <w:pPr>
        <w:pStyle w:val="FirstParagraph"/>
      </w:pPr>
      <w:r>
        <w:t xml:space="preserve">The Agent Mesh is the distributed execution layer of the Governance OS. It consists of</w:t>
      </w:r>
      <w:r>
        <w:t xml:space="preserve"> </w:t>
      </w:r>
      <w:r>
        <w:rPr>
          <w:bCs/>
          <w:b/>
        </w:rPr>
        <w:t xml:space="preserve">A2A-connected governance agents</w:t>
      </w:r>
      <w:r>
        <w:t xml:space="preserve"> </w:t>
      </w:r>
      <w:r>
        <w:t xml:space="preserve">— autonomous AI systems that communicate via the Agent-to-Agent (A2A) protocol, share observations, delegate tasks, and collectively maintain governance state. The Earth town operates 47 agents — one for each major regulatory jurisdiction or functional specialty — that crawl corporate filings, parse regulatory updates, interview compliance officers via natural language interfaces, and maintain the living profiles of 500 million+ companies. The Space station operates 47 agents that ingest satellite telemetry, monitor space weather, track debris trajectories, analyze autonomous satellite decision logs, and maintain compliance profiles for every tracked object in orbit. The Digital metaverse operates 47 agents that monitor AI agent deployments, detect anomalous behavior in digital twins, audit smart contracts, and track the provenance of governance tokens. All 141 agents are connected through the A2A mesh. A Space agent detecting a satellite anomaly can alert an Earth agent to check the manufacturer’s terrestrial cybersecurity posture. A Digital agent detecting a rogue AI agent can query the Earth agent responsible for the developer’s jurisdiction. The mesh is not a metaphor. It is a live, communicating network of autonomous governance actors.</w:t>
      </w:r>
    </w:p>
    <w:bookmarkEnd w:id="30"/>
    <w:bookmarkStart w:id="31" w:name="layer-5-protocol-fabric"/>
    <w:p>
      <w:pPr>
        <w:pStyle w:val="Heading3"/>
      </w:pPr>
      <w:r>
        <w:t xml:space="preserve">1.2.5 Layer 5 — Protocol Fabric</w:t>
      </w:r>
    </w:p>
    <w:p>
      <w:pPr>
        <w:pStyle w:val="FirstParagraph"/>
      </w:pPr>
      <w:r>
        <w:t xml:space="preserve">The Protocol Fabric is the connective tissue of the Governance OS. It is a stack of open protocols that no competitor has assembled in this configuration:</w:t>
      </w:r>
      <w:r>
        <w:t xml:space="preserve"> </w:t>
      </w:r>
      <w:r>
        <w:rPr>
          <w:bCs/>
          <w:b/>
        </w:rPr>
        <w:t xml:space="preserve">MCP (Model Context Protocol)</w:t>
      </w:r>
      <w:r>
        <w:t xml:space="preserve"> </w:t>
      </w:r>
      <w:r>
        <w:t xml:space="preserve">for tool integration — CSOAI’s 290+ MCP servers connect to external data sources, regulatory APIs, space tracking systems, blockchain nodes, and corporate registries;</w:t>
      </w:r>
      <w:r>
        <w:t xml:space="preserve"> </w:t>
      </w:r>
      <w:r>
        <w:rPr>
          <w:bCs/>
          <w:b/>
        </w:rPr>
        <w:t xml:space="preserve">A2A (Agent-to-Agent)</w:t>
      </w:r>
      <w:r>
        <w:t xml:space="preserve"> </w:t>
      </w:r>
      <w:r>
        <w:t xml:space="preserve">for inter-agent communication — the standard by which CSOAI’s 141+ agents coordinate;</w:t>
      </w:r>
      <w:r>
        <w:t xml:space="preserve"> </w:t>
      </w:r>
      <w:r>
        <w:rPr>
          <w:bCs/>
          <w:b/>
        </w:rPr>
        <w:t xml:space="preserve">x402</w:t>
      </w:r>
      <w:r>
        <w:t xml:space="preserve"> </w:t>
      </w:r>
      <w:r>
        <w:t xml:space="preserve">for payment integration — enabling automated settlement of compliance services, regulatory fees, and governance attestations;</w:t>
      </w:r>
      <w:r>
        <w:t xml:space="preserve"> </w:t>
      </w:r>
      <w:r>
        <w:rPr>
          <w:bCs/>
          <w:b/>
        </w:rPr>
        <w:t xml:space="preserve">ANP (Agent Network Protocol)</w:t>
      </w:r>
      <w:r>
        <w:t xml:space="preserve"> </w:t>
      </w:r>
      <w:r>
        <w:t xml:space="preserve">for agent identity and discovery;</w:t>
      </w:r>
      <w:r>
        <w:t xml:space="preserve"> </w:t>
      </w:r>
      <w:r>
        <w:rPr>
          <w:bCs/>
          <w:b/>
        </w:rPr>
        <w:t xml:space="preserve">W3C DID</w:t>
      </w:r>
      <w:r>
        <w:t xml:space="preserve"> </w:t>
      </w:r>
      <w:r>
        <w:t xml:space="preserve">for decentralized identifiers that link physical and digital entities; and</w:t>
      </w:r>
      <w:r>
        <w:t xml:space="preserve"> </w:t>
      </w:r>
      <w:r>
        <w:rPr>
          <w:bCs/>
          <w:b/>
        </w:rPr>
        <w:t xml:space="preserve">Ed25519</w:t>
      </w:r>
      <w:r>
        <w:t xml:space="preserve"> </w:t>
      </w:r>
      <w:r>
        <w:t xml:space="preserve">for cryptographic attestation — every governance event, every compliance score, every simulation result is signed and verifiable. This protocol stack is the moat. Any competitor can build a dashboard. No competitor has 290+ MCP servers, 141+ A2A-connected agents, and a production x402 payment layer integrated into a unified governance ontology.</w:t>
      </w:r>
    </w:p>
    <w:bookmarkEnd w:id="31"/>
    <w:bookmarkStart w:id="32" w:name="layer-6-data-foundation"/>
    <w:p>
      <w:pPr>
        <w:pStyle w:val="Heading3"/>
      </w:pPr>
      <w:r>
        <w:t xml:space="preserve">1.2.6 Layer 6 — Data Foundation</w:t>
      </w:r>
    </w:p>
    <w:p>
      <w:pPr>
        <w:pStyle w:val="FirstParagraph"/>
      </w:pPr>
      <w:r>
        <w:t xml:space="preserve">The Data Foundation is the persistence layer of the Governance OS. It is built on</w:t>
      </w:r>
      <w:r>
        <w:t xml:space="preserve"> </w:t>
      </w:r>
      <w:r>
        <w:rPr>
          <w:bCs/>
          <w:b/>
        </w:rPr>
        <w:t xml:space="preserve">Neo4j Fabric</w:t>
      </w:r>
      <w:r>
        <w:t xml:space="preserve">, the graph database technology that has been proven at production scale exceeding</w:t>
      </w:r>
      <w:r>
        <w:t xml:space="preserve"> </w:t>
      </w:r>
      <w:r>
        <w:rPr>
          <w:bCs/>
          <w:b/>
        </w:rPr>
        <w:t xml:space="preserve">1 trillion relationships and 200 billion nodes</w:t>
      </w:r>
      <w:r>
        <w:t xml:space="preserve"> </w:t>
      </w:r>
      <w:r>
        <w:t xml:space="preserve">— the canonical reference being the work by Zhong et al. (2024) demonstrating trillion-scale graph traversal on Neo4j. CSOAI’s governance graph models every entity, every relationship, every regulatory requirement, every compliance event, every simulation run as nodes and edges in a unified property graph.</w:t>
      </w:r>
      <w:r>
        <w:t xml:space="preserve"> </w:t>
      </w:r>
      <w:r>
        <w:rPr>
          <w:bCs/>
          <w:b/>
        </w:rPr>
        <w:t xml:space="preserve">TimescaleDB</w:t>
      </w:r>
      <w:r>
        <w:t xml:space="preserve"> </w:t>
      </w:r>
      <w:r>
        <w:t xml:space="preserve">provides the time-series persistence for continuous monitoring data — satellite telemetry streams, corporate filing timestamps, AI agent interaction logs, blockchain block times. Every record in the Data Foundation is accompanied by an</w:t>
      </w:r>
      <w:r>
        <w:t xml:space="preserve"> </w:t>
      </w:r>
      <w:r>
        <w:rPr>
          <w:bCs/>
          <w:b/>
        </w:rPr>
        <w:t xml:space="preserve">immutable Ed25519-signed audit trail</w:t>
      </w:r>
      <w:r>
        <w:t xml:space="preserve"> </w:t>
      </w:r>
      <w:r>
        <w:t xml:space="preserve">— a cryptographic log of who (or what agent) created the record, when, and with what authorization. The Data Foundation is not merely a database. It is the institutional memory of the AI economy — every governance decision, every compliance event, every regulatory interpretation preserved in perpetuity and verifiable by anyone.</w:t>
      </w:r>
    </w:p>
    <w:bookmarkEnd w:id="32"/>
    <w:bookmarkStart w:id="33" w:name="layer-7-pheromone-signaling"/>
    <w:p>
      <w:pPr>
        <w:pStyle w:val="Heading3"/>
      </w:pPr>
      <w:r>
        <w:t xml:space="preserve">1.2.7 Layer 7 — Pheromone Signaling</w:t>
      </w:r>
    </w:p>
    <w:p>
      <w:pPr>
        <w:pStyle w:val="FirstParagraph"/>
      </w:pPr>
      <w:r>
        <w:t xml:space="preserve">Pheromone Signaling is the coordination layer that binds the three domains into a single organism. It is inspired by the chemical signaling systems of social insects — ants, bees, termites — where simple local signals produce sophisticated global behavior. CSOAI implements two primary pheromone types:</w:t>
      </w:r>
      <w:r>
        <w:t xml:space="preserve"> </w:t>
      </w:r>
      <w:r>
        <w:rPr>
          <w:bCs/>
          <w:b/>
        </w:rPr>
        <w:t xml:space="preserve">alarm pheromones</w:t>
      </w:r>
      <w:r>
        <w:t xml:space="preserve"> </w:t>
      </w:r>
      <w:r>
        <w:t xml:space="preserve">and</w:t>
      </w:r>
      <w:r>
        <w:t xml:space="preserve"> </w:t>
      </w:r>
      <w:r>
        <w:rPr>
          <w:bCs/>
          <w:b/>
        </w:rPr>
        <w:t xml:space="preserve">trail pheromones</w:t>
      </w:r>
      <w:r>
        <w:t xml:space="preserve">.</w:t>
      </w:r>
    </w:p>
    <w:p>
      <w:pPr>
        <w:pStyle w:val="BodyText"/>
      </w:pPr>
      <w:r>
        <w:rPr>
          <w:bCs/>
          <w:b/>
        </w:rPr>
        <w:t xml:space="preserve">Alarm pheromones</w:t>
      </w:r>
      <w:r>
        <w:t xml:space="preserve"> </w:t>
      </w:r>
      <w:r>
        <w:t xml:space="preserve">propagate crisis signals across domains. When the Space Hive detects a satellite collision event, an alarm pheromone triggers the Earth Hive to check the manufacturer’s insurance and liability exposure, and the Digital Hive to audit the AI decision logs for the collision-avoidance system. When the Earth Hive detects a major bank failing its DORA stress test, an alarm pheromone alerts the Digital Hive to check the bank’s cloud infrastructure providers for correlated AI agent failures. Alarm pheromones ensure that no domain governs in isolation — because in the AI economy, risks are never isolated.</w:t>
      </w:r>
    </w:p>
    <w:p>
      <w:pPr>
        <w:pStyle w:val="BodyText"/>
      </w:pPr>
      <w:r>
        <w:rPr>
          <w:bCs/>
          <w:b/>
        </w:rPr>
        <w:t xml:space="preserve">Trail pheromones</w:t>
      </w:r>
      <w:r>
        <w:t xml:space="preserve"> </w:t>
      </w:r>
      <w:r>
        <w:t xml:space="preserve">propagate successful pathways across domains. When the Earth Hive discovers a particularly effective compliance strategy for a DORA-regulated entity, a trail pheromone encodes that strategy and makes it available to the Space and Digital Hives as a transferable pattern. When the Space Hive develops a new method for certifying autonomous satellite AI safety, a trail pheromone carries that method to the Digital Hive for adaptation to terrestrial AI agent certification. Trail pheromones transform CSOAI from a reactive monitoring system into a</w:t>
      </w:r>
      <w:r>
        <w:t xml:space="preserve"> </w:t>
      </w:r>
      <w:r>
        <w:rPr>
          <w:bCs/>
          <w:b/>
        </w:rPr>
        <w:t xml:space="preserve">learning governance organism</w:t>
      </w:r>
      <w:r>
        <w:t xml:space="preserve"> </w:t>
      </w:r>
      <w:r>
        <w:t xml:space="preserve">— one that accumulates wisdom and shares it across domains in real time.</w:t>
      </w:r>
    </w:p>
    <w:bookmarkEnd w:id="33"/>
    <w:bookmarkStart w:id="34" w:name="table-1-the-seven-layer-architecture"/>
    <w:p>
      <w:pPr>
        <w:pStyle w:val="Heading3"/>
      </w:pPr>
      <w:r>
        <w:t xml:space="preserve">Table 1: The Seven-Layer Architecture</w:t>
      </w:r>
    </w:p>
    <w:tbl>
      <w:tblPr>
        <w:tblStyle w:val="Table"/>
        <w:tblW w:type="pct" w:w="5000"/>
        <w:tblLook w:firstRow="1" w:lastRow="0" w:firstColumn="0" w:lastColumn="0" w:noHBand="0" w:noVBand="0" w:val="0020"/>
      </w:tblPr>
      <w:tblGrid>
        <w:gridCol w:w="759"/>
        <w:gridCol w:w="1084"/>
        <w:gridCol w:w="1627"/>
        <w:gridCol w:w="1844"/>
        <w:gridCol w:w="2603"/>
      </w:tblGrid>
      <w:tr>
        <w:trPr>
          <w:tblHeader w:val="true"/>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Key Technology</w:t>
            </w:r>
          </w:p>
        </w:tc>
        <w:tc>
          <w:tcPr/>
          <w:p>
            <w:pPr>
              <w:pStyle w:val="Compact"/>
              <w:jc w:val="left"/>
            </w:pPr>
            <w:r>
              <w:t xml:space="preserve">CSOAI Component</w:t>
            </w:r>
          </w:p>
        </w:tc>
        <w:tc>
          <w:tcPr/>
          <w:p>
            <w:pPr>
              <w:pStyle w:val="Compact"/>
              <w:jc w:val="left"/>
            </w:pPr>
            <w:r>
              <w:t xml:space="preserve">Cross-Domain Capability</w:t>
            </w:r>
          </w:p>
        </w:tc>
      </w:tr>
      <w:tr>
        <w:tc>
          <w:tcPr/>
          <w:p>
            <w:pPr>
              <w:pStyle w:val="Compact"/>
              <w:jc w:val="left"/>
            </w:pPr>
            <w:r>
              <w:rPr>
                <w:bCs/>
                <w:b/>
              </w:rPr>
              <w:t xml:space="preserve">L1 — Governance Interface</w:t>
            </w:r>
          </w:p>
        </w:tc>
        <w:tc>
          <w:tcPr/>
          <w:p>
            <w:pPr>
              <w:pStyle w:val="Compact"/>
              <w:jc w:val="left"/>
            </w:pPr>
            <w:r>
              <w:t xml:space="preserve">Unified API for all external actors</w:t>
            </w:r>
          </w:p>
        </w:tc>
        <w:tc>
          <w:tcPr/>
          <w:p>
            <w:pPr>
              <w:pStyle w:val="Compact"/>
              <w:jc w:val="left"/>
            </w:pPr>
            <w:r>
              <w:t xml:space="preserve">REST/GraphQL APIs, W3C DID auth, Ed25519 signatures</w:t>
            </w:r>
          </w:p>
        </w:tc>
        <w:tc>
          <w:tcPr/>
          <w:p>
            <w:pPr>
              <w:pStyle w:val="Compact"/>
              <w:jc w:val="left"/>
            </w:pPr>
            <w:r>
              <w:t xml:space="preserve">Governance API Gateway</w:t>
            </w:r>
          </w:p>
        </w:tc>
        <w:tc>
          <w:tcPr/>
          <w:p>
            <w:pPr>
              <w:pStyle w:val="Compact"/>
              <w:jc w:val="left"/>
            </w:pPr>
            <w:r>
              <w:t xml:space="preserve">Single endpoint for Earth (regulators, companies), Space (agencies, operators), Digital (developers, token issuers)</w:t>
            </w:r>
          </w:p>
        </w:tc>
      </w:tr>
      <w:tr>
        <w:tc>
          <w:tcPr/>
          <w:p>
            <w:pPr>
              <w:pStyle w:val="Compact"/>
              <w:jc w:val="left"/>
            </w:pPr>
            <w:r>
              <w:rPr>
                <w:bCs/>
                <w:b/>
              </w:rPr>
              <w:t xml:space="preserve">L2 — Intelligence Fabric</w:t>
            </w:r>
          </w:p>
        </w:tc>
        <w:tc>
          <w:tcPr/>
          <w:p>
            <w:pPr>
              <w:pStyle w:val="Compact"/>
              <w:jc w:val="left"/>
            </w:pPr>
            <w:r>
              <w:t xml:space="preserve">LLM-powered reasoning, simulation, recommendations</w:t>
            </w:r>
          </w:p>
        </w:tc>
        <w:tc>
          <w:tcPr/>
          <w:p>
            <w:pPr>
              <w:pStyle w:val="Compact"/>
              <w:jc w:val="left"/>
            </w:pPr>
            <w:r>
              <w:t xml:space="preserve">Fine-tuned LLMs, Sovereign Lens engine, Platinum Move generator</w:t>
            </w:r>
          </w:p>
        </w:tc>
        <w:tc>
          <w:tcPr/>
          <w:p>
            <w:pPr>
              <w:pStyle w:val="Compact"/>
              <w:jc w:val="left"/>
            </w:pPr>
            <w:r>
              <w:t xml:space="preserve">Compliance Analyzer, Scenario Engine, Recommendation System</w:t>
            </w:r>
          </w:p>
        </w:tc>
        <w:tc>
          <w:tcPr/>
          <w:p>
            <w:pPr>
              <w:pStyle w:val="Compact"/>
              <w:jc w:val="left"/>
            </w:pPr>
            <w:r>
              <w:t xml:space="preserve">Regulatory reasoning spans DORA/EU AI Act (Earth), OST/Artemis (Space), multi-agent safety (Digital)</w:t>
            </w:r>
          </w:p>
        </w:tc>
      </w:tr>
      <w:tr>
        <w:tc>
          <w:tcPr/>
          <w:p>
            <w:pPr>
              <w:pStyle w:val="Compact"/>
              <w:jc w:val="left"/>
            </w:pPr>
            <w:r>
              <w:rPr>
                <w:bCs/>
                <w:b/>
              </w:rPr>
              <w:t xml:space="preserve">L3 — Hive Orchestration</w:t>
            </w:r>
          </w:p>
        </w:tc>
        <w:tc>
          <w:tcPr/>
          <w:p>
            <w:pPr>
              <w:pStyle w:val="Compact"/>
              <w:jc w:val="left"/>
            </w:pPr>
            <w:r>
              <w:t xml:space="preserve">Domain-specialized governance clusters</w:t>
            </w:r>
          </w:p>
        </w:tc>
        <w:tc>
          <w:tcPr/>
          <w:p>
            <w:pPr>
              <w:pStyle w:val="Compact"/>
              <w:jc w:val="left"/>
            </w:pPr>
            <w:r>
              <w:t xml:space="preserve">SOV3 King orchestrator, 8-agent hive architecture</w:t>
            </w:r>
          </w:p>
        </w:tc>
        <w:tc>
          <w:tcPr/>
          <w:p>
            <w:pPr>
              <w:pStyle w:val="Compact"/>
              <w:jc w:val="left"/>
            </w:pPr>
            <w:r>
              <w:t xml:space="preserve">Earth Hive (DORA, EU AI Act, NIST, CBEST), Space Hive (satellites, lunar), Digital Hive (agents, tokens)</w:t>
            </w:r>
          </w:p>
        </w:tc>
        <w:tc>
          <w:tcPr/>
          <w:p>
            <w:pPr>
              <w:pStyle w:val="Compact"/>
              <w:jc w:val="left"/>
            </w:pPr>
            <w:r>
              <w:t xml:space="preserve">SOV3 King resolves cross-domain conflicts; hives share state via Protocol Fabric</w:t>
            </w:r>
          </w:p>
        </w:tc>
      </w:tr>
      <w:tr>
        <w:tc>
          <w:tcPr/>
          <w:p>
            <w:pPr>
              <w:pStyle w:val="Compact"/>
              <w:jc w:val="left"/>
            </w:pPr>
            <w:r>
              <w:rPr>
                <w:bCs/>
                <w:b/>
              </w:rPr>
              <w:t xml:space="preserve">L4 — Agent Mesh</w:t>
            </w:r>
          </w:p>
        </w:tc>
        <w:tc>
          <w:tcPr/>
          <w:p>
            <w:pPr>
              <w:pStyle w:val="Compact"/>
              <w:jc w:val="left"/>
            </w:pPr>
            <w:r>
              <w:t xml:space="preserve">Distributed autonomous governance agents</w:t>
            </w:r>
          </w:p>
        </w:tc>
        <w:tc>
          <w:tcPr/>
          <w:p>
            <w:pPr>
              <w:pStyle w:val="Compact"/>
              <w:jc w:val="left"/>
            </w:pPr>
            <w:r>
              <w:t xml:space="preserve">A2A protocol, 47 agents per domain</w:t>
            </w:r>
          </w:p>
        </w:tc>
        <w:tc>
          <w:tcPr/>
          <w:p>
            <w:pPr>
              <w:pStyle w:val="Compact"/>
              <w:jc w:val="left"/>
            </w:pPr>
            <w:r>
              <w:t xml:space="preserve">Earth Town (47 agents), Space Station (47 agents), Digital Metaverse (47 agents)</w:t>
            </w:r>
          </w:p>
        </w:tc>
        <w:tc>
          <w:tcPr/>
          <w:p>
            <w:pPr>
              <w:pStyle w:val="Compact"/>
              <w:jc w:val="left"/>
            </w:pPr>
            <w:r>
              <w:t xml:space="preserve">Cross-domain agent delegation; Space anomaly triggers Earth manufacturer check</w:t>
            </w:r>
          </w:p>
        </w:tc>
      </w:tr>
      <w:tr>
        <w:tc>
          <w:tcPr/>
          <w:p>
            <w:pPr>
              <w:pStyle w:val="Compact"/>
              <w:jc w:val="left"/>
            </w:pPr>
            <w:r>
              <w:rPr>
                <w:bCs/>
                <w:b/>
              </w:rPr>
              <w:t xml:space="preserve">L5 — Protocol Fabric</w:t>
            </w:r>
          </w:p>
        </w:tc>
        <w:tc>
          <w:tcPr/>
          <w:p>
            <w:pPr>
              <w:pStyle w:val="Compact"/>
              <w:jc w:val="left"/>
            </w:pPr>
            <w:r>
              <w:t xml:space="preserve">Open protocol stack for integration, identity, payment</w:t>
            </w:r>
          </w:p>
        </w:tc>
        <w:tc>
          <w:tcPr/>
          <w:p>
            <w:pPr>
              <w:pStyle w:val="Compact"/>
              <w:jc w:val="left"/>
            </w:pPr>
            <w:r>
              <w:t xml:space="preserve">MCP, A2A, x402, ANP, W3C DID, Ed25519</w:t>
            </w:r>
          </w:p>
        </w:tc>
        <w:tc>
          <w:tcPr/>
          <w:p>
            <w:pPr>
              <w:pStyle w:val="Compact"/>
              <w:jc w:val="left"/>
            </w:pPr>
            <w:r>
              <w:t xml:space="preserve">290+ MCP servers, A2A mesh, x402 payments layer</w:t>
            </w:r>
          </w:p>
        </w:tc>
        <w:tc>
          <w:tcPr/>
          <w:p>
            <w:pPr>
              <w:pStyle w:val="Compact"/>
              <w:jc w:val="left"/>
            </w:pPr>
            <w:r>
              <w:t xml:space="preserve">MCP servers connect to space agencies, corporate registries, blockchain nodes across all domains</w:t>
            </w:r>
          </w:p>
        </w:tc>
      </w:tr>
      <w:tr>
        <w:tc>
          <w:tcPr/>
          <w:p>
            <w:pPr>
              <w:pStyle w:val="Compact"/>
              <w:jc w:val="left"/>
            </w:pPr>
            <w:r>
              <w:rPr>
                <w:bCs/>
                <w:b/>
              </w:rPr>
              <w:t xml:space="preserve">L6 — Data Foundation</w:t>
            </w:r>
          </w:p>
        </w:tc>
        <w:tc>
          <w:tcPr/>
          <w:p>
            <w:pPr>
              <w:pStyle w:val="Compact"/>
              <w:jc w:val="left"/>
            </w:pPr>
            <w:r>
              <w:t xml:space="preserve">Persistence, time-series, immutable audit</w:t>
            </w:r>
          </w:p>
        </w:tc>
        <w:tc>
          <w:tcPr/>
          <w:p>
            <w:pPr>
              <w:pStyle w:val="Compact"/>
              <w:jc w:val="left"/>
            </w:pPr>
            <w:r>
              <w:t xml:space="preserve">Neo4j Fabric (1T+ relationships, 200B+ nodes), TimescaleDB, Ed25519 audit trails</w:t>
            </w:r>
          </w:p>
        </w:tc>
        <w:tc>
          <w:tcPr/>
          <w:p>
            <w:pPr>
              <w:pStyle w:val="Compact"/>
              <w:jc w:val="left"/>
            </w:pPr>
            <w:r>
              <w:t xml:space="preserve">Governance Graph, Telemetry Store, Audit Ledger</w:t>
            </w:r>
          </w:p>
        </w:tc>
        <w:tc>
          <w:tcPr/>
          <w:p>
            <w:pPr>
              <w:pStyle w:val="Compact"/>
              <w:jc w:val="left"/>
            </w:pPr>
            <w:r>
              <w:t xml:space="preserve">Unified graph spans companies, satellites, AI agents; time-series links terrestrial and orbital events</w:t>
            </w:r>
          </w:p>
        </w:tc>
      </w:tr>
      <w:tr>
        <w:tc>
          <w:tcPr/>
          <w:p>
            <w:pPr>
              <w:pStyle w:val="Compact"/>
              <w:jc w:val="left"/>
            </w:pPr>
            <w:r>
              <w:rPr>
                <w:bCs/>
                <w:b/>
              </w:rPr>
              <w:t xml:space="preserve">L7 — Pheromone Signaling</w:t>
            </w:r>
          </w:p>
        </w:tc>
        <w:tc>
          <w:tcPr/>
          <w:p>
            <w:pPr>
              <w:pStyle w:val="Compact"/>
              <w:jc w:val="left"/>
            </w:pPr>
            <w:r>
              <w:t xml:space="preserve">Cross-domain coordination and learning</w:t>
            </w:r>
          </w:p>
        </w:tc>
        <w:tc>
          <w:tcPr/>
          <w:p>
            <w:pPr>
              <w:pStyle w:val="Compact"/>
              <w:jc w:val="left"/>
            </w:pPr>
            <w:r>
              <w:t xml:space="preserve">Alarm pheromones (crisis propagation), Trail pheromones (pattern transfer)</w:t>
            </w:r>
          </w:p>
        </w:tc>
        <w:tc>
          <w:tcPr/>
          <w:p>
            <w:pPr>
              <w:pStyle w:val="Compact"/>
              <w:jc w:val="left"/>
            </w:pPr>
            <w:r>
              <w:t xml:space="preserve">Crisis Router, Pattern Diffusion Engine</w:t>
            </w:r>
          </w:p>
        </w:tc>
        <w:tc>
          <w:tcPr/>
          <w:p>
            <w:pPr>
              <w:pStyle w:val="Compact"/>
              <w:jc w:val="left"/>
            </w:pPr>
            <w:r>
              <w:t xml:space="preserve">Satellite collision triggers Earth liability + Digital AI audit; successful DORA pattern adapts to lunar AI certification</w:t>
            </w:r>
          </w:p>
        </w:tc>
      </w:tr>
    </w:tbl>
    <w:p>
      <w:r>
        <w:pict>
          <v:rect style="width:0;height:1.5pt" o:hralign="center" o:hrstd="t" o:hr="t"/>
        </w:pict>
      </w:r>
    </w:p>
    <w:bookmarkEnd w:id="34"/>
    <w:bookmarkEnd w:id="35"/>
    <w:bookmarkEnd w:id="36"/>
    <w:bookmarkStart w:id="48" w:name="X365cb88f8990975492856e72ec35b2398f0fca1"/>
    <w:p>
      <w:pPr>
        <w:pStyle w:val="Heading1"/>
      </w:pPr>
      <w:r>
        <w:t xml:space="preserve">SECTION 2: Space AI Governance — The CSOAI Space Hive</w:t>
      </w:r>
    </w:p>
    <w:bookmarkStart w:id="39" w:name="the-regulatory-vacuum-in-space"/>
    <w:p>
      <w:pPr>
        <w:pStyle w:val="Heading2"/>
      </w:pPr>
      <w:r>
        <w:t xml:space="preserve">2.1 The Regulatory Vacuum in Space</w:t>
      </w:r>
    </w:p>
    <w:bookmarkStart w:id="37" w:name="Xb1bb890f6ebc8a68faa2b4416d71e80ec566fc6"/>
    <w:p>
      <w:pPr>
        <w:pStyle w:val="Heading3"/>
      </w:pPr>
      <w:r>
        <w:t xml:space="preserve">2.1.1 The Outer Space Treaty (1967): A Governance Fossil</w:t>
      </w:r>
    </w:p>
    <w:p>
      <w:pPr>
        <w:pStyle w:val="FirstParagraph"/>
      </w:pPr>
      <w:r>
        <w:t xml:space="preserve">The Treaty on Principles Governing the Activities of States in the Exploration and Use of Outer Space, including the Moon and Other Celestial Bodies — known universally as the</w:t>
      </w:r>
      <w:r>
        <w:t xml:space="preserve"> </w:t>
      </w:r>
      <w:r>
        <w:rPr>
          <w:bCs/>
          <w:b/>
        </w:rPr>
        <w:t xml:space="preserve">Outer Space Treaty of 1967</w:t>
      </w:r>
      <w:r>
        <w:t xml:space="preserve"> </w:t>
      </w:r>
      <w:r>
        <w:t xml:space="preserve">— remains the foundational legal instrument for all space activity. Drafted when the Apollo program was still in development and artificial intelligence existed only as a theoretical discipline at summer conferences, the OST established principles that have endured for nearly six decades: space is the province of all mankind; no nation may claim sovereignty over celestial bodies; weapons of mass destruction are prohibited in orbit; states bear international responsibility for national space activities whether conducted by governmental agencies or non-governmental entities.</w:t>
      </w:r>
    </w:p>
    <w:p>
      <w:pPr>
        <w:pStyle w:val="BodyText"/>
      </w:pPr>
      <w:r>
        <w:t xml:space="preserve">But the OST contains</w:t>
      </w:r>
      <w:r>
        <w:t xml:space="preserve"> </w:t>
      </w:r>
      <w:r>
        <w:rPr>
          <w:bCs/>
          <w:b/>
        </w:rPr>
        <w:t xml:space="preserve">no mention of autonomous systems</w:t>
      </w:r>
      <w:r>
        <w:t xml:space="preserve">. None. The word</w:t>
      </w:r>
      <w:r>
        <w:t xml:space="preserve"> </w:t>
      </w:r>
      <w:r>
        <w:t xml:space="preserve">“</w:t>
      </w:r>
      <w:r>
        <w:t xml:space="preserve">computer</w:t>
      </w:r>
      <w:r>
        <w:t xml:space="preserve">”</w:t>
      </w:r>
      <w:r>
        <w:t xml:space="preserve"> </w:t>
      </w:r>
      <w:r>
        <w:t xml:space="preserve">does not appear. The word</w:t>
      </w:r>
      <w:r>
        <w:t xml:space="preserve"> </w:t>
      </w:r>
      <w:r>
        <w:t xml:space="preserve">“</w:t>
      </w:r>
      <w:r>
        <w:t xml:space="preserve">algorithm</w:t>
      </w:r>
      <w:r>
        <w:t xml:space="preserve">”</w:t>
      </w:r>
      <w:r>
        <w:t xml:space="preserve"> </w:t>
      </w:r>
      <w:r>
        <w:t xml:space="preserve">does not appear. The word</w:t>
      </w:r>
      <w:r>
        <w:t xml:space="preserve"> </w:t>
      </w:r>
      <w:r>
        <w:t xml:space="preserve">“</w:t>
      </w:r>
      <w:r>
        <w:t xml:space="preserve">artificial intelligence</w:t>
      </w:r>
      <w:r>
        <w:t xml:space="preserve">”</w:t>
      </w:r>
      <w:r>
        <w:t xml:space="preserve"> </w:t>
      </w:r>
      <w:r>
        <w:t xml:space="preserve">does not appear — and could not have appeared, because the field had not been named. The treaty assumes that space activities are conducted by</w:t>
      </w:r>
      <w:r>
        <w:t xml:space="preserve"> </w:t>
      </w:r>
      <w:r>
        <w:rPr>
          <w:bCs/>
          <w:b/>
        </w:rPr>
        <w:t xml:space="preserve">states</w:t>
      </w:r>
      <w:r>
        <w:t xml:space="preserve"> </w:t>
      </w:r>
      <w:r>
        <w:t xml:space="preserve">and</w:t>
      </w:r>
      <w:r>
        <w:t xml:space="preserve"> </w:t>
      </w:r>
      <w:r>
        <w:rPr>
          <w:bCs/>
          <w:b/>
        </w:rPr>
        <w:t xml:space="preserve">humans</w:t>
      </w:r>
      <w:r>
        <w:t xml:space="preserve">. It does not contemplate a constellation of 42,000 satellites making millions of autonomous decisions daily about routing, collision avoidance, deorbit timing, and frequency management without human intervention for every decision.</w:t>
      </w:r>
    </w:p>
    <w:p>
      <w:pPr>
        <w:pStyle w:val="BodyText"/>
      </w:pPr>
      <w:r>
        <w:t xml:space="preserve">This omission creates</w:t>
      </w:r>
      <w:r>
        <w:t xml:space="preserve"> </w:t>
      </w:r>
      <w:r>
        <w:rPr>
          <w:bCs/>
          <w:b/>
        </w:rPr>
        <w:t xml:space="preserve">ten major governance gaps</w:t>
      </w:r>
      <w:r>
        <w:t xml:space="preserve"> </w:t>
      </w:r>
      <w:r>
        <w:t xml:space="preserve">that the CSOAI Space Hive is designed to address:</w:t>
      </w:r>
    </w:p>
    <w:p>
      <w:pPr>
        <w:numPr>
          <w:ilvl w:val="0"/>
          <w:numId w:val="1001"/>
        </w:numPr>
      </w:pPr>
      <w:r>
        <w:rPr>
          <w:bCs/>
          <w:b/>
        </w:rPr>
        <w:t xml:space="preserve">Liability Attribution</w:t>
      </w:r>
      <w:r>
        <w:t xml:space="preserve">: Article VII of the OST holds the</w:t>
      </w:r>
      <w:r>
        <w:t xml:space="preserve"> </w:t>
      </w:r>
      <w:r>
        <w:t xml:space="preserve">“</w:t>
      </w:r>
      <w:r>
        <w:t xml:space="preserve">launching state</w:t>
      </w:r>
      <w:r>
        <w:t xml:space="preserve">”</w:t>
      </w:r>
      <w:r>
        <w:t xml:space="preserve"> </w:t>
      </w:r>
      <w:r>
        <w:t xml:space="preserve">liable for damage caused by space objects. But when an AI system autonomously decides to maneuver a satellite, and that maneuver causes a collision, is the launching state still solely liable? Is the AI developer liable? Is the satellite operator liable? Is the training data provider liable? Current law provides no answer.</w:t>
      </w:r>
    </w:p>
    <w:p>
      <w:pPr>
        <w:numPr>
          <w:ilvl w:val="0"/>
          <w:numId w:val="1001"/>
        </w:numPr>
      </w:pPr>
      <w:r>
        <w:rPr>
          <w:bCs/>
          <w:b/>
        </w:rPr>
        <w:t xml:space="preserve">“</w:t>
      </w:r>
      <w:r>
        <w:rPr>
          <w:bCs/>
          <w:b/>
        </w:rPr>
        <w:t xml:space="preserve">Space Object</w:t>
      </w:r>
      <w:r>
        <w:rPr>
          <w:bCs/>
          <w:b/>
        </w:rPr>
        <w:t xml:space="preserve">”</w:t>
      </w:r>
      <w:r>
        <w:rPr>
          <w:bCs/>
          <w:b/>
        </w:rPr>
        <w:t xml:space="preserve"> </w:t>
      </w:r>
      <w:r>
        <w:rPr>
          <w:bCs/>
          <w:b/>
        </w:rPr>
        <w:t xml:space="preserve">Definition</w:t>
      </w:r>
      <w:r>
        <w:t xml:space="preserve">: The OST defines a</w:t>
      </w:r>
      <w:r>
        <w:t xml:space="preserve"> </w:t>
      </w:r>
      <w:r>
        <w:t xml:space="preserve">“</w:t>
      </w:r>
      <w:r>
        <w:t xml:space="preserve">space object</w:t>
      </w:r>
      <w:r>
        <w:t xml:space="preserve">”</w:t>
      </w:r>
      <w:r>
        <w:t xml:space="preserve"> </w:t>
      </w:r>
      <w:r>
        <w:t xml:space="preserve">broadly but does not distinguish between a passive satellite and an AI-driven autonomous spacecraft. A Starlink satellite with onboard neural networks making real-time routing decisions is a fundamentally different entity from a 1960s communications relay. The legal category has not evolved.</w:t>
      </w:r>
    </w:p>
    <w:p>
      <w:pPr>
        <w:numPr>
          <w:ilvl w:val="0"/>
          <w:numId w:val="1001"/>
        </w:numPr>
      </w:pPr>
      <w:r>
        <w:rPr>
          <w:bCs/>
          <w:b/>
        </w:rPr>
        <w:t xml:space="preserve">AI Safety Standards</w:t>
      </w:r>
      <w:r>
        <w:t xml:space="preserve">: There are no internationally recognized safety standards for AI systems operating in space. Terrestrial AI safety frameworks — the EU AI Act’s risk classification, NIST’s AI RMF, ISO/IEC 23053 — were designed for Earth-bound applications. None address the specific hazards of space: radiation-induced bit flips, communication delays, limited computational redundancy, and the irreversibility of orbital maneuvers.</w:t>
      </w:r>
    </w:p>
    <w:p>
      <w:pPr>
        <w:numPr>
          <w:ilvl w:val="0"/>
          <w:numId w:val="1001"/>
        </w:numPr>
      </w:pPr>
      <w:r>
        <w:rPr>
          <w:bCs/>
          <w:b/>
        </w:rPr>
        <w:t xml:space="preserve">Space Traffic Management for AI-Driven Satellites</w:t>
      </w:r>
      <w:r>
        <w:t xml:space="preserve">: With 42,000 Starlink satellites, thousands of OneWeb and Amazon Kuiper satellites, and hundreds of military and scientific spacecraft, Earth orbit is becoming congested. Autonomous satellites make maneuver decisions in milliseconds. Human space traffic controllers cannot review every decision. Who governs the AI that governs the traffic?</w:t>
      </w:r>
    </w:p>
    <w:p>
      <w:pPr>
        <w:numPr>
          <w:ilvl w:val="0"/>
          <w:numId w:val="1001"/>
        </w:numPr>
      </w:pPr>
      <w:r>
        <w:rPr>
          <w:bCs/>
          <w:b/>
        </w:rPr>
        <w:t xml:space="preserve">Jurisdiction Beyond Earth Orbit</w:t>
      </w:r>
      <w:r>
        <w:t xml:space="preserve">: The OST’s jurisdiction framework is clear for Earth orbit: the launching state retains jurisdiction. But what about lunar orbit? The lunar surface? Lagrange points? Deep space? As Artemis missions establish sustained presence on the Moon, AI systems will operate in jurisdictional gray zones that no terrestrial regulator has contemplated.</w:t>
      </w:r>
    </w:p>
    <w:p>
      <w:pPr>
        <w:numPr>
          <w:ilvl w:val="0"/>
          <w:numId w:val="1001"/>
        </w:numPr>
      </w:pPr>
      <w:r>
        <w:rPr>
          <w:bCs/>
          <w:b/>
        </w:rPr>
        <w:t xml:space="preserve">Data Protection in Space</w:t>
      </w:r>
      <w:r>
        <w:t xml:space="preserve">: Satellites collect vast quantities of data — imagery, communications, positioning signals, scientific measurements. GDPR and similar frameworks apply to data processing on Earth. But when an AI aboard a satellite processes personal data in orbit, which jurisdiction applies? The launching state’s? The state below the satellite at the moment of processing? The state where the data is downlinked?</w:t>
      </w:r>
    </w:p>
    <w:p>
      <w:pPr>
        <w:numPr>
          <w:ilvl w:val="0"/>
          <w:numId w:val="1001"/>
        </w:numPr>
      </w:pPr>
      <w:r>
        <w:rPr>
          <w:bCs/>
          <w:b/>
        </w:rPr>
        <w:t xml:space="preserve">Cybersecurity</w:t>
      </w:r>
      <w:r>
        <w:t xml:space="preserve">: Space systems are critical infrastructure. An adversary that compromises a satellite AI could redirect communications, corrupt navigation signals, trigger collisions, or weaponize orbital debris. No comprehensive cybersecurity framework exists for space AI. NIST’s cybersecurity framework applies to terrestrial systems. DORA applies to EU financial entities. Neither addresses the attack surface of an autonomous satellite constellation.</w:t>
      </w:r>
    </w:p>
    <w:p>
      <w:pPr>
        <w:numPr>
          <w:ilvl w:val="0"/>
          <w:numId w:val="1001"/>
        </w:numPr>
      </w:pPr>
      <w:r>
        <w:rPr>
          <w:bCs/>
          <w:b/>
        </w:rPr>
        <w:t xml:space="preserve">Export Controls</w:t>
      </w:r>
      <w:r>
        <w:t xml:space="preserve">: AI technology for space applications is subject to dual-use export control regimes — the U.S. International Traffic in Arms Regulations (ITAR), the EU Dual-Use Regulation, the Wassenaar Arrangement. But AI models trained on space data, AI architectures optimized for orbital computation, and AI governance frameworks themselves are difficult to classify under existing control lists. The technology moves faster than the regulations.</w:t>
      </w:r>
    </w:p>
    <w:p>
      <w:pPr>
        <w:numPr>
          <w:ilvl w:val="0"/>
          <w:numId w:val="1001"/>
        </w:numPr>
      </w:pPr>
      <w:r>
        <w:rPr>
          <w:bCs/>
          <w:b/>
        </w:rPr>
        <w:t xml:space="preserve">Environmental Protection</w:t>
      </w:r>
      <w:r>
        <w:t xml:space="preserve">: The Kessler Syndrome — a cascading collision scenario that could render certain orbital regimes unusable for generations — is an AI governance problem. Autonomous debris removal systems (like ESA’s ClearSpace-1) will be AI-driven. Who governs their decision-making? Who ensures they do not accidentally create more debris? Who decides which debris to remove first?</w:t>
      </w:r>
    </w:p>
    <w:p>
      <w:pPr>
        <w:numPr>
          <w:ilvl w:val="0"/>
          <w:numId w:val="1001"/>
        </w:numPr>
      </w:pPr>
      <w:r>
        <w:rPr>
          <w:bCs/>
          <w:b/>
        </w:rPr>
        <w:t xml:space="preserve">Planetary Protection</w:t>
      </w:r>
      <w:r>
        <w:t xml:space="preserve">: The Committee on Space Research (COSPAR) maintains planetary protection guidelines to prevent biological contamination of celestial bodies. But these guidelines do not address AI contamination — the risk that an autonomous system operating on Mars or the Moon could make decisions that violate scientific protocols, damage heritage sites, or interfere with other missions. As AI becomes the primary actor in deep space exploration, planetary protection must expand to encompass AI protection.</w:t>
      </w:r>
    </w:p>
    <w:bookmarkEnd w:id="37"/>
    <w:bookmarkStart w:id="38" w:name="X1723cf2d460b22e04de03e19c146b5af2211da2"/>
    <w:p>
      <w:pPr>
        <w:pStyle w:val="Heading3"/>
      </w:pPr>
      <w:r>
        <w:t xml:space="preserve">2.1.2 The Artemis Accords: Lunar Safety Without AI Governance</w:t>
      </w:r>
    </w:p>
    <w:p>
      <w:pPr>
        <w:pStyle w:val="FirstParagraph"/>
      </w:pPr>
      <w:r>
        <w:t xml:space="preserve">The</w:t>
      </w:r>
      <w:r>
        <w:t xml:space="preserve"> </w:t>
      </w:r>
      <w:r>
        <w:rPr>
          <w:bCs/>
          <w:b/>
        </w:rPr>
        <w:t xml:space="preserve">Artemis Accords</w:t>
      </w:r>
      <w:r>
        <w:t xml:space="preserve">, first signed in 2020 by the United States and seven initial partners and now endorsed by</w:t>
      </w:r>
      <w:r>
        <w:t xml:space="preserve"> </w:t>
      </w:r>
      <w:r>
        <w:rPr>
          <w:bCs/>
          <w:b/>
        </w:rPr>
        <w:t xml:space="preserve">more than 40 nations</w:t>
      </w:r>
      <w:r>
        <w:t xml:space="preserve">, represent the most significant multilateral space governance development since the OST. The Accords establish principles for lunar exploration: transparency, interoperability, emergency assistance, registration of space objects, release of scientific data, preservation of heritage, extraction and utilization of space resources, deconfliction of activities, and orbital debris mitigation.</w:t>
      </w:r>
    </w:p>
    <w:p>
      <w:pPr>
        <w:pStyle w:val="BodyText"/>
      </w:pPr>
      <w:r>
        <w:t xml:space="preserve">Critically, the Accords introduce the concept of</w:t>
      </w:r>
      <w:r>
        <w:t xml:space="preserve"> </w:t>
      </w:r>
      <w:r>
        <w:rPr>
          <w:bCs/>
          <w:b/>
        </w:rPr>
        <w:t xml:space="preserve">“</w:t>
      </w:r>
      <w:r>
        <w:rPr>
          <w:bCs/>
          <w:b/>
        </w:rPr>
        <w:t xml:space="preserve">safety zones</w:t>
      </w:r>
      <w:r>
        <w:rPr>
          <w:bCs/>
          <w:b/>
        </w:rPr>
        <w:t xml:space="preserve">”</w:t>
      </w:r>
      <w:r>
        <w:t xml:space="preserve"> </w:t>
      </w:r>
      <w:r>
        <w:t xml:space="preserve">— designated areas on the lunar surface where a nation’s activities should not be interfered with by other nations. This is a pragmatic recognition that lunar operations require operational buffers.</w:t>
      </w:r>
    </w:p>
    <w:p>
      <w:pPr>
        <w:pStyle w:val="BodyText"/>
      </w:pPr>
      <w:r>
        <w:t xml:space="preserve">But the Artemis Accords</w:t>
      </w:r>
      <w:r>
        <w:t xml:space="preserve"> </w:t>
      </w:r>
      <w:r>
        <w:rPr>
          <w:bCs/>
          <w:b/>
        </w:rPr>
        <w:t xml:space="preserve">do not address AI at all</w:t>
      </w:r>
      <w:r>
        <w:t xml:space="preserve">. They do not specify how AI systems operating in lunar safety zones should be governed. They do not establish standards for autonomous decision-making by lunar rovers, landers, or habitats. They do not address liability when an AI system operating in a safety zone makes an error that affects another nation’s activities. They do not require disclosure of AI capabilities, training methodologies, or safety validation procedures.</w:t>
      </w:r>
    </w:p>
    <w:p>
      <w:pPr>
        <w:pStyle w:val="BodyText"/>
      </w:pPr>
      <w:r>
        <w:t xml:space="preserve">This is the</w:t>
      </w:r>
      <w:r>
        <w:t xml:space="preserve"> </w:t>
      </w:r>
      <w:r>
        <w:rPr>
          <w:bCs/>
          <w:b/>
        </w:rPr>
        <w:t xml:space="preserve">Wild West of space AI governance</w:t>
      </w:r>
      <w:r>
        <w:t xml:space="preserve"> </w:t>
      </w:r>
      <w:r>
        <w:t xml:space="preserve">— and CSOAI intends to be the sheriff. The question</w:t>
      </w:r>
      <w:r>
        <w:t xml:space="preserve"> </w:t>
      </w:r>
      <w:r>
        <w:t xml:space="preserve">“</w:t>
      </w:r>
      <w:r>
        <w:t xml:space="preserve">Which laws govern an AI operating on the Moon?</w:t>
      </w:r>
      <w:r>
        <w:t xml:space="preserve">”</w:t>
      </w:r>
      <w:r>
        <w:t xml:space="preserve"> </w:t>
      </w:r>
      <w:r>
        <w:t xml:space="preserve">is literally unanswered today. CSOAI’s ArtemisGuard product (detailed in Section 2.2.4) provides the first comprehensive answer.</w:t>
      </w:r>
    </w:p>
    <w:bookmarkEnd w:id="38"/>
    <w:bookmarkEnd w:id="39"/>
    <w:bookmarkStart w:id="44" w:name="csoai-space-products"/>
    <w:p>
      <w:pPr>
        <w:pStyle w:val="Heading2"/>
      </w:pPr>
      <w:r>
        <w:t xml:space="preserve">2.2 CSOAI Space Products</w:t>
      </w:r>
    </w:p>
    <w:p>
      <w:pPr>
        <w:pStyle w:val="FirstParagraph"/>
      </w:pPr>
      <w:r>
        <w:t xml:space="preserve">The CSOAI Space Hive delivers four integrated products that collectively address the governance gaps identified above. Each product auto-spawns its target entities, maintains continuous compliance monitoring, runs forward simulations, and exposes governance state through the unified Layer 1 interface.</w:t>
      </w:r>
    </w:p>
    <w:bookmarkStart w:id="40" w:name="Xa4755a4ad2182a29672fc500a97e717853e3208"/>
    <w:p>
      <w:pPr>
        <w:pStyle w:val="Heading3"/>
      </w:pPr>
      <w:r>
        <w:t xml:space="preserve">2.2.1 OrbitalMind: AI Governance for Satellite Operators</w:t>
      </w:r>
    </w:p>
    <w:p>
      <w:pPr>
        <w:pStyle w:val="FirstParagraph"/>
      </w:pPr>
      <w:r>
        <w:rPr>
          <w:bCs/>
          <w:b/>
        </w:rPr>
        <w:t xml:space="preserve">OrbitalMind</w:t>
      </w:r>
      <w:r>
        <w:t xml:space="preserve"> </w:t>
      </w:r>
      <w:r>
        <w:t xml:space="preserve">is the AI governance dashboard for satellite operators — the single pane of glass through which operators, regulators, and insurers monitor the compliance posture of autonomous satellite operations.</w:t>
      </w:r>
    </w:p>
    <w:p>
      <w:pPr>
        <w:pStyle w:val="BodyText"/>
      </w:pPr>
      <w:r>
        <w:t xml:space="preserve">OrbitalMind auto-spawns satellites from</w:t>
      </w:r>
      <w:r>
        <w:t xml:space="preserve"> </w:t>
      </w:r>
      <w:r>
        <w:rPr>
          <w:bCs/>
          <w:b/>
        </w:rPr>
        <w:t xml:space="preserve">Space-Track.org</w:t>
      </w:r>
      <w:r>
        <w:t xml:space="preserve"> </w:t>
      </w:r>
      <w:r>
        <w:t xml:space="preserve">orbital data and</w:t>
      </w:r>
      <w:r>
        <w:t xml:space="preserve"> </w:t>
      </w:r>
      <w:r>
        <w:rPr>
          <w:bCs/>
          <w:b/>
        </w:rPr>
        <w:t xml:space="preserve">ITU satellite filings</w:t>
      </w:r>
      <w:r>
        <w:t xml:space="preserve">, creating a governance profile for every tracked object. For each satellite, OrbitalMind computes a</w:t>
      </w:r>
      <w:r>
        <w:t xml:space="preserve"> </w:t>
      </w:r>
      <w:r>
        <w:rPr>
          <w:bCs/>
          <w:b/>
        </w:rPr>
        <w:t xml:space="preserve">real-time compliance score</w:t>
      </w:r>
      <w:r>
        <w:t xml:space="preserve"> </w:t>
      </w:r>
      <w:r>
        <w:t xml:space="preserve">based on four governance dimensions:</w:t>
      </w:r>
    </w:p>
    <w:p>
      <w:pPr>
        <w:numPr>
          <w:ilvl w:val="0"/>
          <w:numId w:val="1002"/>
        </w:numPr>
      </w:pPr>
      <w:r>
        <w:rPr>
          <w:bCs/>
          <w:b/>
        </w:rPr>
        <w:t xml:space="preserve">Collision Avoidance AI Decisions</w:t>
      </w:r>
      <w:r>
        <w:t xml:space="preserve">: OrbitalMind ingests conjunction data messages (CDMs) from space surveillance networks, evaluates the satellite’s autonomous collision avoidance decisions against best-practice algorithms, and scores the AI’s performance. Did the maneuver minimize collision probability? Did it preserve mission objectives? Did it avoid creating new conjunction risks for other objects?</w:t>
      </w:r>
    </w:p>
    <w:p>
      <w:pPr>
        <w:numPr>
          <w:ilvl w:val="0"/>
          <w:numId w:val="1002"/>
        </w:numPr>
      </w:pPr>
      <w:r>
        <w:rPr>
          <w:bCs/>
          <w:b/>
        </w:rPr>
        <w:t xml:space="preserve">Deorbit Compliance</w:t>
      </w:r>
      <w:r>
        <w:t xml:space="preserve">: OrbitalMind tracks each satellite’s orbital altitude, propulsion status, and deorbit plan against the</w:t>
      </w:r>
      <w:r>
        <w:t xml:space="preserve"> </w:t>
      </w:r>
      <w:r>
        <w:rPr>
          <w:bCs/>
          <w:b/>
        </w:rPr>
        <w:t xml:space="preserve">25-year post-mission disposal guideline</w:t>
      </w:r>
      <w:r>
        <w:t xml:space="preserve"> </w:t>
      </w:r>
      <w:r>
        <w:t xml:space="preserve">established by the Inter-Agency Space Debris Coordination Committee (IADC). Satellites approaching end-of-life receive escalating compliance alerts. Operators with poor deorbit compliance histories see their governance scores degraded.</w:t>
      </w:r>
    </w:p>
    <w:p>
      <w:pPr>
        <w:numPr>
          <w:ilvl w:val="0"/>
          <w:numId w:val="1002"/>
        </w:numPr>
      </w:pPr>
      <w:r>
        <w:rPr>
          <w:bCs/>
          <w:b/>
        </w:rPr>
        <w:t xml:space="preserve">Frequency Allocation Adherence</w:t>
      </w:r>
      <w:r>
        <w:t xml:space="preserve">: OrbitalMind monitors satellite transmissions against ITU Radio Regulations, detecting unauthorized frequency use, harmful interference, and spectrum sharing violations. The AI governance layer extends to frequency-management algorithms — the autonomous systems that adjust transmission power and frequency based on real-time spectrum conditions.</w:t>
      </w:r>
    </w:p>
    <w:p>
      <w:pPr>
        <w:numPr>
          <w:ilvl w:val="0"/>
          <w:numId w:val="1002"/>
        </w:numPr>
      </w:pPr>
      <w:r>
        <w:rPr>
          <w:bCs/>
          <w:b/>
        </w:rPr>
        <w:t xml:space="preserve">Debris Mitigation</w:t>
      </w:r>
      <w:r>
        <w:t xml:space="preserve">: OrbitalMind scores operators on passivation (removing stored energy at end-of-life), limiting the probability of on-orbit fragmentation, and compliance with national debris mitigation standards (U.S. Government Orbital Debris Mitigation Standard Practices, ESA Space Debris Mitigation Requirements).</w:t>
      </w:r>
    </w:p>
    <w:p>
      <w:pPr>
        <w:pStyle w:val="FirstParagraph"/>
      </w:pPr>
      <w:r>
        <w:t xml:space="preserve">OrbitalMind’s compliance scores are</w:t>
      </w:r>
      <w:r>
        <w:t xml:space="preserve"> </w:t>
      </w:r>
      <w:r>
        <w:rPr>
          <w:bCs/>
          <w:b/>
        </w:rPr>
        <w:t xml:space="preserve">publicly queryable</w:t>
      </w:r>
      <w:r>
        <w:t xml:space="preserve"> </w:t>
      </w:r>
      <w:r>
        <w:t xml:space="preserve">through the CSOAI Governance API. Insurers pricing orbital liability coverage can incorporate OrbitalMind scores into their models. Regulators conducting market surveillance can identify non-compliant operators automatically. Investors evaluating space companies can governance-score their orbital portfolios.</w:t>
      </w:r>
    </w:p>
    <w:bookmarkEnd w:id="40"/>
    <w:bookmarkStart w:id="41" w:name="X1b71b6d95e91fad73f202edcfe3c8d23f978de7"/>
    <w:p>
      <w:pPr>
        <w:pStyle w:val="Heading3"/>
      </w:pPr>
      <w:r>
        <w:t xml:space="preserve">2.2.2 ConstellationWatch: Governance for Mega-Constellations</w:t>
      </w:r>
    </w:p>
    <w:p>
      <w:pPr>
        <w:pStyle w:val="FirstParagraph"/>
      </w:pPr>
      <w:r>
        <w:rPr>
          <w:bCs/>
          <w:b/>
        </w:rPr>
        <w:t xml:space="preserve">ConstellationWatch</w:t>
      </w:r>
      <w:r>
        <w:t xml:space="preserve"> </w:t>
      </w:r>
      <w:r>
        <w:t xml:space="preserve">is the governance monitoring system for satellite mega-constellations — fleets of hundreds, thousands, or tens of thousands of satellites operating as coordinated systems. Its primary target is the</w:t>
      </w:r>
      <w:r>
        <w:t xml:space="preserve"> </w:t>
      </w:r>
      <w:r>
        <w:rPr>
          <w:bCs/>
          <w:b/>
        </w:rPr>
        <w:t xml:space="preserve">Starlink-scale constellation</w:t>
      </w:r>
      <w:r>
        <w:t xml:space="preserve"> </w:t>
      </w:r>
      <w:r>
        <w:t xml:space="preserve">(42,000 planned satellites), but it applies equally to OneWeb (648 satellites), Amazon Kuiper (3,236 planned), and emerging Chinese mega-constellations.</w:t>
      </w:r>
    </w:p>
    <w:p>
      <w:pPr>
        <w:pStyle w:val="BodyText"/>
      </w:pPr>
      <w:r>
        <w:t xml:space="preserve">The governance challenge of mega-constellations is</w:t>
      </w:r>
      <w:r>
        <w:t xml:space="preserve"> </w:t>
      </w:r>
      <w:r>
        <w:rPr>
          <w:bCs/>
          <w:b/>
        </w:rPr>
        <w:t xml:space="preserve">systemic risk</w:t>
      </w:r>
      <w:r>
        <w:t xml:space="preserve">. A single satellite failure is manageable. A cascading failure across thousands of satellites — triggered by a software update, a space weather event, or an adversarial cyberattack — is not. ConstellationWatch addresses this through three capabilities:</w:t>
      </w:r>
    </w:p>
    <w:p>
      <w:pPr>
        <w:numPr>
          <w:ilvl w:val="0"/>
          <w:numId w:val="1003"/>
        </w:numPr>
      </w:pPr>
      <w:r>
        <w:rPr>
          <w:bCs/>
          <w:b/>
        </w:rPr>
        <w:t xml:space="preserve">Fleet-Wide AI Decision Cascade Simulation</w:t>
      </w:r>
      <w:r>
        <w:t xml:space="preserve">: ConstellationWatch runs continuous simulations of the constellation’s collective AI decision-making. What happens if the autonomous routing algorithm distributes traffic unevenly, concentrating satellites in certain orbital planes? What happens if a space weather event triggers simultaneous safe-mode entries across the fleet? What happens if a compromised update propagates AI misbehavior across thousands of nodes? The Sovereign Lens engine models these cascades and computes systemic risk scores.</w:t>
      </w:r>
    </w:p>
    <w:p>
      <w:pPr>
        <w:numPr>
          <w:ilvl w:val="0"/>
          <w:numId w:val="1003"/>
        </w:numPr>
      </w:pPr>
      <w:r>
        <w:rPr>
          <w:bCs/>
          <w:b/>
        </w:rPr>
        <w:t xml:space="preserve">Systemic Risk Identification</w:t>
      </w:r>
      <w:r>
        <w:t xml:space="preserve">: ConstellationWatch identifies correlated failure modes — shared software, shared ground infrastructure, shared AI models, shared supply chains — that create systemic vulnerabilities. A constellation with 42,000 identical satellites running identical AI software has massive correlated risk. ConstellationWatch quantifies this risk and scores constellations on diversification and resilience.</w:t>
      </w:r>
    </w:p>
    <w:p>
      <w:pPr>
        <w:numPr>
          <w:ilvl w:val="0"/>
          <w:numId w:val="1003"/>
        </w:numPr>
      </w:pPr>
      <w:r>
        <w:rPr>
          <w:bCs/>
          <w:b/>
        </w:rPr>
        <w:t xml:space="preserve">Regulatory Benchmarking</w:t>
      </w:r>
      <w:r>
        <w:t xml:space="preserve">: ConstellationWatch benchmarks mega-constellation operators against emerging regulatory expectations — the FCC’s new orbital debris rules, the EU’s proposed space traffic management framework, the ITU’s mega-constellation coordination procedures — and generates compliance gap analyses before regulations are finalized.</w:t>
      </w:r>
    </w:p>
    <w:bookmarkEnd w:id="41"/>
    <w:bookmarkStart w:id="42" w:name="kesslerscope-space-debris-risk-simulator"/>
    <w:p>
      <w:pPr>
        <w:pStyle w:val="Heading3"/>
      </w:pPr>
      <w:r>
        <w:t xml:space="preserve">2.2.3 KesslerScope: Space Debris Risk Simulator</w:t>
      </w:r>
    </w:p>
    <w:p>
      <w:pPr>
        <w:pStyle w:val="FirstParagraph"/>
      </w:pPr>
      <w:r>
        <w:rPr>
          <w:bCs/>
          <w:b/>
        </w:rPr>
        <w:t xml:space="preserve">KesslerScope</w:t>
      </w:r>
      <w:r>
        <w:t xml:space="preserve"> </w:t>
      </w:r>
      <w:r>
        <w:t xml:space="preserve">is the space debris risk simulator powered by AI. It addresses the most existential governance challenge in space: the</w:t>
      </w:r>
      <w:r>
        <w:t xml:space="preserve"> </w:t>
      </w:r>
      <w:r>
        <w:rPr>
          <w:bCs/>
          <w:b/>
        </w:rPr>
        <w:t xml:space="preserve">Kessler Syndrome</w:t>
      </w:r>
      <w:r>
        <w:t xml:space="preserve">, in which a single collision generates debris that triggers further collisions in a cascading chain that renders an orbital regime unusable for generations.</w:t>
      </w:r>
    </w:p>
    <w:p>
      <w:pPr>
        <w:pStyle w:val="BodyText"/>
      </w:pPr>
      <w:r>
        <w:t xml:space="preserve">KesslerScope provides three capabilities:</w:t>
      </w:r>
    </w:p>
    <w:p>
      <w:pPr>
        <w:numPr>
          <w:ilvl w:val="0"/>
          <w:numId w:val="1004"/>
        </w:numPr>
      </w:pPr>
      <w:r>
        <w:rPr>
          <w:bCs/>
          <w:b/>
        </w:rPr>
        <w:t xml:space="preserve">Debris Cascade Prediction</w:t>
      </w:r>
      <w:r>
        <w:t xml:space="preserve">: KesslerScope ingests orbital data for all 50,000+ tracked objects from</w:t>
      </w:r>
      <w:r>
        <w:t xml:space="preserve"> </w:t>
      </w:r>
      <w:r>
        <w:rPr>
          <w:bCs/>
          <w:b/>
        </w:rPr>
        <w:t xml:space="preserve">Space-Track.org</w:t>
      </w:r>
      <w:r>
        <w:t xml:space="preserve">, propagates orbits forward using physics-based models and machine-learned perturbation predictions, and identifies high-risk conjunction pairs. It runs Monte Carlo simulations of potential collision outcomes, computing the probability and severity of cascade scenarios. KesslerScope can answer questions like:</w:t>
      </w:r>
      <w:r>
        <w:t xml:space="preserve"> </w:t>
      </w:r>
      <w:r>
        <w:t xml:space="preserve">“</w:t>
      </w:r>
      <w:r>
        <w:t xml:space="preserve">If Satellite X collides with Debris Fragment Y, what is the probability of a cascade affecting Orbital Regime Z within 30 days?</w:t>
      </w:r>
      <w:r>
        <w:t xml:space="preserve">”</w:t>
      </w:r>
    </w:p>
    <w:p>
      <w:pPr>
        <w:numPr>
          <w:ilvl w:val="0"/>
          <w:numId w:val="1004"/>
        </w:numPr>
      </w:pPr>
      <w:r>
        <w:rPr>
          <w:bCs/>
          <w:b/>
        </w:rPr>
        <w:t xml:space="preserve">Autonomous Debris Removal Mission Governance</w:t>
      </w:r>
      <w:r>
        <w:t xml:space="preserve">: KesslerScope models and governs autonomous debris removal missions such as</w:t>
      </w:r>
      <w:r>
        <w:t xml:space="preserve"> </w:t>
      </w:r>
      <w:r>
        <w:rPr>
          <w:bCs/>
          <w:b/>
        </w:rPr>
        <w:t xml:space="preserve">ESA’s ClearSpace-1</w:t>
      </w:r>
      <w:r>
        <w:t xml:space="preserve"> </w:t>
      </w:r>
      <w:r>
        <w:t xml:space="preserve">(scheduled for launch in 2026). These missions involve AI-driven rendezvous, capture, and deorbit of debris objects. KesslerScope verifies the removal AI’s safety protocols, monitors mission compliance with debris mitigation standards, and simulates failure scenarios (capture failure, propulsion failure, collision during approach) to ensure mission resilience.</w:t>
      </w:r>
    </w:p>
    <w:p>
      <w:pPr>
        <w:numPr>
          <w:ilvl w:val="0"/>
          <w:numId w:val="1004"/>
        </w:numPr>
      </w:pPr>
      <w:r>
        <w:rPr>
          <w:bCs/>
          <w:b/>
        </w:rPr>
        <w:t xml:space="preserve">Debris Mitigation Scoring</w:t>
      </w:r>
      <w:r>
        <w:t xml:space="preserve">: KesslerScope assigns debris-mitigation governance scores to satellite operators based on their track record of deorbit compliance, collision avoidance effectiveness, and contribution to or reduction of the debris environment. Operators with poor scores face higher insurance premiums, restricted market access, and regulatory scrutiny.</w:t>
      </w:r>
    </w:p>
    <w:bookmarkEnd w:id="42"/>
    <w:bookmarkStart w:id="43" w:name="X13a0a4a18ca3abfba6115d1ceb575937e2d261a"/>
    <w:p>
      <w:pPr>
        <w:pStyle w:val="Heading3"/>
      </w:pPr>
      <w:r>
        <w:t xml:space="preserve">2.2.4 ArtemisGuard: The First Governance Framework for AI on the Moon</w:t>
      </w:r>
    </w:p>
    <w:p>
      <w:pPr>
        <w:pStyle w:val="FirstParagraph"/>
      </w:pPr>
      <w:r>
        <w:rPr>
          <w:bCs/>
          <w:b/>
        </w:rPr>
        <w:t xml:space="preserve">ArtemisGuard</w:t>
      </w:r>
      <w:r>
        <w:t xml:space="preserve"> </w:t>
      </w:r>
      <w:r>
        <w:t xml:space="preserve">is the killer space product. It is the</w:t>
      </w:r>
      <w:r>
        <w:t xml:space="preserve"> </w:t>
      </w:r>
      <w:r>
        <w:rPr>
          <w:bCs/>
          <w:b/>
        </w:rPr>
        <w:t xml:space="preserve">first comprehensive governance framework for artificial intelligence operating on the Moon</w:t>
      </w:r>
      <w:r>
        <w:t xml:space="preserve"> </w:t>
      </w:r>
      <w:r>
        <w:t xml:space="preserve">— and by extension, on any celestial body. ArtemisGuard does not wait for the Artemis Accords to be amended or for the Outer Space Treaty to be updated. It establishes the governance framework that everyone else will follow, because it will be the only framework in existence when Artemis missions begin sustained lunar operations.</w:t>
      </w:r>
    </w:p>
    <w:p>
      <w:pPr>
        <w:pStyle w:val="BodyText"/>
      </w:pPr>
      <w:r>
        <w:t xml:space="preserve">ArtemisGuard provides five governance capabilities:</w:t>
      </w:r>
    </w:p>
    <w:p>
      <w:pPr>
        <w:numPr>
          <w:ilvl w:val="0"/>
          <w:numId w:val="1005"/>
        </w:numPr>
      </w:pPr>
      <w:r>
        <w:rPr>
          <w:bCs/>
          <w:b/>
        </w:rPr>
        <w:t xml:space="preserve">Artemis Mission AI System Monitoring</w:t>
      </w:r>
      <w:r>
        <w:t xml:space="preserve">: ArtemisGuard auto-spawns governance profiles for every AI system aboard Artemis missions — autonomous landing systems, lunar rover navigation, habitat life support optimization, scientific instrument prioritization, communication relay management. Each AI system’s training methodology, validation data, safety envelope, and operational history is recorded in the CSOAI Governance Graph.</w:t>
      </w:r>
    </w:p>
    <w:p>
      <w:pPr>
        <w:numPr>
          <w:ilvl w:val="0"/>
          <w:numId w:val="1005"/>
        </w:numPr>
      </w:pPr>
      <w:r>
        <w:rPr>
          <w:bCs/>
          <w:b/>
        </w:rPr>
        <w:t xml:space="preserve">Pre-Launch Compliance Certification</w:t>
      </w:r>
      <w:r>
        <w:t xml:space="preserve">: ArtemisGuard establishes compliance standards for lunar AI</w:t>
      </w:r>
      <w:r>
        <w:t xml:space="preserve"> </w:t>
      </w:r>
      <w:r>
        <w:rPr>
          <w:bCs/>
          <w:b/>
        </w:rPr>
        <w:t xml:space="preserve">before the missions launch</w:t>
      </w:r>
      <w:r>
        <w:t xml:space="preserve">. NASA, ESA, JAXA, and private partners (SpaceX, Blue Origin) can certify their AI systems against ArtemisGuard standards during development, receiving governance scores that inform mission approval decisions. This shifts AI governance left — from post-incident investigation to pre-mission certification.</w:t>
      </w:r>
    </w:p>
    <w:p>
      <w:pPr>
        <w:numPr>
          <w:ilvl w:val="0"/>
          <w:numId w:val="1005"/>
        </w:numPr>
      </w:pPr>
      <w:r>
        <w:rPr>
          <w:bCs/>
          <w:b/>
        </w:rPr>
        <w:t xml:space="preserve">Lunar Safety Zone AI Governance</w:t>
      </w:r>
      <w:r>
        <w:t xml:space="preserve">: ArtemisGuard implements AI-specific governance for operations within Artemis Accords safety zones. Which AI systems are authorized to operate within a safety zone? What decision-making autonomy do they possess? What are the fail-safe protocols if an AI system malfunctions in proximity to another nation’s activities? ArtemisGuard answers these questions with enforceable standards.</w:t>
      </w:r>
    </w:p>
    <w:p>
      <w:pPr>
        <w:numPr>
          <w:ilvl w:val="0"/>
          <w:numId w:val="1005"/>
        </w:numPr>
      </w:pPr>
      <w:r>
        <w:rPr>
          <w:bCs/>
          <w:b/>
        </w:rPr>
        <w:t xml:space="preserve">Cross-Mission Coordination</w:t>
      </w:r>
      <w:r>
        <w:t xml:space="preserve">: ArtemisGuard coordinates AI governance across multiple simultaneous lunar missions. When NASA’s Artemis Base Camp, ESA’s Argonaut cargo lander, and a private commercial mission are all operating in proximity, ArtemisGuard ensures their AI systems do not conflict — through shared situational awareness, deconfliction protocols, and pheromone-based alert propagation.</w:t>
      </w:r>
    </w:p>
    <w:p>
      <w:pPr>
        <w:numPr>
          <w:ilvl w:val="0"/>
          <w:numId w:val="1005"/>
        </w:numPr>
      </w:pPr>
      <w:r>
        <w:rPr>
          <w:bCs/>
          <w:b/>
        </w:rPr>
        <w:t xml:space="preserve">Planetary Protection AI Compliance</w:t>
      </w:r>
      <w:r>
        <w:t xml:space="preserve">: ArtemisGuard extends COSPAR planetary protection guidelines to encompass AI systems. Autonomous scientific instruments must not contaminate regions of astrobiological interest. Autonomous construction systems must not disturb heritage sites. ArtemisGuard encodes these protections as enforceable AI governance rules.</w:t>
      </w:r>
    </w:p>
    <w:p>
      <w:pPr>
        <w:pStyle w:val="FirstParagraph"/>
      </w:pPr>
      <w:r>
        <w:t xml:space="preserve">ArtemisGuard is how CSOAI</w:t>
      </w:r>
      <w:r>
        <w:t xml:space="preserve"> </w:t>
      </w:r>
      <w:r>
        <w:rPr>
          <w:bCs/>
          <w:b/>
        </w:rPr>
        <w:t xml:space="preserve">defines</w:t>
      </w:r>
      <w:r>
        <w:t xml:space="preserve"> </w:t>
      </w:r>
      <w:r>
        <w:t xml:space="preserve">space AI governance rather than waiting for it to be defined. When regulators, space agencies, and mission operators eventually converge on standards for lunar AI, they will converge on ArtemisGuard because ArtemisGuard will be the only complete framework with production deployment, historical data, and proven simulation capabilities.</w:t>
      </w:r>
    </w:p>
    <w:bookmarkEnd w:id="43"/>
    <w:bookmarkEnd w:id="44"/>
    <w:bookmarkStart w:id="46" w:name="X88896f1daafdc755b3023a5bb9fdb386f028fc4"/>
    <w:p>
      <w:pPr>
        <w:pStyle w:val="Heading2"/>
      </w:pPr>
      <w:r>
        <w:t xml:space="preserve">2.3 Space Data Collection: The Open Orbital Intelligence Stack</w:t>
      </w:r>
    </w:p>
    <w:p>
      <w:pPr>
        <w:pStyle w:val="FirstParagraph"/>
      </w:pPr>
      <w:r>
        <w:t xml:space="preserve">The CSOAI Space Hive’s data infrastructure is built entirely on</w:t>
      </w:r>
      <w:r>
        <w:t xml:space="preserve"> </w:t>
      </w:r>
      <w:r>
        <w:rPr>
          <w:bCs/>
          <w:b/>
        </w:rPr>
        <w:t xml:space="preserve">free, API-accessible data sources</w:t>
      </w:r>
      <w:r>
        <w:t xml:space="preserve">. There are no proprietary data licenses, no restricted government feeds, no paywalled satellite catalogs. CSOAI’s 290+ MCP servers connect to these sources and transform raw data into governance intelligence.</w:t>
      </w:r>
    </w:p>
    <w:tbl>
      <w:tblPr>
        <w:tblStyle w:val="Table"/>
        <w:tblW w:type="pct" w:w="5000"/>
        <w:tblLook w:firstRow="1" w:lastRow="0" w:firstColumn="0" w:lastColumn="0" w:noHBand="0" w:noVBand="0" w:val="0020"/>
      </w:tblPr>
      <w:tblGrid>
        <w:gridCol w:w="1545"/>
        <w:gridCol w:w="2124"/>
        <w:gridCol w:w="1931"/>
        <w:gridCol w:w="2318"/>
      </w:tblGrid>
      <w:tr>
        <w:trPr>
          <w:tblHeader w:val="true"/>
        </w:trPr>
        <w:tc>
          <w:tcPr/>
          <w:p>
            <w:pPr>
              <w:pStyle w:val="Compact"/>
              <w:jc w:val="left"/>
            </w:pPr>
            <w:r>
              <w:t xml:space="preserve">Source</w:t>
            </w:r>
          </w:p>
        </w:tc>
        <w:tc>
          <w:tcPr/>
          <w:p>
            <w:pPr>
              <w:pStyle w:val="Compact"/>
              <w:jc w:val="left"/>
            </w:pPr>
            <w:r>
              <w:t xml:space="preserve">Data Type</w:t>
            </w:r>
          </w:p>
        </w:tc>
        <w:tc>
          <w:tcPr/>
          <w:p>
            <w:pPr>
              <w:pStyle w:val="Compact"/>
              <w:jc w:val="left"/>
            </w:pPr>
            <w:r>
              <w:t xml:space="preserve">Coverage</w:t>
            </w:r>
          </w:p>
        </w:tc>
        <w:tc>
          <w:tcPr/>
          <w:p>
            <w:pPr>
              <w:pStyle w:val="Compact"/>
              <w:jc w:val="left"/>
            </w:pPr>
            <w:r>
              <w:t xml:space="preserve">API Access</w:t>
            </w:r>
          </w:p>
        </w:tc>
      </w:tr>
      <w:tr>
        <w:tc>
          <w:tcPr/>
          <w:p>
            <w:pPr>
              <w:pStyle w:val="Compact"/>
              <w:jc w:val="left"/>
            </w:pPr>
            <w:r>
              <w:rPr>
                <w:bCs/>
                <w:b/>
              </w:rPr>
              <w:t xml:space="preserve">Space-Track.org</w:t>
            </w:r>
          </w:p>
        </w:tc>
        <w:tc>
          <w:tcPr/>
          <w:p>
            <w:pPr>
              <w:pStyle w:val="Compact"/>
              <w:jc w:val="left"/>
            </w:pPr>
            <w:r>
              <w:t xml:space="preserve">Orbital elements, conjunction data, launch predictions, satellite catalog</w:t>
            </w:r>
          </w:p>
        </w:tc>
        <w:tc>
          <w:tcPr/>
          <w:p>
            <w:pPr>
              <w:pStyle w:val="Compact"/>
              <w:jc w:val="left"/>
            </w:pPr>
            <w:r>
              <w:t xml:space="preserve">50,000+ tracked objects, all active satellites, debris, rocket bodies</w:t>
            </w:r>
          </w:p>
        </w:tc>
        <w:tc>
          <w:tcPr/>
          <w:p>
            <w:pPr>
              <w:pStyle w:val="Compact"/>
              <w:jc w:val="left"/>
            </w:pPr>
            <w:r>
              <w:t xml:space="preserve">Free registration, REST API</w:t>
            </w:r>
          </w:p>
        </w:tc>
      </w:tr>
      <w:tr>
        <w:tc>
          <w:tcPr/>
          <w:p>
            <w:pPr>
              <w:pStyle w:val="Compact"/>
              <w:jc w:val="left"/>
            </w:pPr>
            <w:r>
              <w:rPr>
                <w:bCs/>
                <w:b/>
              </w:rPr>
              <w:t xml:space="preserve">NASA Open Data</w:t>
            </w:r>
          </w:p>
        </w:tc>
        <w:tc>
          <w:tcPr/>
          <w:p>
            <w:pPr>
              <w:pStyle w:val="Compact"/>
              <w:jc w:val="left"/>
            </w:pPr>
            <w:r>
              <w:t xml:space="preserve">ISS telemetry, Mars rover operational data, mission schedules, scientific datasets</w:t>
            </w:r>
          </w:p>
        </w:tc>
        <w:tc>
          <w:tcPr/>
          <w:p>
            <w:pPr>
              <w:pStyle w:val="Compact"/>
              <w:jc w:val="left"/>
            </w:pPr>
            <w:r>
              <w:t xml:space="preserve">All NASA missions with public data release policies</w:t>
            </w:r>
          </w:p>
        </w:tc>
        <w:tc>
          <w:tcPr/>
          <w:p>
            <w:pPr>
              <w:pStyle w:val="Compact"/>
              <w:jc w:val="left"/>
            </w:pPr>
            <w:r>
              <w:t xml:space="preserve">data.nasa.gov, Socrata API</w:t>
            </w:r>
          </w:p>
        </w:tc>
      </w:tr>
      <w:tr>
        <w:tc>
          <w:tcPr/>
          <w:p>
            <w:pPr>
              <w:pStyle w:val="Compact"/>
              <w:jc w:val="left"/>
            </w:pPr>
            <w:r>
              <w:rPr>
                <w:bCs/>
                <w:b/>
              </w:rPr>
              <w:t xml:space="preserve">NOAA SWPC</w:t>
            </w:r>
          </w:p>
        </w:tc>
        <w:tc>
          <w:tcPr/>
          <w:p>
            <w:pPr>
              <w:pStyle w:val="Compact"/>
              <w:jc w:val="left"/>
            </w:pPr>
            <w:r>
              <w:t xml:space="preserve">Space weather alerts, solar flare predictions, geomagnetic storm indices, radiation environment</w:t>
            </w:r>
          </w:p>
        </w:tc>
        <w:tc>
          <w:tcPr/>
          <w:p>
            <w:pPr>
              <w:pStyle w:val="Compact"/>
              <w:jc w:val="left"/>
            </w:pPr>
            <w:r>
              <w:t xml:space="preserve">Real-time and forecast, LEO to deep space</w:t>
            </w:r>
          </w:p>
        </w:tc>
        <w:tc>
          <w:tcPr/>
          <w:p>
            <w:pPr>
              <w:pStyle w:val="Compact"/>
              <w:jc w:val="left"/>
            </w:pPr>
            <w:r>
              <w:t xml:space="preserve">REST API, data feeds</w:t>
            </w:r>
          </w:p>
        </w:tc>
      </w:tr>
      <w:tr>
        <w:tc>
          <w:tcPr/>
          <w:p>
            <w:pPr>
              <w:pStyle w:val="Compact"/>
              <w:jc w:val="left"/>
            </w:pPr>
            <w:r>
              <w:rPr>
                <w:bCs/>
                <w:b/>
              </w:rPr>
              <w:t xml:space="preserve">Copernicus Data Space</w:t>
            </w:r>
          </w:p>
        </w:tc>
        <w:tc>
          <w:tcPr/>
          <w:p>
            <w:pPr>
              <w:pStyle w:val="Compact"/>
              <w:jc w:val="left"/>
            </w:pPr>
            <w:r>
              <w:t xml:space="preserve">Sentinel satellite imagery, radar, atmospheric composition, maritime monitoring</w:t>
            </w:r>
          </w:p>
        </w:tc>
        <w:tc>
          <w:tcPr/>
          <w:p>
            <w:pPr>
              <w:pStyle w:val="Compact"/>
              <w:jc w:val="left"/>
            </w:pPr>
            <w:r>
              <w:t xml:space="preserve">Global coverage, 10m+ resolution optical, radar</w:t>
            </w:r>
          </w:p>
        </w:tc>
        <w:tc>
          <w:tcPr/>
          <w:p>
            <w:pPr>
              <w:pStyle w:val="Compact"/>
              <w:jc w:val="left"/>
            </w:pPr>
            <w:r>
              <w:t xml:space="preserve">Open API, EOData portal</w:t>
            </w:r>
          </w:p>
        </w:tc>
      </w:tr>
      <w:tr>
        <w:tc>
          <w:tcPr/>
          <w:p>
            <w:pPr>
              <w:pStyle w:val="Compact"/>
              <w:jc w:val="left"/>
            </w:pPr>
            <w:r>
              <w:rPr>
                <w:bCs/>
                <w:b/>
              </w:rPr>
              <w:t xml:space="preserve">ITU Satellite Filings</w:t>
            </w:r>
          </w:p>
        </w:tc>
        <w:tc>
          <w:tcPr/>
          <w:p>
            <w:pPr>
              <w:pStyle w:val="Compact"/>
              <w:jc w:val="left"/>
            </w:pPr>
            <w:r>
              <w:t xml:space="preserve">Frequency allocations, coordination requests, satellite network details</w:t>
            </w:r>
          </w:p>
        </w:tc>
        <w:tc>
          <w:tcPr/>
          <w:p>
            <w:pPr>
              <w:pStyle w:val="Compact"/>
              <w:jc w:val="left"/>
            </w:pPr>
            <w:r>
              <w:t xml:space="preserve">All ITU-registered satellite networks</w:t>
            </w:r>
          </w:p>
        </w:tc>
        <w:tc>
          <w:tcPr/>
          <w:p>
            <w:pPr>
              <w:pStyle w:val="Compact"/>
              <w:jc w:val="left"/>
            </w:pPr>
            <w:r>
              <w:t xml:space="preserve">EPFD API, SNS Online</w:t>
            </w:r>
          </w:p>
        </w:tc>
      </w:tr>
    </w:tbl>
    <w:p>
      <w:pPr>
        <w:pStyle w:val="BodyText"/>
      </w:pPr>
      <w:r>
        <w:rPr>
          <w:bCs/>
          <w:b/>
        </w:rPr>
        <w:t xml:space="preserve">Space-Track.org</w:t>
      </w:r>
      <w:r>
        <w:t xml:space="preserve">, operated by the U.S. Space Force’s 18th Space Defense Squadron, provides the foundational orbital catalog — Two-Line Elements (TLEs), conjunction data messages (CDMs), decay predictions, and launch information for all Earth-orbiting objects tracked by the U.S. Space Surveillance Network. CSOAI’s MCP server ingests this data continuously, auto-spawning governance profiles for new launches, updating orbital trajectories, and flagging collision risks.</w:t>
      </w:r>
    </w:p>
    <w:p>
      <w:pPr>
        <w:pStyle w:val="BodyText"/>
      </w:pPr>
      <w:r>
        <w:rPr>
          <w:bCs/>
          <w:b/>
        </w:rPr>
        <w:t xml:space="preserve">NASA Open Data</w:t>
      </w:r>
      <w:r>
        <w:t xml:space="preserve"> </w:t>
      </w:r>
      <w:r>
        <w:t xml:space="preserve">provides mission-specific operational data. ISS telemetry includes power generation, thermal management, attitude control, and crew activity — all inputs to the governance profiles of AI systems operating aboard the station. Mars rover data (Perseverance, Curiosity) includes autonomous navigation logs, sample collection decisions, and instrument prioritization — the raw material for AI governance of deep space exploration.</w:t>
      </w:r>
    </w:p>
    <w:p>
      <w:pPr>
        <w:pStyle w:val="BodyText"/>
      </w:pPr>
      <w:r>
        <w:rPr>
          <w:bCs/>
          <w:b/>
        </w:rPr>
        <w:t xml:space="preserve">NOAA’s Space Weather Prediction Center (SWPC)</w:t>
      </w:r>
      <w:r>
        <w:t xml:space="preserve"> </w:t>
      </w:r>
      <w:r>
        <w:t xml:space="preserve">provides the environmental context for all space AI governance. Geomagnetic storms increase atmospheric drag, perturbing orbits and forcing autonomous satellites to make more frequent station-keeping decisions. Solar radiation events disrupt communications and can damage electronics. Space weather is a governance input because it is a risk multiplier.</w:t>
      </w:r>
    </w:p>
    <w:p>
      <w:pPr>
        <w:pStyle w:val="BodyText"/>
      </w:pPr>
      <w:r>
        <w:rPr>
          <w:bCs/>
          <w:b/>
        </w:rPr>
        <w:t xml:space="preserve">Copernicus Data Space Ecosystem</w:t>
      </w:r>
      <w:r>
        <w:t xml:space="preserve"> </w:t>
      </w:r>
      <w:r>
        <w:t xml:space="preserve">provides Earth observation imagery from the Sentinel constellation. This data feeds CSOAI’s Earth-Space cross-domain analysis — satellite imagery verifying ground-based claims, environmental monitoring supporting regulatory compliance, and change detection identifying new space-related infrastructure (launch sites, ground stations, tracking facilities).</w:t>
      </w:r>
    </w:p>
    <w:p>
      <w:pPr>
        <w:pStyle w:val="BodyText"/>
      </w:pPr>
      <w:r>
        <w:rPr>
          <w:bCs/>
          <w:b/>
        </w:rPr>
        <w:t xml:space="preserve">ITU Satellite Filings</w:t>
      </w:r>
      <w:r>
        <w:t xml:space="preserve"> </w:t>
      </w:r>
      <w:r>
        <w:t xml:space="preserve">provide the regulatory metadata for every satellite network. Frequency allocations, coordination agreements, power limits, orbital slot assignments — these are the</w:t>
      </w:r>
      <w:r>
        <w:t xml:space="preserve"> </w:t>
      </w:r>
      <w:r>
        <w:t xml:space="preserve">“</w:t>
      </w:r>
      <w:r>
        <w:t xml:space="preserve">regulatory genome</w:t>
      </w:r>
      <w:r>
        <w:t xml:space="preserve">”</w:t>
      </w:r>
      <w:r>
        <w:t xml:space="preserve"> </w:t>
      </w:r>
      <w:r>
        <w:t xml:space="preserve">of each satellite, and CSOAI cross-references them against actual operational behavior to detect non-compliance.</w:t>
      </w:r>
    </w:p>
    <w:p>
      <w:pPr>
        <w:pStyle w:val="BodyText"/>
      </w:pPr>
      <w:r>
        <w:t xml:space="preserve">The CSOAI Space Hive does not merely consume this data. It</w:t>
      </w:r>
      <w:r>
        <w:t xml:space="preserve"> </w:t>
      </w:r>
      <w:r>
        <w:rPr>
          <w:bCs/>
          <w:b/>
        </w:rPr>
        <w:t xml:space="preserve">governs with it</w:t>
      </w:r>
      <w:r>
        <w:t xml:space="preserve"> </w:t>
      </w:r>
      <w:r>
        <w:t xml:space="preserve">— transforming raw orbital elements into compliance scores, raw telemetry into AI behavior profiles, raw space weather into risk-adjusted governance predictions, raw imagery into cross-domain intelligence, and raw regulatory filings into enforceable attestation chains. The 290+ MCP servers are the sensory organs of a governance organism that watches the sky so that AI can operate safely within it.</w:t>
      </w:r>
    </w:p>
    <w:bookmarkStart w:id="45" w:name="table-2-csoai-space-product-suite"/>
    <w:p>
      <w:pPr>
        <w:pStyle w:val="Heading3"/>
      </w:pPr>
      <w:r>
        <w:t xml:space="preserve">Table 2: CSOAI Space Product Suite</w:t>
      </w:r>
    </w:p>
    <w:tbl>
      <w:tblPr>
        <w:tblStyle w:val="Table"/>
        <w:tblW w:type="pct" w:w="5000"/>
        <w:tblLook w:firstRow="1" w:lastRow="0" w:firstColumn="0" w:lastColumn="0" w:noHBand="0" w:noVBand="0" w:val="0020"/>
      </w:tblPr>
      <w:tblGrid>
        <w:gridCol w:w="1188"/>
        <w:gridCol w:w="1584"/>
        <w:gridCol w:w="1848"/>
        <w:gridCol w:w="1980"/>
        <w:gridCol w:w="1320"/>
      </w:tblGrid>
      <w:tr>
        <w:trPr>
          <w:tblHeader w:val="true"/>
        </w:trPr>
        <w:tc>
          <w:tcPr/>
          <w:p>
            <w:pPr>
              <w:pStyle w:val="Compact"/>
              <w:jc w:val="left"/>
            </w:pPr>
            <w:r>
              <w:t xml:space="preserve">Product</w:t>
            </w:r>
          </w:p>
        </w:tc>
        <w:tc>
          <w:tcPr/>
          <w:p>
            <w:pPr>
              <w:pStyle w:val="Compact"/>
              <w:jc w:val="left"/>
            </w:pPr>
            <w:r>
              <w:t xml:space="preserve">Target User</w:t>
            </w:r>
          </w:p>
        </w:tc>
        <w:tc>
          <w:tcPr/>
          <w:p>
            <w:pPr>
              <w:pStyle w:val="Compact"/>
              <w:jc w:val="left"/>
            </w:pPr>
            <w:r>
              <w:t xml:space="preserve">Data Sources</w:t>
            </w:r>
          </w:p>
        </w:tc>
        <w:tc>
          <w:tcPr/>
          <w:p>
            <w:pPr>
              <w:pStyle w:val="Compact"/>
              <w:jc w:val="left"/>
            </w:pPr>
            <w:r>
              <w:t xml:space="preserve">Revenue Model</w:t>
            </w:r>
          </w:p>
        </w:tc>
        <w:tc>
          <w:tcPr/>
          <w:p>
            <w:pPr>
              <w:pStyle w:val="Compact"/>
              <w:jc w:val="left"/>
            </w:pPr>
            <w:r>
              <w:t xml:space="preserve">Timeline</w:t>
            </w:r>
          </w:p>
        </w:tc>
      </w:tr>
      <w:tr>
        <w:tc>
          <w:tcPr/>
          <w:p>
            <w:pPr>
              <w:pStyle w:val="Compact"/>
              <w:jc w:val="left"/>
            </w:pPr>
            <w:r>
              <w:rPr>
                <w:bCs/>
                <w:b/>
              </w:rPr>
              <w:t xml:space="preserve">OrbitalMind</w:t>
            </w:r>
          </w:p>
        </w:tc>
        <w:tc>
          <w:tcPr/>
          <w:p>
            <w:pPr>
              <w:pStyle w:val="Compact"/>
              <w:jc w:val="left"/>
            </w:pPr>
            <w:r>
              <w:t xml:space="preserve">Satellite operators (SpaceX, OneWeb, Planet), space regulators (FAA-AST, Ofcom), insurers (Lloyd’s space syndicates)</w:t>
            </w:r>
          </w:p>
        </w:tc>
        <w:tc>
          <w:tcPr/>
          <w:p>
            <w:pPr>
              <w:pStyle w:val="Compact"/>
              <w:jc w:val="left"/>
            </w:pPr>
            <w:r>
              <w:t xml:space="preserve">Space-Track.org (orbital data), ITU filings, operator telemetry APIs</w:t>
            </w:r>
          </w:p>
        </w:tc>
        <w:tc>
          <w:tcPr/>
          <w:p>
            <w:pPr>
              <w:pStyle w:val="Compact"/>
              <w:jc w:val="left"/>
            </w:pPr>
            <w:r>
              <w:t xml:space="preserve">SaaS subscription per satellite; premium API access for real-time scoring; insurance risk assessment fees</w:t>
            </w:r>
          </w:p>
        </w:tc>
        <w:tc>
          <w:tcPr/>
          <w:p>
            <w:pPr>
              <w:pStyle w:val="Compact"/>
              <w:jc w:val="left"/>
            </w:pPr>
            <w:r>
              <w:t xml:space="preserve">Production Q2 2025; full AI decision-scoring Q3 2025</w:t>
            </w:r>
          </w:p>
        </w:tc>
      </w:tr>
      <w:tr>
        <w:tc>
          <w:tcPr/>
          <w:p>
            <w:pPr>
              <w:pStyle w:val="Compact"/>
              <w:jc w:val="left"/>
            </w:pPr>
            <w:r>
              <w:rPr>
                <w:bCs/>
                <w:b/>
              </w:rPr>
              <w:t xml:space="preserve">ConstellationWatch</w:t>
            </w:r>
          </w:p>
        </w:tc>
        <w:tc>
          <w:tcPr/>
          <w:p>
            <w:pPr>
              <w:pStyle w:val="Compact"/>
              <w:jc w:val="left"/>
            </w:pPr>
            <w:r>
              <w:t xml:space="preserve">Mega-constellation operators (Starlink, Kuiper, GuoWang), systemic risk regulators (FSB, ESA Space Safety Programme), institutional investors</w:t>
            </w:r>
          </w:p>
        </w:tc>
        <w:tc>
          <w:tcPr/>
          <w:p>
            <w:pPr>
              <w:pStyle w:val="Compact"/>
              <w:jc w:val="left"/>
            </w:pPr>
            <w:r>
              <w:t xml:space="preserve">Space-Track.org fleet data, operator bulk telemetry, space weather (NOAA SWPC), ITU coordination data</w:t>
            </w:r>
          </w:p>
        </w:tc>
        <w:tc>
          <w:tcPr/>
          <w:p>
            <w:pPr>
              <w:pStyle w:val="Compact"/>
              <w:jc w:val="left"/>
            </w:pPr>
            <w:r>
              <w:t xml:space="preserve">Enterprise license per constellation; systemic risk reporting for regulators; portfolio risk scoring for investors</w:t>
            </w:r>
          </w:p>
        </w:tc>
        <w:tc>
          <w:tcPr/>
          <w:p>
            <w:pPr>
              <w:pStyle w:val="Compact"/>
              <w:jc w:val="left"/>
            </w:pPr>
            <w:r>
              <w:t xml:space="preserve">Beta Q3 2025; production Q1 2026</w:t>
            </w:r>
          </w:p>
        </w:tc>
      </w:tr>
      <w:tr>
        <w:tc>
          <w:tcPr/>
          <w:p>
            <w:pPr>
              <w:pStyle w:val="Compact"/>
              <w:jc w:val="left"/>
            </w:pPr>
            <w:r>
              <w:rPr>
                <w:bCs/>
                <w:b/>
              </w:rPr>
              <w:t xml:space="preserve">KesslerScope</w:t>
            </w:r>
          </w:p>
        </w:tc>
        <w:tc>
          <w:tcPr/>
          <w:p>
            <w:pPr>
              <w:pStyle w:val="Compact"/>
              <w:jc w:val="left"/>
            </w:pPr>
            <w:r>
              <w:t xml:space="preserve">Space agencies (NASA, ESA, JAXA), debris removal operators (ClearSpace-1, Astroscale), military space commands (USSF, RAF Space Command)</w:t>
            </w:r>
          </w:p>
        </w:tc>
        <w:tc>
          <w:tcPr/>
          <w:p>
            <w:pPr>
              <w:pStyle w:val="Compact"/>
              <w:jc w:val="left"/>
            </w:pPr>
            <w:r>
              <w:t xml:space="preserve">Space-Track.org (full catalog), NASA ODPO debris models, NOAA space weather, Copernius imagery</w:t>
            </w:r>
          </w:p>
        </w:tc>
        <w:tc>
          <w:tcPr/>
          <w:p>
            <w:pPr>
              <w:pStyle w:val="Compact"/>
              <w:jc w:val="left"/>
            </w:pPr>
            <w:r>
              <w:t xml:space="preserve">Government and defense contracts; debris removal mission certification fees; catastrophe bond structuring for space insurers</w:t>
            </w:r>
          </w:p>
        </w:tc>
        <w:tc>
          <w:tcPr/>
          <w:p>
            <w:pPr>
              <w:pStyle w:val="Compact"/>
              <w:jc w:val="left"/>
            </w:pPr>
            <w:r>
              <w:t xml:space="preserve">Simulation engine Q2 2025; ClearSpace-1 integration Q4 2025</w:t>
            </w:r>
          </w:p>
        </w:tc>
      </w:tr>
      <w:tr>
        <w:tc>
          <w:tcPr/>
          <w:p>
            <w:pPr>
              <w:pStyle w:val="Compact"/>
              <w:jc w:val="left"/>
            </w:pPr>
            <w:r>
              <w:rPr>
                <w:bCs/>
                <w:b/>
              </w:rPr>
              <w:t xml:space="preserve">ArtemisGuard</w:t>
            </w:r>
          </w:p>
        </w:tc>
        <w:tc>
          <w:tcPr/>
          <w:p>
            <w:pPr>
              <w:pStyle w:val="Compact"/>
              <w:jc w:val="left"/>
            </w:pPr>
            <w:r>
              <w:t xml:space="preserve">Artemis program participants (NASA, ESA, JAXA, CSA), commercial lunar operators (Intuitive Machines, Astrobotic), space liability insurers</w:t>
            </w:r>
          </w:p>
        </w:tc>
        <w:tc>
          <w:tcPr/>
          <w:p>
            <w:pPr>
              <w:pStyle w:val="Compact"/>
              <w:jc w:val="left"/>
            </w:pPr>
            <w:r>
              <w:t xml:space="preserve">NASA mission data, ESA Argonaut telemetry, ITU lunar communications filings, CSA lunar surface simulations</w:t>
            </w:r>
          </w:p>
        </w:tc>
        <w:tc>
          <w:tcPr/>
          <w:p>
            <w:pPr>
              <w:pStyle w:val="Compact"/>
              <w:jc w:val="left"/>
            </w:pPr>
            <w:r>
              <w:t xml:space="preserve">Mission certification fees per AI system; safety zone governance licensing; pre-launch compliance validation</w:t>
            </w:r>
          </w:p>
        </w:tc>
        <w:tc>
          <w:tcPr/>
          <w:p>
            <w:pPr>
              <w:pStyle w:val="Compact"/>
              <w:jc w:val="left"/>
            </w:pPr>
            <w:r>
              <w:t xml:space="preserve">Standards framework Q2 2025; Artemis III mission integration 2026</w:t>
            </w:r>
          </w:p>
        </w:tc>
      </w:tr>
    </w:tbl>
    <w:p>
      <w:r>
        <w:pict>
          <v:rect style="width:0;height:1.5pt" o:hralign="center" o:hrstd="t" o:hr="t"/>
        </w:pict>
      </w:r>
    </w:p>
    <w:bookmarkEnd w:id="45"/>
    <w:bookmarkEnd w:id="46"/>
    <w:bookmarkStart w:id="47" w:name="X17a32c3666f362f568d8ca76d48cbd754d2c547"/>
    <w:p>
      <w:pPr>
        <w:pStyle w:val="Heading2"/>
      </w:pPr>
      <w:r>
        <w:t xml:space="preserve">Cross-Reference: Space Hive Integration with the Seven-Layer Architecture</w:t>
      </w:r>
    </w:p>
    <w:p>
      <w:pPr>
        <w:pStyle w:val="FirstParagraph"/>
      </w:pPr>
      <w:r>
        <w:t xml:space="preserve">The CSOAI Space Hive exercises every layer of the unified architecture:</w:t>
      </w:r>
    </w:p>
    <w:p>
      <w:pPr>
        <w:numPr>
          <w:ilvl w:val="0"/>
          <w:numId w:val="1006"/>
        </w:numPr>
        <w:pStyle w:val="Compact"/>
      </w:pPr>
      <w:r>
        <w:rPr>
          <w:bCs/>
          <w:b/>
        </w:rPr>
        <w:t xml:space="preserve">Layer 1 (Governance Interface)</w:t>
      </w:r>
      <w:r>
        <w:t xml:space="preserve">: Space agencies query satellite compliance scores via the same GraphQL endpoint that banks use for DORA queries.</w:t>
      </w:r>
    </w:p>
    <w:p>
      <w:pPr>
        <w:numPr>
          <w:ilvl w:val="0"/>
          <w:numId w:val="1006"/>
        </w:numPr>
        <w:pStyle w:val="Compact"/>
      </w:pPr>
      <w:r>
        <w:rPr>
          <w:bCs/>
          <w:b/>
        </w:rPr>
        <w:t xml:space="preserve">Layer 2 (Intelligence Fabric)</w:t>
      </w:r>
      <w:r>
        <w:t xml:space="preserve">: Sovereign Lens simulates orbital collision cascades; Platinum Move recommends optimal deorbit timing.</w:t>
      </w:r>
    </w:p>
    <w:p>
      <w:pPr>
        <w:numPr>
          <w:ilvl w:val="0"/>
          <w:numId w:val="1006"/>
        </w:numPr>
        <w:pStyle w:val="Compact"/>
      </w:pPr>
      <w:r>
        <w:rPr>
          <w:bCs/>
          <w:b/>
        </w:rPr>
        <w:t xml:space="preserve">Layer 3 (Hive Orchestration)</w:t>
      </w:r>
      <w:r>
        <w:t xml:space="preserve">: SOV3 King coordinates Space Hive alerts with Earth Hive (manufacturer liability) and Digital Hive (AI audit).</w:t>
      </w:r>
    </w:p>
    <w:p>
      <w:pPr>
        <w:numPr>
          <w:ilvl w:val="0"/>
          <w:numId w:val="1006"/>
        </w:numPr>
        <w:pStyle w:val="Compact"/>
      </w:pPr>
      <w:r>
        <w:rPr>
          <w:bCs/>
          <w:b/>
        </w:rPr>
        <w:t xml:space="preserve">Layer 4 (Agent Mesh)</w:t>
      </w:r>
      <w:r>
        <w:t xml:space="preserve">: 47 Space Station agents ingest telemetry, track debris, monitor space weather, and communicate with Earth and Digital agents via A2A.</w:t>
      </w:r>
    </w:p>
    <w:p>
      <w:pPr>
        <w:numPr>
          <w:ilvl w:val="0"/>
          <w:numId w:val="1006"/>
        </w:numPr>
        <w:pStyle w:val="Compact"/>
      </w:pPr>
      <w:r>
        <w:rPr>
          <w:bCs/>
          <w:b/>
        </w:rPr>
        <w:t xml:space="preserve">Layer 5 (Protocol Fabric)</w:t>
      </w:r>
      <w:r>
        <w:t xml:space="preserve">: MCP servers connect to Space-Track, NASA, NOAA, Copernicus, and ITU; A2A coordinates inter-agent communication; Ed25519 signs all orbital attestations.</w:t>
      </w:r>
    </w:p>
    <w:p>
      <w:pPr>
        <w:numPr>
          <w:ilvl w:val="0"/>
          <w:numId w:val="1006"/>
        </w:numPr>
        <w:pStyle w:val="Compact"/>
      </w:pPr>
      <w:r>
        <w:rPr>
          <w:bCs/>
          <w:b/>
        </w:rPr>
        <w:t xml:space="preserve">Layer 6 (Data Foundation)</w:t>
      </w:r>
      <w:r>
        <w:t xml:space="preserve">: Neo4j Fabric stores the governance graph of 50,000+ space objects and their relationships; TimescaleDB records continuous telemetry streams; immutable audit trail preserves every governance decision.</w:t>
      </w:r>
    </w:p>
    <w:p>
      <w:pPr>
        <w:numPr>
          <w:ilvl w:val="0"/>
          <w:numId w:val="1006"/>
        </w:numPr>
        <w:pStyle w:val="Compact"/>
      </w:pPr>
      <w:r>
        <w:rPr>
          <w:bCs/>
          <w:b/>
        </w:rPr>
        <w:t xml:space="preserve">Layer 7 (Pheromone Signaling)</w:t>
      </w:r>
      <w:r>
        <w:t xml:space="preserve">: Alarm pheromones propagate satellite collision alerts to Earth liability agents; trail pheromones transfer successful debris mitigation strategies to emerging mega-constellation operators.</w:t>
      </w:r>
    </w:p>
    <w:p>
      <w:pPr>
        <w:pStyle w:val="FirstParagraph"/>
      </w:pPr>
      <w:r>
        <w:t xml:space="preserve">The Space Hive is not a separate product. It is a</w:t>
      </w:r>
      <w:r>
        <w:t xml:space="preserve"> </w:t>
      </w:r>
      <w:r>
        <w:rPr>
          <w:bCs/>
          <w:b/>
        </w:rPr>
        <w:t xml:space="preserve">domain instantiation</w:t>
      </w:r>
      <w:r>
        <w:t xml:space="preserve"> </w:t>
      </w:r>
      <w:r>
        <w:t xml:space="preserve">of the unified Governance OS — proving that the architecture scales from terrestrial compliance to orbital governance without modification, without fragmentation, and without compromise.</w:t>
      </w:r>
    </w:p>
    <w:p>
      <w:r>
        <w:pict>
          <v:rect style="width:0;height:1.5pt" o:hralign="center" o:hrstd="t" o:hr="t"/>
        </w:pict>
      </w:r>
    </w:p>
    <w:p>
      <w:pPr>
        <w:pStyle w:val="FirstParagraph"/>
      </w:pPr>
      <w:r>
        <w:rPr>
          <w:iCs/>
          <w:i/>
        </w:rPr>
        <w:t xml:space="preserve">Document continues in Section 3: Tokenization &amp; Digital Asset Governance.</w:t>
      </w:r>
    </w:p>
    <w:p>
      <w:r>
        <w:pict>
          <v:rect style="width:0;height:1.5pt" o:hralign="center" o:hrstd="t" o:hr="t"/>
        </w:pict>
      </w:r>
    </w:p>
    <w:bookmarkEnd w:id="47"/>
    <w:bookmarkEnd w:id="48"/>
    <w:bookmarkStart w:id="74" w:name="csoai-governance-os-sections-34"/>
    <w:p>
      <w:pPr>
        <w:pStyle w:val="Heading1"/>
      </w:pPr>
      <w:r>
        <w:t xml:space="preserve">CSOAI Governance OS: Sections 3–4</w:t>
      </w:r>
    </w:p>
    <w:bookmarkStart w:id="57" w:name="X527b23959b7ff297708c373217d85969eb107eb"/>
    <w:p>
      <w:pPr>
        <w:pStyle w:val="Heading2"/>
      </w:pPr>
      <w:r>
        <w:t xml:space="preserve">Section 3: Tokenization of Governance — Compliance as Digital Assets</w:t>
      </w:r>
    </w:p>
    <w:bookmarkStart w:id="49" w:name="the-tokenization-opportunity"/>
    <w:p>
      <w:pPr>
        <w:pStyle w:val="Heading3"/>
      </w:pPr>
      <w:r>
        <w:t xml:space="preserve">3.1 The Tokenization Opportunity</w:t>
      </w:r>
    </w:p>
    <w:p>
      <w:pPr>
        <w:pStyle w:val="FirstParagraph"/>
      </w:pPr>
      <w:r>
        <w:t xml:space="preserve">The tokenization of governance represents one of the most significant greenfield opportunities in the compliance technology landscape. No existing project currently tokenizes compliance scores as verifiable digital assets, creating a first-mover advantage for CSOAI that extends across the entire Earth + Space + Digital operating system. The infrastructure required to execute this vision is not speculative—it is operational, regulated, and converging on a 12-to-18-month window that will define the next decade of compliance infrastructure.</w:t>
      </w:r>
    </w:p>
    <w:p>
      <w:pPr>
        <w:pStyle w:val="BodyText"/>
      </w:pPr>
      <w:r>
        <w:t xml:space="preserve">Three structural forces are driving this convergence. First, the European Union’s Markets in Crypto-Assets Regulation (MiCA) became fully applicable in December 2024, establishing the world’s first comprehensive regulatory framework for crypto-assets and providing legal certainty for tokenized compliance products. MiCA’s classification of crypto-assets, its requirements for white papers, and its investor protection mechanisms create a regulated sandbox within which compliance tokens can operate with clear legal status. Second, the W3C Verifiable Credentials 2.0 standard achieved Recommendation status in May 2025, providing a globally recognized technical specification for cryptographically verifiable digital credentials. This standard enables compliance claims to be expressed as machine-verifiable credentials that can be checked instantly without relying on centralized authorities. Third, the eIDAS 2.0 regulation mandates the deployment of European Digital Identity (EUDI) Wallets by September 2026, creating a billion-user infrastructure for holding and presenting verifiable credentials including compliance tokens.</w:t>
      </w:r>
    </w:p>
    <w:p>
      <w:pPr>
        <w:pStyle w:val="BodyText"/>
      </w:pPr>
      <w:r>
        <w:t xml:space="preserve">The financial infrastructure layer is equally ready. The x402 protocol, backed by Coinbase and Visa with over $600 million in annualized payment volume, enables micropayments for compliance services at a scale that was previously economically impossible. When a compliance verification costs $0.001 to $0.01, entirely new business models become viable: per-query compliance checks, real-time regulatory monitoring, and automated certification workflows that execute thousands of micro-transactions daily.</w:t>
      </w:r>
    </w:p>
    <w:p>
      <w:pPr>
        <w:pStyle w:val="BodyText"/>
      </w:pPr>
      <w:r>
        <w:t xml:space="preserve">This convergence is not theoretical. The legal framework (MiCA), technical standard (W3C VC 2.0), identity infrastructure (eIDAS 2.0), and payment rail (x402) are all production-ready within the same 12-to-18-month window. CSOAI’s tokenization strategy is designed to exploit this window with five interconnected token products that transform compliance from a cost center into a verifiable, tradable, and programmable asset class.</w:t>
      </w:r>
    </w:p>
    <w:bookmarkEnd w:id="49"/>
    <w:bookmarkStart w:id="55" w:name="csoai-token-products"/>
    <w:p>
      <w:pPr>
        <w:pStyle w:val="Heading3"/>
      </w:pPr>
      <w:r>
        <w:t xml:space="preserve">3.2 CSOAI Token Products</w:t>
      </w:r>
    </w:p>
    <w:bookmarkStart w:id="50" w:name="compliance-score-sbt-soulbound-token"/>
    <w:p>
      <w:pPr>
        <w:pStyle w:val="Heading4"/>
      </w:pPr>
      <w:r>
        <w:t xml:space="preserve">3.2.1 Compliance Score SBT (Soulbound Token)</w:t>
      </w:r>
    </w:p>
    <w:p>
      <w:pPr>
        <w:pStyle w:val="FirstParagraph"/>
      </w:pPr>
      <w:r>
        <w:t xml:space="preserve">The Compliance Score SBT is a non-transferable ERC-5192 token that represents a company’s real-time compliance score across all tracked regulatory frameworks. Unlike NFTs or fungible tokens that can be traded, Soulbound Tokens are permanently bound to the wallet address of the issuing organization. They cannot be sold, transferred, or faked. They can only be earned through actual compliance performance.</w:t>
      </w:r>
    </w:p>
    <w:p>
      <w:pPr>
        <w:pStyle w:val="BodyText"/>
      </w:pPr>
      <w:r>
        <w:t xml:space="preserve">The token updates daily via a decentralized oracle network that feeds CSOAI’s Sovereign Lens scoring data on-chain. The result is a living credential visible on any block explorer:</w:t>
      </w:r>
      <w:r>
        <w:t xml:space="preserve"> </w:t>
      </w:r>
      <w:r>
        <w:t xml:space="preserve">“</w:t>
      </w:r>
      <w:r>
        <w:t xml:space="preserve">DORA Compliant: 87%</w:t>
      </w:r>
      <w:r>
        <w:t xml:space="preserve">”</w:t>
      </w:r>
      <w:r>
        <w:t xml:space="preserve"> </w:t>
      </w:r>
      <w:r>
        <w:t xml:space="preserve">or</w:t>
      </w:r>
      <w:r>
        <w:t xml:space="preserve"> </w:t>
      </w:r>
      <w:r>
        <w:t xml:space="preserve">“</w:t>
      </w:r>
      <w:r>
        <w:t xml:space="preserve">NIST AI RMF: 92% — Last Updated: 2024-12-15.</w:t>
      </w:r>
      <w:r>
        <w:t xml:space="preserve">”</w:t>
      </w:r>
      <w:r>
        <w:t xml:space="preserve"> </w:t>
      </w:r>
      <w:r>
        <w:t xml:space="preserve">This badge serves as cryptographic proof of compliance status that regulators, partners, investors, and customers can verify instantly without contacting the company or CSOAI directly.</w:t>
      </w:r>
    </w:p>
    <w:p>
      <w:pPr>
        <w:pStyle w:val="BodyText"/>
      </w:pPr>
      <w:r>
        <w:t xml:space="preserve">The SBT architecture provides three transformative capabilities. First,</w:t>
      </w:r>
      <w:r>
        <w:t xml:space="preserve"> </w:t>
      </w:r>
      <w:r>
        <w:rPr>
          <w:bCs/>
          <w:b/>
        </w:rPr>
        <w:t xml:space="preserve">immutable provenance</w:t>
      </w:r>
      <w:r>
        <w:t xml:space="preserve">: every score update is recorded on-chain with a timestamp and the hash of the underlying data, creating an auditable compliance history that regulators can query in enforcement proceedings. Second,</w:t>
      </w:r>
      <w:r>
        <w:t xml:space="preserve"> </w:t>
      </w:r>
      <w:r>
        <w:rPr>
          <w:bCs/>
          <w:b/>
        </w:rPr>
        <w:t xml:space="preserve">permissionless verification</w:t>
      </w:r>
      <w:r>
        <w:t xml:space="preserve">: anyone can verify a company’s compliance status by reading its SBT on-chain, eliminating the need for manual certificate checks, PDF validation, or third-party verification services. Third,</w:t>
      </w:r>
      <w:r>
        <w:t xml:space="preserve"> </w:t>
      </w:r>
      <w:r>
        <w:rPr>
          <w:bCs/>
          <w:b/>
        </w:rPr>
        <w:t xml:space="preserve">composability</w:t>
      </w:r>
      <w:r>
        <w:t xml:space="preserve">: the SBT can be referenced by other smart contracts—lending protocols can require a minimum compliance score for credit access, supply chain platforms can filter vendors by compliance tier, and insurance contracts can adjust premiums based on real-time scores.</w:t>
      </w:r>
    </w:p>
    <w:bookmarkEnd w:id="50"/>
    <w:bookmarkStart w:id="51" w:name="regulatory-deadline-alert-token"/>
    <w:p>
      <w:pPr>
        <w:pStyle w:val="Heading4"/>
      </w:pPr>
      <w:r>
        <w:t xml:space="preserve">3.2.2 Regulatory Deadline Alert Token</w:t>
      </w:r>
    </w:p>
    <w:p>
      <w:pPr>
        <w:pStyle w:val="FirstParagraph"/>
      </w:pPr>
      <w:r>
        <w:t xml:space="preserve">The Regulatory Deadline Alert Token is a programmable token that triggers automated notifications and action recommendations as regulatory deadlines approach. Unlike passive calendar reminders, this token is an active financial instrument: holders receive early warning signals and Platinum Move recommendations at programmatic intervals (90 days, 60 days, 30 days, 7 days, and 24 hours before deadline).</w:t>
      </w:r>
    </w:p>
    <w:p>
      <w:pPr>
        <w:pStyle w:val="BodyText"/>
      </w:pPr>
      <w:r>
        <w:t xml:space="preserve">The token is purchased via x402 micropayments, enabling flexible pricing models. A company might pay $5 per month for basic deadline alerts across three frameworks, or $500 per month for enterprise-grade coverage across all 100+ tracked jurisdictions with automated filing preparation. The token’s programmable nature means it can interact with other CSOAI products: when a deadline approaches, the token can automatically trigger a compliance simulation, generate a gap analysis report, and initiate a Platinum Move recommendation workflow.</w:t>
      </w:r>
    </w:p>
    <w:bookmarkEnd w:id="51"/>
    <w:bookmarkStart w:id="52" w:name="attestation-marketplace"/>
    <w:p>
      <w:pPr>
        <w:pStyle w:val="Heading4"/>
      </w:pPr>
      <w:r>
        <w:t xml:space="preserve">3.2.3 Attestation Marketplace</w:t>
      </w:r>
    </w:p>
    <w:p>
      <w:pPr>
        <w:pStyle w:val="FirstParagraph"/>
      </w:pPr>
      <w:r>
        <w:t xml:space="preserve">The Attestation Marketplace enables the buying and selling of compliance verification services on-chain. In this marketplace, a company seeking to prove its DORA compliance can pay 0.01 ETH to access a comprehensive compliance report cryptographically signed with Ed25519, providing proof that CSOAI’s Sovereign Lens has verified their compliance status. The marketplace connects three parties: compliance seekers (companies needing verification), attestation providers (CSOAI and authorized partners), and data consumers (investors, regulators, partners who need verified compliance data).</w:t>
      </w:r>
    </w:p>
    <w:p>
      <w:pPr>
        <w:pStyle w:val="BodyText"/>
      </w:pPr>
      <w:r>
        <w:t xml:space="preserve">This marketplace integrates with Ocean Protocol, enabling privacy-preserving data exchange. Compliance data remains on CSOAI’s infrastructure while cryptographic proofs are exchanged on-chain. The Ocean Protocol integration enables compute-to-data workflows where algorithms can analyze compliance datasets without the raw data ever leaving CSOAI’s secure environment. This architecture satisfies GDPR, CCPA, and sector-specific data protection requirements while still enabling the liquidity and transparency of on-chain markets.</w:t>
      </w:r>
    </w:p>
    <w:bookmarkEnd w:id="52"/>
    <w:bookmarkStart w:id="53" w:name="governance-participation-token"/>
    <w:p>
      <w:pPr>
        <w:pStyle w:val="Heading4"/>
      </w:pPr>
      <w:r>
        <w:t xml:space="preserve">3.2.4 Governance Participation Token</w:t>
      </w:r>
    </w:p>
    <w:p>
      <w:pPr>
        <w:pStyle w:val="FirstParagraph"/>
      </w:pPr>
      <w:r>
        <w:t xml:space="preserve">The Governance Participation Token is a non-transferable token that grants voting rights in CSOAI’s decentralized regulatory standard-setting process. Token holders vote on governance proposals including: which new regulatory frameworks to add to Sovereign Lens, how compliance scoring algorithms should weight different criteria, what constitutes a</w:t>
      </w:r>
      <w:r>
        <w:t xml:space="preserve"> </w:t>
      </w:r>
      <w:r>
        <w:t xml:space="preserve">“</w:t>
      </w:r>
      <w:r>
        <w:t xml:space="preserve">Platinum Move</w:t>
      </w:r>
      <w:r>
        <w:t xml:space="preserve">”</w:t>
      </w:r>
      <w:r>
        <w:t xml:space="preserve"> </w:t>
      </w:r>
      <w:r>
        <w:t xml:space="preserve">recommendation, and how the CSOAI treasury should allocate resources.</w:t>
      </w:r>
    </w:p>
    <w:p>
      <w:pPr>
        <w:pStyle w:val="BodyText"/>
      </w:pPr>
      <w:r>
        <w:t xml:space="preserve">This token embodies a radical proposition: the community decides what</w:t>
      </w:r>
      <w:r>
        <w:t xml:space="preserve"> </w:t>
      </w:r>
      <w:r>
        <w:t xml:space="preserve">“</w:t>
      </w:r>
      <w:r>
        <w:t xml:space="preserve">compliant</w:t>
      </w:r>
      <w:r>
        <w:t xml:space="preserve">”</w:t>
      </w:r>
      <w:r>
        <w:t xml:space="preserve"> </w:t>
      </w:r>
      <w:r>
        <w:t xml:space="preserve">means. Rather than a centralized authority dictating scoring methodologies, CSOAI’s governance token enables a decentralized community of compliance professionals, regulators, technologists, and affected organizations to collectively define compliance standards. This approach is particularly powerful for emerging domains like AI governance in space, where no established regulatory precedent exists and collective intelligence is more valuable than any single expert’s judgment.</w:t>
      </w:r>
    </w:p>
    <w:bookmarkEnd w:id="53"/>
    <w:bookmarkStart w:id="54" w:name="data-access-token"/>
    <w:p>
      <w:pPr>
        <w:pStyle w:val="Heading4"/>
      </w:pPr>
      <w:r>
        <w:t xml:space="preserve">3.2.5 Data Access Token</w:t>
      </w:r>
    </w:p>
    <w:p>
      <w:pPr>
        <w:pStyle w:val="FirstParagraph"/>
      </w:pPr>
      <w:r>
        <w:t xml:space="preserve">The Data Access Token provides tiered access to CSOAI’s Sovereign Lens compliance data. The tiered structure aligns data access with organizational needs and budgets:</w:t>
      </w:r>
    </w:p>
    <w:p>
      <w:pPr>
        <w:numPr>
          <w:ilvl w:val="0"/>
          <w:numId w:val="1007"/>
        </w:numPr>
        <w:pStyle w:val="Compact"/>
      </w:pPr>
      <w:r>
        <w:rPr>
          <w:bCs/>
          <w:b/>
        </w:rPr>
        <w:t xml:space="preserve">Bronze Tier</w:t>
      </w:r>
      <w:r>
        <w:t xml:space="preserve">: Basic compliance scores and status indicators for all tracked entities. Suitable for investors performing initial due diligence and journalists researching regulatory landscapes.</w:t>
      </w:r>
    </w:p>
    <w:p>
      <w:pPr>
        <w:numPr>
          <w:ilvl w:val="0"/>
          <w:numId w:val="1007"/>
        </w:numPr>
        <w:pStyle w:val="Compact"/>
      </w:pPr>
      <w:r>
        <w:rPr>
          <w:bCs/>
          <w:b/>
        </w:rPr>
        <w:t xml:space="preserve">Silver Tier</w:t>
      </w:r>
      <w:r>
        <w:t xml:space="preserve">: Gap analysis reports identifying specific compliance deficiencies and remediation priorities. Suitable for compliance officers at mid-size organizations.</w:t>
      </w:r>
    </w:p>
    <w:p>
      <w:pPr>
        <w:numPr>
          <w:ilvl w:val="0"/>
          <w:numId w:val="1007"/>
        </w:numPr>
        <w:pStyle w:val="Compact"/>
      </w:pPr>
      <w:r>
        <w:rPr>
          <w:bCs/>
          <w:b/>
        </w:rPr>
        <w:t xml:space="preserve">Gold Tier</w:t>
      </w:r>
      <w:r>
        <w:t xml:space="preserve">: Full Platinum Move recommendations with step-by-step implementation guidance, cost estimates, and timeline projections. Suitable for enterprise compliance teams.</w:t>
      </w:r>
    </w:p>
    <w:p>
      <w:pPr>
        <w:numPr>
          <w:ilvl w:val="0"/>
          <w:numId w:val="1007"/>
        </w:numPr>
        <w:pStyle w:val="Compact"/>
      </w:pPr>
      <w:r>
        <w:rPr>
          <w:bCs/>
          <w:b/>
        </w:rPr>
        <w:t xml:space="preserve">Platinum Tier</w:t>
      </w:r>
      <w:r>
        <w:t xml:space="preserve">: Regulator-grade intelligence including enforcement prediction models, peer benchmarking datasets, and cross-jurisdictional risk correlation analysis. Suitable for regulatory bodies, large consultancies, and institutional investors.</w:t>
      </w:r>
    </w:p>
    <w:p>
      <w:pPr>
        <w:pStyle w:val="FirstParagraph"/>
      </w:pPr>
      <w:r>
        <w:t xml:space="preserve">Each tier is accessed via a token that expires after a defined period (monthly, quarterly, annually), creating predictable recurring revenue while enabling flexible access patterns.</w:t>
      </w:r>
    </w:p>
    <w:bookmarkEnd w:id="54"/>
    <w:bookmarkEnd w:id="55"/>
    <w:bookmarkStart w:id="56" w:name="the-legal-framework"/>
    <w:p>
      <w:pPr>
        <w:pStyle w:val="Heading3"/>
      </w:pPr>
      <w:r>
        <w:t xml:space="preserve">3.3 The Legal Framework</w:t>
      </w:r>
    </w:p>
    <w:p>
      <w:pPr>
        <w:pStyle w:val="FirstParagraph"/>
      </w:pPr>
      <w:r>
        <w:t xml:space="preserve">The legal infrastructure for tokenized compliance is not speculative—it is actively operational across major jurisdictions. In the European Union, the DLT Pilot Regime (Regulation 2022/858) provides a controlled environment for market infrastructure based on distributed ledger technology, allowing CSOAI to test token products with regulatory oversight and legal certainty. In the United Kingdom, the Digital Securities Sandbox remains open until December 2028, providing a pathway to launch tokenized compliance products with FCA supervision.</w:t>
      </w:r>
    </w:p>
    <w:p>
      <w:pPr>
        <w:pStyle w:val="BodyText"/>
      </w:pPr>
      <w:r>
        <w:t xml:space="preserve">Blockchain evidence is now admissible in courts across the EU, China, the United States, and India, with established precedents for the admissibility of cryptographic signatures, smart contract execution records, and on-chain data as evidence in civil and regulatory proceedings. The Ed25519 signature scheme, which CSOAI uses for all attestation products, offers 20-to-30x performance improvements over ECDSA while maintaining equivalent security guarantees. This performance advantage translates directly to lower gas costs, faster verification times, and superior user experience.</w:t>
      </w:r>
    </w:p>
    <w:p>
      <w:pPr>
        <w:pStyle w:val="BodyText"/>
      </w:pPr>
      <w:r>
        <w:t xml:space="preserve">The combination of active regulatory sandboxes (EU DLT Pilot Regime, UK Digital Securities Sandbox), judicial precedent for blockchain evidence across four major jurisdictions, and performant cryptographic infrastructure (Ed25519) creates a legal environment where tokenized compliance products can launch, scale, and operate with regulatory clarity.</w:t>
      </w:r>
    </w:p>
    <w:p>
      <w:pPr>
        <w:pStyle w:val="BodyText"/>
      </w:pPr>
      <w:r>
        <w:rPr>
          <w:bCs/>
          <w:b/>
        </w:rPr>
        <w:t xml:space="preserve">Table 1: CSOAI Token Product Suite</w:t>
      </w:r>
    </w:p>
    <w:tbl>
      <w:tblPr>
        <w:tblStyle w:val="Table"/>
        <w:tblW w:type="pct" w:w="5000"/>
        <w:tblLook w:firstRow="1" w:lastRow="0" w:firstColumn="0" w:lastColumn="0" w:noHBand="0" w:noVBand="0" w:val="0020"/>
      </w:tblPr>
      <w:tblGrid>
        <w:gridCol w:w="1096"/>
        <w:gridCol w:w="1827"/>
        <w:gridCol w:w="1584"/>
        <w:gridCol w:w="1584"/>
        <w:gridCol w:w="1827"/>
      </w:tblGrid>
      <w:tr>
        <w:trPr>
          <w:tblHeader w:val="true"/>
        </w:trPr>
        <w:tc>
          <w:tcPr/>
          <w:p>
            <w:pPr>
              <w:pStyle w:val="Compact"/>
              <w:jc w:val="left"/>
            </w:pPr>
            <w:r>
              <w:t xml:space="preserve">Product</w:t>
            </w:r>
          </w:p>
        </w:tc>
        <w:tc>
          <w:tcPr/>
          <w:p>
            <w:pPr>
              <w:pStyle w:val="Compact"/>
              <w:jc w:val="left"/>
            </w:pPr>
            <w:r>
              <w:t xml:space="preserve">Token Standard</w:t>
            </w:r>
          </w:p>
        </w:tc>
        <w:tc>
          <w:tcPr/>
          <w:p>
            <w:pPr>
              <w:pStyle w:val="Compact"/>
              <w:jc w:val="left"/>
            </w:pPr>
            <w:r>
              <w:t xml:space="preserve">Price Point</w:t>
            </w:r>
          </w:p>
        </w:tc>
        <w:tc>
          <w:tcPr/>
          <w:p>
            <w:pPr>
              <w:pStyle w:val="Compact"/>
              <w:jc w:val="left"/>
            </w:pPr>
            <w:r>
              <w:t xml:space="preserve">Target User</w:t>
            </w:r>
          </w:p>
        </w:tc>
        <w:tc>
          <w:tcPr/>
          <w:p>
            <w:pPr>
              <w:pStyle w:val="Compact"/>
              <w:jc w:val="left"/>
            </w:pPr>
            <w:r>
              <w:t xml:space="preserve">Revenue Model</w:t>
            </w:r>
          </w:p>
        </w:tc>
      </w:tr>
      <w:tr>
        <w:tc>
          <w:tcPr/>
          <w:p>
            <w:pPr>
              <w:pStyle w:val="Compact"/>
              <w:jc w:val="left"/>
            </w:pPr>
            <w:r>
              <w:t xml:space="preserve">Compliance Score SBT</w:t>
            </w:r>
          </w:p>
        </w:tc>
        <w:tc>
          <w:tcPr/>
          <w:p>
            <w:pPr>
              <w:pStyle w:val="Compact"/>
              <w:jc w:val="left"/>
            </w:pPr>
            <w:r>
              <w:t xml:space="preserve">ERC-5192 (Soulbound)</w:t>
            </w:r>
          </w:p>
        </w:tc>
        <w:tc>
          <w:tcPr/>
          <w:p>
            <w:pPr>
              <w:pStyle w:val="Compact"/>
              <w:jc w:val="left"/>
            </w:pPr>
            <w:r>
              <w:t xml:space="preserve">$49–499/month</w:t>
            </w:r>
          </w:p>
        </w:tc>
        <w:tc>
          <w:tcPr/>
          <w:p>
            <w:pPr>
              <w:pStyle w:val="Compact"/>
              <w:jc w:val="left"/>
            </w:pPr>
            <w:r>
              <w:t xml:space="preserve">Compliance officers, legal teams</w:t>
            </w:r>
          </w:p>
        </w:tc>
        <w:tc>
          <w:tcPr/>
          <w:p>
            <w:pPr>
              <w:pStyle w:val="Compact"/>
              <w:jc w:val="left"/>
            </w:pPr>
            <w:r>
              <w:t xml:space="preserve">Subscription + oracle update fees</w:t>
            </w:r>
          </w:p>
        </w:tc>
      </w:tr>
      <w:tr>
        <w:tc>
          <w:tcPr/>
          <w:p>
            <w:pPr>
              <w:pStyle w:val="Compact"/>
              <w:jc w:val="left"/>
            </w:pPr>
            <w:r>
              <w:t xml:space="preserve">Regulatory Deadline Alert</w:t>
            </w:r>
          </w:p>
        </w:tc>
        <w:tc>
          <w:tcPr/>
          <w:p>
            <w:pPr>
              <w:pStyle w:val="Compact"/>
              <w:jc w:val="left"/>
            </w:pPr>
            <w:r>
              <w:t xml:space="preserve">ERC-20 (Programmable)</w:t>
            </w:r>
          </w:p>
        </w:tc>
        <w:tc>
          <w:tcPr/>
          <w:p>
            <w:pPr>
              <w:pStyle w:val="Compact"/>
              <w:jc w:val="left"/>
            </w:pPr>
            <w:r>
              <w:t xml:space="preserve">$5–500/month via x402</w:t>
            </w:r>
          </w:p>
        </w:tc>
        <w:tc>
          <w:tcPr/>
          <w:p>
            <w:pPr>
              <w:pStyle w:val="Compact"/>
              <w:jc w:val="left"/>
            </w:pPr>
            <w:r>
              <w:t xml:space="preserve">Risk managers, CFOs, GCs</w:t>
            </w:r>
          </w:p>
        </w:tc>
        <w:tc>
          <w:tcPr/>
          <w:p>
            <w:pPr>
              <w:pStyle w:val="Compact"/>
              <w:jc w:val="left"/>
            </w:pPr>
            <w:r>
              <w:t xml:space="preserve">Micropayment per alert tier</w:t>
            </w:r>
          </w:p>
        </w:tc>
      </w:tr>
      <w:tr>
        <w:tc>
          <w:tcPr/>
          <w:p>
            <w:pPr>
              <w:pStyle w:val="Compact"/>
              <w:jc w:val="left"/>
            </w:pPr>
            <w:r>
              <w:t xml:space="preserve">Attestation Marketplace</w:t>
            </w:r>
          </w:p>
        </w:tc>
        <w:tc>
          <w:tcPr/>
          <w:p>
            <w:pPr>
              <w:pStyle w:val="Compact"/>
              <w:jc w:val="left"/>
            </w:pPr>
            <w:r>
              <w:t xml:space="preserve">ERC-721 (Attestation NFT)</w:t>
            </w:r>
          </w:p>
        </w:tc>
        <w:tc>
          <w:tcPr/>
          <w:p>
            <w:pPr>
              <w:pStyle w:val="Compact"/>
              <w:jc w:val="left"/>
            </w:pPr>
            <w:r>
              <w:t xml:space="preserve">0.001–0.1 ETH per verification</w:t>
            </w:r>
          </w:p>
        </w:tc>
        <w:tc>
          <w:tcPr/>
          <w:p>
            <w:pPr>
              <w:pStyle w:val="Compact"/>
              <w:jc w:val="left"/>
            </w:pPr>
            <w:r>
              <w:t xml:space="preserve">Auditors, investors, partners</w:t>
            </w:r>
          </w:p>
        </w:tc>
        <w:tc>
          <w:tcPr/>
          <w:p>
            <w:pPr>
              <w:pStyle w:val="Compact"/>
              <w:jc w:val="left"/>
            </w:pPr>
            <w:r>
              <w:t xml:space="preserve">Per-attestation fee + marketplace royalty</w:t>
            </w:r>
          </w:p>
        </w:tc>
      </w:tr>
      <w:tr>
        <w:tc>
          <w:tcPr/>
          <w:p>
            <w:pPr>
              <w:pStyle w:val="Compact"/>
              <w:jc w:val="left"/>
            </w:pPr>
            <w:r>
              <w:t xml:space="preserve">Governance Participation</w:t>
            </w:r>
          </w:p>
        </w:tc>
        <w:tc>
          <w:tcPr/>
          <w:p>
            <w:pPr>
              <w:pStyle w:val="Compact"/>
              <w:jc w:val="left"/>
            </w:pPr>
            <w:r>
              <w:t xml:space="preserve">ERC-5192 (Non-transferable)</w:t>
            </w:r>
          </w:p>
        </w:tc>
        <w:tc>
          <w:tcPr/>
          <w:p>
            <w:pPr>
              <w:pStyle w:val="Compact"/>
              <w:jc w:val="left"/>
            </w:pPr>
            <w:r>
              <w:t xml:space="preserve">Free (staking-based)</w:t>
            </w:r>
          </w:p>
        </w:tc>
        <w:tc>
          <w:tcPr/>
          <w:p>
            <w:pPr>
              <w:pStyle w:val="Compact"/>
              <w:jc w:val="left"/>
            </w:pPr>
            <w:r>
              <w:t xml:space="preserve">Compliance professionals, regulators</w:t>
            </w:r>
          </w:p>
        </w:tc>
        <w:tc>
          <w:tcPr/>
          <w:p>
            <w:pPr>
              <w:pStyle w:val="Compact"/>
              <w:jc w:val="left"/>
            </w:pPr>
            <w:r>
              <w:t xml:space="preserve">Value accrual via governance quality</w:t>
            </w:r>
          </w:p>
        </w:tc>
      </w:tr>
      <w:tr>
        <w:tc>
          <w:tcPr/>
          <w:p>
            <w:pPr>
              <w:pStyle w:val="Compact"/>
              <w:jc w:val="left"/>
            </w:pPr>
            <w:r>
              <w:t xml:space="preserve">Data Access Token</w:t>
            </w:r>
          </w:p>
        </w:tc>
        <w:tc>
          <w:tcPr/>
          <w:p>
            <w:pPr>
              <w:pStyle w:val="Compact"/>
              <w:jc w:val="left"/>
            </w:pPr>
            <w:r>
              <w:t xml:space="preserve">ERC-1155 (Multi-token)</w:t>
            </w:r>
          </w:p>
        </w:tc>
        <w:tc>
          <w:tcPr/>
          <w:p>
            <w:pPr>
              <w:pStyle w:val="Compact"/>
              <w:jc w:val="left"/>
            </w:pPr>
            <w:r>
              <w:t xml:space="preserve">$99–9,999/month</w:t>
            </w:r>
          </w:p>
        </w:tc>
        <w:tc>
          <w:tcPr/>
          <w:p>
            <w:pPr>
              <w:pStyle w:val="Compact"/>
              <w:jc w:val="left"/>
            </w:pPr>
            <w:r>
              <w:t xml:space="preserve">Enterprises, regulators, consultancies</w:t>
            </w:r>
          </w:p>
        </w:tc>
        <w:tc>
          <w:tcPr/>
          <w:p>
            <w:pPr>
              <w:pStyle w:val="Compact"/>
              <w:jc w:val="left"/>
            </w:pPr>
            <w:r>
              <w:t xml:space="preserve">Tiered subscription with usage limits</w:t>
            </w:r>
          </w:p>
        </w:tc>
      </w:tr>
    </w:tbl>
    <w:p>
      <w:r>
        <w:pict>
          <v:rect style="width:0;height:1.5pt" o:hralign="center" o:hrstd="t" o:hr="t"/>
        </w:pict>
      </w:r>
    </w:p>
    <w:bookmarkEnd w:id="56"/>
    <w:bookmarkEnd w:id="57"/>
    <w:bookmarkStart w:id="73" w:name="X36b6832c5a77050d85e124c9b32f0dbacfcb434"/>
    <w:p>
      <w:pPr>
        <w:pStyle w:val="Heading2"/>
      </w:pPr>
      <w:r>
        <w:t xml:space="preserve">Section 4: Data Licensing &amp; The Missed Lanes</w:t>
      </w:r>
    </w:p>
    <w:bookmarkStart w:id="61" w:name="data-licensing-revenue-model"/>
    <w:p>
      <w:pPr>
        <w:pStyle w:val="Heading3"/>
      </w:pPr>
      <w:r>
        <w:t xml:space="preserve">4.1 Data Licensing Revenue Model</w:t>
      </w:r>
    </w:p>
    <w:bookmarkStart w:id="58" w:name="the-compliance-data-asset"/>
    <w:p>
      <w:pPr>
        <w:pStyle w:val="Heading4"/>
      </w:pPr>
      <w:r>
        <w:t xml:space="preserve">4.1.1 The Compliance Data Asset</w:t>
      </w:r>
    </w:p>
    <w:p>
      <w:pPr>
        <w:pStyle w:val="FirstParagraph"/>
      </w:pPr>
      <w:r>
        <w:t xml:space="preserve">CSOAI possesses what is arguably the world’s most valuable compliance dataset: over 500 million shadow profiles of global organizations, 3.65 billion simulation outcomes generated annually across all tracked regulatory frameworks, and real-time coverage of 100+ regulatory frameworks spanning Earth, Space, and Digital jurisdictions. This dataset grows more valuable with every regulatory change, every enforcement action, and every simulation run. While competitors build point solutions for single frameworks or single jurisdictions, CSOAI’s horizontal data asset captures the full complexity of global compliance as an interconnected system.</w:t>
      </w:r>
    </w:p>
    <w:p>
      <w:pPr>
        <w:pStyle w:val="BodyText"/>
      </w:pPr>
      <w:r>
        <w:t xml:space="preserve">The market context validates this asset’s commercial potential. The global data monetization market is projected to grow from $3.87 billion in 2025 to $19.3 billion by 2032, representing a compound annual growth rate of 16.87%. Compliance data commands premium pricing within this market because it directly enables risk reduction, regulatory avoidance, and strategic decision-making. A dataset that predicts which companies will face enforcement action, or that identifies optimal compliance pathways across multiple jurisdictions, is not a commodity—it is strategic intelligence.</w:t>
      </w:r>
    </w:p>
    <w:bookmarkEnd w:id="58"/>
    <w:bookmarkStart w:id="59" w:name="five-data-products"/>
    <w:p>
      <w:pPr>
        <w:pStyle w:val="Heading4"/>
      </w:pPr>
      <w:r>
        <w:t xml:space="preserve">4.1.2 Five Data Products</w:t>
      </w:r>
    </w:p>
    <w:p>
      <w:pPr>
        <w:pStyle w:val="FirstParagraph"/>
      </w:pPr>
      <w:r>
        <w:t xml:space="preserve">CSOAI’s data licensing strategy centers on five core products, each designed for a specific buyer persona and use case:</w:t>
      </w:r>
    </w:p>
    <w:p>
      <w:pPr>
        <w:pStyle w:val="BodyText"/>
      </w:pPr>
      <w:r>
        <w:rPr>
          <w:bCs/>
          <w:b/>
        </w:rPr>
        <w:t xml:space="preserve">Product 1: Compliance Intelligence API.</w:t>
      </w:r>
      <w:r>
        <w:t xml:space="preserve"> </w:t>
      </w:r>
      <w:r>
        <w:t xml:space="preserve">A REST API providing real-time compliance scores for any organization across all tracked frameworks. Query a company’s DORA compliance score, NIST AI RMF maturity rating, or EU AI Act risk classification and receive a structured JSON response in under 200 milliseconds. Pricing follows a per-query model at $0.001 to $0.01 per call via x402 micropayments, enabling usage patterns from occasional individual lookups to high-volume enterprise integration processing millions of queries daily.</w:t>
      </w:r>
    </w:p>
    <w:p>
      <w:pPr>
        <w:pStyle w:val="BodyText"/>
      </w:pPr>
      <w:r>
        <w:rPr>
          <w:bCs/>
          <w:b/>
        </w:rPr>
        <w:t xml:space="preserve">Product 2: Regulatory Change Feed.</w:t>
      </w:r>
      <w:r>
        <w:t xml:space="preserve"> </w:t>
      </w:r>
      <w:r>
        <w:t xml:space="preserve">A real-time data stream of every regulatory change across all tracked jurisdictions, delivered as structured events.</w:t>
      </w:r>
      <w:r>
        <w:t xml:space="preserve"> </w:t>
      </w:r>
      <w:r>
        <w:t xml:space="preserve">“</w:t>
      </w:r>
      <w:r>
        <w:t xml:space="preserve">What changed today across all jurisdictions?</w:t>
      </w:r>
      <w:r>
        <w:t xml:space="preserve">”</w:t>
      </w:r>
      <w:r>
        <w:t xml:space="preserve"> </w:t>
      </w:r>
      <w:r>
        <w:t xml:space="preserve">becomes a queryable API rather than a manual monitoring process. The feed includes change summaries, impact assessments, affected organizations, and recommended actions. Integrates directly with Slack, Microsoft Teams, and enterprise workflow platforms.</w:t>
      </w:r>
    </w:p>
    <w:p>
      <w:pPr>
        <w:pStyle w:val="BodyText"/>
      </w:pPr>
      <w:r>
        <w:rPr>
          <w:bCs/>
          <w:b/>
        </w:rPr>
        <w:t xml:space="preserve">Product 3: Risk Benchmarking Dataset.</w:t>
      </w:r>
      <w:r>
        <w:t xml:space="preserve"> </w:t>
      </w:r>
      <w:r>
        <w:t xml:space="preserve">Industry peer comparisons at a granular level. Compare your organization’s compliance posture against industry quartiles, identify where you lead or lag peers, and prioritize investments based on competitive risk positioning. This dataset is particularly valuable for board presentations, investor communications, and strategic planning cycles.</w:t>
      </w:r>
    </w:p>
    <w:p>
      <w:pPr>
        <w:pStyle w:val="BodyText"/>
      </w:pPr>
      <w:r>
        <w:rPr>
          <w:bCs/>
          <w:b/>
        </w:rPr>
        <w:t xml:space="preserve">Product 4: Enforcement Prediction API.</w:t>
      </w:r>
      <w:r>
        <w:t xml:space="preserve"> </w:t>
      </w:r>
      <w:r>
        <w:t xml:space="preserve">Machine learning models trained on CSOAI’s proprietary dataset predict which organizations are most likely to face regulatory enforcement action within the next 12 months. The model inputs include compliance score trajectories, historical enforcement patterns, regulatory resource allocation signals, and macroeconomic risk factors. Output includes probability scores, predicted fine ranges, and recommended preemptive actions. This is CSOAI’s highest-value data product—an early warning system for existential regulatory risk.</w:t>
      </w:r>
    </w:p>
    <w:p>
      <w:pPr>
        <w:pStyle w:val="BodyText"/>
      </w:pPr>
      <w:r>
        <w:rPr>
          <w:bCs/>
          <w:b/>
        </w:rPr>
        <w:t xml:space="preserve">Product 5: Sovereign Data Connector.</w:t>
      </w:r>
      <w:r>
        <w:t xml:space="preserve"> </w:t>
      </w:r>
      <w:r>
        <w:t xml:space="preserve">Distribution infrastructure listing CSOAI data products on AWS Data Exchange, Snowflake Marketplace, Databricks Marketplace, and Dawex. This connector strategy meets enterprise buyers where they already procure data, eliminating procurement friction and enabling immediate integration into existing data lakes and analytics workflows. Enterprise data teams can query CSOAI compliance data using familiar SQL syntax within their existing Snowflake or Databricks environments.</w:t>
      </w:r>
    </w:p>
    <w:bookmarkEnd w:id="59"/>
    <w:bookmarkStart w:id="60" w:name="five-licensing-models"/>
    <w:p>
      <w:pPr>
        <w:pStyle w:val="Heading4"/>
      </w:pPr>
      <w:r>
        <w:t xml:space="preserve">4.1.3 Five Licensing Models</w:t>
      </w:r>
    </w:p>
    <w:p>
      <w:pPr>
        <w:pStyle w:val="FirstParagraph"/>
      </w:pPr>
      <w:r>
        <w:t xml:space="preserve">CSOAI offers five licensing models designed to match diverse organizational procurement preferences and usage patterns:</w:t>
      </w:r>
    </w:p>
    <w:p>
      <w:pPr>
        <w:pStyle w:val="BodyText"/>
      </w:pPr>
      <w:r>
        <w:rPr>
          <w:bCs/>
          <w:b/>
        </w:rPr>
        <w:t xml:space="preserve">Subscription Model:</w:t>
      </w:r>
      <w:r>
        <w:t xml:space="preserve"> </w:t>
      </w:r>
      <w:r>
        <w:t xml:space="preserve">Unlimited access to specified data products for a fixed monthly or annual fee. Suitable for organizations with consistent, high-volume data consumption needs. Subscription tiers range from $999 per month for startup/small business access to $49,999 per month for enterprise-grade unlimited access across all data products.</w:t>
      </w:r>
    </w:p>
    <w:p>
      <w:pPr>
        <w:pStyle w:val="BodyText"/>
      </w:pPr>
      <w:r>
        <w:rPr>
          <w:bCs/>
          <w:b/>
        </w:rPr>
        <w:t xml:space="preserve">Per-Query Model:</w:t>
      </w:r>
      <w:r>
        <w:t xml:space="preserve"> </w:t>
      </w:r>
      <w:r>
        <w:t xml:space="preserve">Usage-based pricing where customers pay only for the data they consume, processed via x402 micropayments. This model eliminates upfront commitment and enables experimentation. A hedge fund might query 1,000 companies’ compliance scores during due diligence, paying $10 total, then scale to millions of queries as the strategy proves valuable.</w:t>
      </w:r>
    </w:p>
    <w:p>
      <w:pPr>
        <w:pStyle w:val="BodyText"/>
      </w:pPr>
      <w:r>
        <w:rPr>
          <w:bCs/>
          <w:b/>
        </w:rPr>
        <w:t xml:space="preserve">Enterprise Model:</w:t>
      </w:r>
      <w:r>
        <w:t xml:space="preserve"> </w:t>
      </w:r>
      <w:r>
        <w:t xml:space="preserve">Custom dataset creation and exclusive access arrangements for large organizations with specific requirements. An insurance company might license a customized version of the Enforcement Prediction API trained on their specific risk portfolio. A regulator might commission a dataset covering only their supervised entities with custom scoring methodologies.</w:t>
      </w:r>
    </w:p>
    <w:p>
      <w:pPr>
        <w:pStyle w:val="BodyText"/>
      </w:pPr>
      <w:r>
        <w:rPr>
          <w:bCs/>
          <w:b/>
        </w:rPr>
        <w:t xml:space="preserve">White-Label Model:</w:t>
      </w:r>
      <w:r>
        <w:t xml:space="preserve"> </w:t>
      </w:r>
      <w:r>
        <w:t xml:space="preserve">Authorized reselling of CSOAI data products under the licensee’s brand. A Big Four consultancy might integrate Compliance Intelligence API data into their proprietary risk platform, presenting CSOAI scores as their own analysis. CSOAI receives a revenue share (typically 20–30%) while the partner manages the customer relationship.</w:t>
      </w:r>
    </w:p>
    <w:p>
      <w:pPr>
        <w:pStyle w:val="BodyText"/>
      </w:pPr>
      <w:r>
        <w:rPr>
          <w:bCs/>
          <w:b/>
        </w:rPr>
        <w:t xml:space="preserve">Data Clean Room Model:</w:t>
      </w:r>
      <w:r>
        <w:t xml:space="preserve"> </w:t>
      </w:r>
      <w:r>
        <w:t xml:space="preserve">Privacy-preserving collaboration environments where multiple parties can analyze combined datasets without exposing raw data to each other. A consortium of banks might collectively analyze compliance patterns across their portfolios without revealing individual customer data. CSOAI provides the infrastructure, governance, and analytics while ensuring no participant sees another’s proprietary information.</w:t>
      </w:r>
    </w:p>
    <w:bookmarkEnd w:id="60"/>
    <w:bookmarkEnd w:id="61"/>
    <w:bookmarkStart w:id="72" w:name="the-missed-lanes-10-opportunities-ranked"/>
    <w:p>
      <w:pPr>
        <w:pStyle w:val="Heading3"/>
      </w:pPr>
      <w:r>
        <w:t xml:space="preserve">4.2 The Missed Lanes — 10 Opportunities Ranked</w:t>
      </w:r>
    </w:p>
    <w:p>
      <w:pPr>
        <w:pStyle w:val="FirstParagraph"/>
      </w:pPr>
      <w:r>
        <w:t xml:space="preserve">The following ten market opportunities represent lanes that CSOAI is strategically positioned to occupy but has not yet entered. Each is evaluated by market size, strategic fit with CSOAI’s core capabilities, recommended action timeline, product concept, and revenue potential by 2028.</w:t>
      </w:r>
    </w:p>
    <w:bookmarkStart w:id="62" w:name="X304ae23a502f8e998f4e45e3896040ada23029b"/>
    <w:p>
      <w:pPr>
        <w:pStyle w:val="Heading4"/>
      </w:pPr>
      <w:r>
        <w:t xml:space="preserve">4.2.1 Insurance &amp; Risk ($24 Billion Market, CSOAI Fit: 9/10, Action: NOW)</w:t>
      </w:r>
    </w:p>
    <w:p>
      <w:pPr>
        <w:pStyle w:val="FirstParagraph"/>
      </w:pPr>
      <w:r>
        <w:t xml:space="preserve">The insurance industry is experiencing an existential data crisis in pricing regulatory and AI risk. Traditional actuarial models rely on historical claims data that does not exist for emerging AI regulatory risk. CSOAI’s compliance data is the precise actuarial input that insurance companies need to develop</w:t>
      </w:r>
      <w:r>
        <w:t xml:space="preserve"> </w:t>
      </w:r>
      <w:r>
        <w:t xml:space="preserve">“</w:t>
      </w:r>
      <w:r>
        <w:t xml:space="preserve">Regulatory Risk Insurance</w:t>
      </w:r>
      <w:r>
        <w:t xml:space="preserve">”</w:t>
      </w:r>
      <w:r>
        <w:t xml:space="preserve"> </w:t>
      </w:r>
      <w:r>
        <w:t xml:space="preserve">products—policies that protect organizations against the financial impact of regulatory enforcement, fines, and compliance failures.</w:t>
      </w:r>
    </w:p>
    <w:p>
      <w:pPr>
        <w:pStyle w:val="BodyText"/>
      </w:pPr>
      <w:r>
        <w:t xml:space="preserve">CSOAI’s product entry is the</w:t>
      </w:r>
      <w:r>
        <w:t xml:space="preserve"> </w:t>
      </w:r>
      <w:r>
        <w:rPr>
          <w:bCs/>
          <w:b/>
        </w:rPr>
        <w:t xml:space="preserve">RiskScore API</w:t>
      </w:r>
      <w:r>
        <w:t xml:space="preserve">, a specialized data feed that delivers real-time compliance risk scores optimized for insurance underwriting workflows. The API integrates with insurance core systems and enables dynamic premium adjustment based on policyholder compliance performance. A company with improving compliance scores receives premium reductions; deteriorating scores trigger proactive risk management interventions.</w:t>
      </w:r>
    </w:p>
    <w:p>
      <w:pPr>
        <w:pStyle w:val="BodyText"/>
      </w:pPr>
      <w:r>
        <w:t xml:space="preserve">Revenue potential: $50–200 million by 2028. This represents CSOAI’s highest-potential adjacent market, with natural partnership pathways to major insurers and reinsurers who are actively seeking data partnerships to build AI risk capabilities.</w:t>
      </w:r>
    </w:p>
    <w:bookmarkEnd w:id="62"/>
    <w:bookmarkStart w:id="63" w:name="Xe67aa39d5e68417833832c4780adc387f3e1965"/>
    <w:p>
      <w:pPr>
        <w:pStyle w:val="Heading4"/>
      </w:pPr>
      <w:r>
        <w:t xml:space="preserve">4.2.2 Supply Chain Governance ($151 Billion Market, CSOAI Fit: 8/10, Action: NOW)</w:t>
      </w:r>
    </w:p>
    <w:p>
      <w:pPr>
        <w:pStyle w:val="FirstParagraph"/>
      </w:pPr>
      <w:r>
        <w:t xml:space="preserve">The EU Corporate Sustainability Due Diligence Directive (CSDDD) mandates that large companies monitor compliance across their entire supply chain, not just their own operations. This N-tier monitoring requirement—tracking compliance through multiple layers of suppliers, subcontractors, and downstream partners—creates a massive data and monitoring challenge that CSOAI is uniquely positioned to solve.</w:t>
      </w:r>
    </w:p>
    <w:p>
      <w:pPr>
        <w:pStyle w:val="BodyText"/>
      </w:pPr>
      <w:r>
        <w:t xml:space="preserve">CSOAI’s</w:t>
      </w:r>
      <w:r>
        <w:t xml:space="preserve"> </w:t>
      </w:r>
      <w:r>
        <w:rPr>
          <w:bCs/>
          <w:b/>
        </w:rPr>
        <w:t xml:space="preserve">SupplyHive</w:t>
      </w:r>
      <w:r>
        <w:t xml:space="preserve"> </w:t>
      </w:r>
      <w:r>
        <w:t xml:space="preserve">product extends Sovereign Lens monitoring across supply chain networks. A manufacturer can visualize compliance status across all 10,000+ suppliers, identify concentration risks (</w:t>
      </w:r>
      <w:r>
        <w:t xml:space="preserve">“</w:t>
      </w:r>
      <w:r>
        <w:t xml:space="preserve">70% of our suppliers are below DORA compliance threshold</w:t>
      </w:r>
      <w:r>
        <w:t xml:space="preserve">”</w:t>
      </w:r>
      <w:r>
        <w:t xml:space="preserve">), and receive automated alerts when any supplier’s compliance status changes. SupplyHive integrates with SAP Ariba, Coupa, and other procurement platforms to embed compliance monitoring directly into sourcing workflows.</w:t>
      </w:r>
    </w:p>
    <w:p>
      <w:pPr>
        <w:pStyle w:val="BodyText"/>
      </w:pPr>
      <w:r>
        <w:t xml:space="preserve">Revenue potential: $40–100 million by 2028, driven by CSDDD compliance deadlines that create urgent, non-discretionary demand.</w:t>
      </w:r>
    </w:p>
    <w:bookmarkEnd w:id="63"/>
    <w:bookmarkStart w:id="64" w:name="Xdc08d700bc6da027b6511b01ad26c9b6b9cba08"/>
    <w:p>
      <w:pPr>
        <w:pStyle w:val="Heading4"/>
      </w:pPr>
      <w:r>
        <w:t xml:space="preserve">4.2.3 Cybersecurity &amp; Zero Trust ($54 Billion Market, CSOAI Fit: 9/10, Action: NOW)</w:t>
      </w:r>
    </w:p>
    <w:p>
      <w:pPr>
        <w:pStyle w:val="FirstParagraph"/>
      </w:pPr>
      <w:r>
        <w:t xml:space="preserve">Zero Trust architecture and AI governance are converging. NIST mandates Zero Trust for space systems through CISA guidance, and the principle of</w:t>
      </w:r>
      <w:r>
        <w:t xml:space="preserve"> </w:t>
      </w:r>
      <w:r>
        <w:t xml:space="preserve">“</w:t>
      </w:r>
      <w:r>
        <w:t xml:space="preserve">never trust, always verify</w:t>
      </w:r>
      <w:r>
        <w:t xml:space="preserve">”</w:t>
      </w:r>
      <w:r>
        <w:t xml:space="preserve"> </w:t>
      </w:r>
      <w:r>
        <w:t xml:space="preserve">extends naturally to AI compliance. An AI system that cannot prove its compliance status should not be granted access to sensitive resources—this is Zero Trust applied to governance.</w:t>
      </w:r>
    </w:p>
    <w:p>
      <w:pPr>
        <w:pStyle w:val="BodyText"/>
      </w:pPr>
      <w:r>
        <w:t xml:space="preserve">CSOAI’s</w:t>
      </w:r>
      <w:r>
        <w:t xml:space="preserve"> </w:t>
      </w:r>
      <w:r>
        <w:rPr>
          <w:bCs/>
          <w:b/>
        </w:rPr>
        <w:t xml:space="preserve">ZeroTrust Governance Mesh</w:t>
      </w:r>
      <w:r>
        <w:t xml:space="preserve"> </w:t>
      </w:r>
      <w:r>
        <w:t xml:space="preserve">product integrates compliance scores directly into Zero Trust architecture. Every access request includes a compliance verification check:</w:t>
      </w:r>
      <w:r>
        <w:t xml:space="preserve"> </w:t>
      </w:r>
      <w:r>
        <w:t xml:space="preserve">“</w:t>
      </w:r>
      <w:r>
        <w:t xml:space="preserve">Is this AI system compliant with the frameworks required for this data classification?</w:t>
      </w:r>
      <w:r>
        <w:t xml:space="preserve">”</w:t>
      </w:r>
      <w:r>
        <w:t xml:space="preserve"> </w:t>
      </w:r>
      <w:r>
        <w:t xml:space="preserve">Non-compliant systems are automatically quarantined, compliant systems receive appropriate access tiers, and borderline cases trigger enhanced monitoring. This product transforms compliance from a periodic audit exercise into a continuous, automated security control.</w:t>
      </w:r>
    </w:p>
    <w:p>
      <w:pPr>
        <w:pStyle w:val="BodyText"/>
      </w:pPr>
      <w:r>
        <w:t xml:space="preserve">Revenue potential: $30–80 million by 2028, with strong synergy to CSOAI’s existing cybersecurity framework coverage.</w:t>
      </w:r>
    </w:p>
    <w:bookmarkEnd w:id="64"/>
    <w:bookmarkStart w:id="65" w:name="X202122b55d14c544d1bd1a9cf705a3c40d3c3f6"/>
    <w:p>
      <w:pPr>
        <w:pStyle w:val="Heading4"/>
      </w:pPr>
      <w:r>
        <w:t xml:space="preserve">4.2.4 Climate &amp; ESG AI ($85 Billion Market, CSOAI Fit: 8/10, Action: NOW)</w:t>
      </w:r>
    </w:p>
    <w:p>
      <w:pPr>
        <w:pStyle w:val="FirstParagraph"/>
      </w:pPr>
      <w:r>
        <w:t xml:space="preserve">The EU Corporate Sustainability Reporting Directive (CSRD) requires detailed sustainability reporting from over 50,000 companies, with specific requirements for AI-driven analysis and assurance. CSRD represents the 14th major framework that CSOAI should add to Sovereign Lens, extending coverage into environmental and social governance compliance.</w:t>
      </w:r>
    </w:p>
    <w:p>
      <w:pPr>
        <w:pStyle w:val="BodyText"/>
      </w:pPr>
      <w:r>
        <w:t xml:space="preserve">CSOAI’s</w:t>
      </w:r>
      <w:r>
        <w:t xml:space="preserve"> </w:t>
      </w:r>
      <w:r>
        <w:rPr>
          <w:bCs/>
          <w:b/>
        </w:rPr>
        <w:t xml:space="preserve">ESG Core</w:t>
      </w:r>
      <w:r>
        <w:t xml:space="preserve"> </w:t>
      </w:r>
      <w:r>
        <w:t xml:space="preserve">product adds CSRD compliance tracking to the existing framework portfolio, then extends into AI-specific ESG concerns: carbon footprint of AI training runs, bias auditing in automated decision systems, and supply chain transparency for AI hardware. ESG Core enables companies to demonstrate that their AI systems are not only technically compliant but also environmentally sustainable and socially responsible.</w:t>
      </w:r>
    </w:p>
    <w:p>
      <w:pPr>
        <w:pStyle w:val="BodyText"/>
      </w:pPr>
      <w:r>
        <w:t xml:space="preserve">Revenue potential: $25–60 million by 2028, with strong tailwinds from regulatory expansion of sustainability reporting requirements globally.</w:t>
      </w:r>
    </w:p>
    <w:bookmarkEnd w:id="65"/>
    <w:bookmarkStart w:id="66" w:name="X01bf5e683a824d8ba0ae91de2789ce0dc29239c"/>
    <w:p>
      <w:pPr>
        <w:pStyle w:val="Heading4"/>
      </w:pPr>
      <w:r>
        <w:t xml:space="preserve">4.2.5 Healthcare AI ($5.9 Billion Market, CSOAI Fit: 7/10, Action: NOW)</w:t>
      </w:r>
    </w:p>
    <w:p>
      <w:pPr>
        <w:pStyle w:val="FirstParagraph"/>
      </w:pPr>
      <w:r>
        <w:t xml:space="preserve">Healthcare AI operates at the intersection of three complex regulatory domains: FDA guidance on AI/ML-based medical devices, the EU Medical Device Regulation (MDR) as it applies to AI diagnostics, and HIPAA’s privacy requirements for AI systems processing protected health information. The complexity of this intersection creates a significant barrier to market entry that CSOAI can lower.</w:t>
      </w:r>
    </w:p>
    <w:p>
      <w:pPr>
        <w:pStyle w:val="BodyText"/>
      </w:pPr>
      <w:r>
        <w:t xml:space="preserve">CSOAI’s</w:t>
      </w:r>
      <w:r>
        <w:t xml:space="preserve"> </w:t>
      </w:r>
      <w:r>
        <w:rPr>
          <w:bCs/>
          <w:b/>
        </w:rPr>
        <w:t xml:space="preserve">MedGov</w:t>
      </w:r>
      <w:r>
        <w:t xml:space="preserve"> </w:t>
      </w:r>
      <w:r>
        <w:t xml:space="preserve">product provides a specialized compliance pathway for healthcare AI developers. MedGov tracks FDA 510(k) submission requirements for AI devices, EU MDR conformity assessment procedures, HIPAA technical safeguards, and emerging state-level AI health regulations. The product includes pre-built compliance templates for common healthcare AI applications: diagnostic imaging, clinical decision support, and patient risk stratification.</w:t>
      </w:r>
    </w:p>
    <w:p>
      <w:pPr>
        <w:pStyle w:val="BodyText"/>
      </w:pPr>
      <w:r>
        <w:t xml:space="preserve">Revenue potential: $20–50 million by 2028, with longer sales cycles offset by high contract values and strong customer retention.</w:t>
      </w:r>
    </w:p>
    <w:bookmarkEnd w:id="66"/>
    <w:bookmarkStart w:id="67" w:name="Xf2b8f839374d762f27f99b549c496d5028b6009"/>
    <w:p>
      <w:pPr>
        <w:pStyle w:val="Heading4"/>
      </w:pPr>
      <w:r>
        <w:t xml:space="preserve">4.2.6 Legal Tech ($7.7 Billion Market, CSOAI Fit: 8/10, Action: NOW)</w:t>
      </w:r>
    </w:p>
    <w:p>
      <w:pPr>
        <w:pStyle w:val="FirstParagraph"/>
      </w:pPr>
      <w:r>
        <w:t xml:space="preserve">Law firms are experiencing unprecedented demand for regulatory interpretation services as AI governance frameworks proliferate. Partners spend hundreds of billable hours manually tracking regulatory changes, interpreting their implications for clients, and developing compliance strategies. This work is highly automatable and highly valuable.</w:t>
      </w:r>
    </w:p>
    <w:p>
      <w:pPr>
        <w:pStyle w:val="BodyText"/>
      </w:pPr>
      <w:r>
        <w:t xml:space="preserve">CSOAI’s</w:t>
      </w:r>
      <w:r>
        <w:t xml:space="preserve"> </w:t>
      </w:r>
      <w:r>
        <w:rPr>
          <w:bCs/>
          <w:b/>
        </w:rPr>
        <w:t xml:space="preserve">LawGov</w:t>
      </w:r>
      <w:r>
        <w:t xml:space="preserve"> </w:t>
      </w:r>
      <w:r>
        <w:t xml:space="preserve">product provides law firms with a white-labeled regulatory intelligence platform. The platform automatically monitors all relevant frameworks, generates client-specific impact assessments, and drafts preliminary compliance memos that attorneys review and finalize. A single LawGov subscription can replace 2–3 full-time associates’ manual monitoring work while improving accuracy and coverage.</w:t>
      </w:r>
    </w:p>
    <w:p>
      <w:pPr>
        <w:pStyle w:val="BodyText"/>
      </w:pPr>
      <w:r>
        <w:t xml:space="preserve">Revenue potential: $30–70 million by 2028, with strong partnership potential with Am Law 100 firms and global legal networks.</w:t>
      </w:r>
    </w:p>
    <w:bookmarkEnd w:id="67"/>
    <w:bookmarkStart w:id="68" w:name="X0c149900578edbaf6e33991c62febd1a5f5c58b"/>
    <w:p>
      <w:pPr>
        <w:pStyle w:val="Heading4"/>
      </w:pPr>
      <w:r>
        <w:t xml:space="preserve">4.2.7 Defense &amp; Military AI ($101 Billion Market, CSOAI Fit: 6/10, Action: LATER)</w:t>
      </w:r>
    </w:p>
    <w:p>
      <w:pPr>
        <w:pStyle w:val="FirstParagraph"/>
      </w:pPr>
      <w:r>
        <w:t xml:space="preserve">NATO’s AI Strategy and the U.S. Department of Defense’s Responsible AI guidelines create substantial compliance requirements for defense contractors and military AI systems. However, this market carries significant reputational and operational complexity that makes it unsuitable for immediate entry.</w:t>
      </w:r>
    </w:p>
    <w:p>
      <w:pPr>
        <w:pStyle w:val="BodyText"/>
      </w:pPr>
      <w:r>
        <w:t xml:space="preserve">CSOAI’s recommended approach is a partner-based strategy launching in 2027. Rather than selling directly to defense organizations, CSOAI would license its compliance engine to established defense contractors who integrate it into their existing security and governance offerings. This indirect approach captures market value while maintaining organizational focus on civilian and commercial applications.</w:t>
      </w:r>
    </w:p>
    <w:p>
      <w:pPr>
        <w:pStyle w:val="BodyText"/>
      </w:pPr>
      <w:r>
        <w:t xml:space="preserve">Revenue potential: $50–150 million by 2030 (excluded from 2028 targets due to later entry timeline).</w:t>
      </w:r>
    </w:p>
    <w:bookmarkEnd w:id="68"/>
    <w:bookmarkStart w:id="69" w:name="Xdef5c3f54599fda6d096f1d12386d60720690fc"/>
    <w:p>
      <w:pPr>
        <w:pStyle w:val="Heading4"/>
      </w:pPr>
      <w:r>
        <w:t xml:space="preserve">4.2.8 Education AI ($4.2 Billion Market, CSOAI Fit: 7/10, Action: LATER)</w:t>
      </w:r>
    </w:p>
    <w:p>
      <w:pPr>
        <w:pStyle w:val="FirstParagraph"/>
      </w:pPr>
      <w:r>
        <w:t xml:space="preserve">Education AI raises distinct governance challenges: academic integrity in the age of generative AI, student data protection under FERPA and GDPR, and equitable access to AI-enhanced learning tools. These issues are significant but the market’s procurement cycles and budget constraints suggest 2028 as optimal entry timing.</w:t>
      </w:r>
    </w:p>
    <w:p>
      <w:pPr>
        <w:pStyle w:val="BodyText"/>
      </w:pPr>
      <w:r>
        <w:t xml:space="preserve">CSOAI’s education product would provide compliance monitoring for educational institutions deploying AI tools, covering student data protection, algorithmic fairness in admissions and assessment, and intellectual property compliance for AI-generated educational content. The 2028 timing aligns with expected regulatory clarity in this sector.</w:t>
      </w:r>
    </w:p>
    <w:p>
      <w:pPr>
        <w:pStyle w:val="BodyText"/>
      </w:pPr>
      <w:r>
        <w:t xml:space="preserve">Revenue potential: $10–25 million by 2028, with significant upside as education AI adoption accelerates.</w:t>
      </w:r>
    </w:p>
    <w:bookmarkEnd w:id="69"/>
    <w:bookmarkStart w:id="70" w:name="X075795e621cd897a974ad35df3ed121cdc03f27"/>
    <w:p>
      <w:pPr>
        <w:pStyle w:val="Heading4"/>
      </w:pPr>
      <w:r>
        <w:t xml:space="preserve">4.2.9 Quantum AI (Emerging, CSOAI Fit: 5/10, Action: LATER)</w:t>
      </w:r>
    </w:p>
    <w:p>
      <w:pPr>
        <w:pStyle w:val="FirstParagraph"/>
      </w:pPr>
      <w:r>
        <w:t xml:space="preserve">Post-quantum cryptography represents a frontier where governance standards are just emerging. NIST finalized its post-quantum cryptographic standards in 2024, but regulatory frameworks for quantum AI systems remain in early development. CSOAI’s positioning strategy is thought leadership now, product launch in 2028.</w:t>
      </w:r>
    </w:p>
    <w:p>
      <w:pPr>
        <w:pStyle w:val="BodyText"/>
      </w:pPr>
      <w:r>
        <w:t xml:space="preserve">This includes publishing research on quantum AI governance frameworks, participating in NIST and EU standardization processes, and building monitoring capabilities that will activate as quantum AI applications enter commercial deployment. The goal is to be the definitive compliance source when this market emerges.</w:t>
      </w:r>
    </w:p>
    <w:p>
      <w:pPr>
        <w:pStyle w:val="BodyText"/>
      </w:pPr>
      <w:r>
        <w:t xml:space="preserve">Revenue potential: $5–15 million by 2028, with transformative upside potential in the 2030+ timeframe as quantum AI becomes commercially significant.</w:t>
      </w:r>
    </w:p>
    <w:bookmarkEnd w:id="70"/>
    <w:bookmarkStart w:id="71" w:name="X314d642125958278df1abddd61c0c6284e3757f"/>
    <w:p>
      <w:pPr>
        <w:pStyle w:val="Heading4"/>
      </w:pPr>
      <w:r>
        <w:t xml:space="preserve">4.2.10 BCI / AV / Drones / Robotics / Biotech ($50+ Billion Combined, CSOAI Fit: 6/10, Action: SELECTIVE)</w:t>
      </w:r>
    </w:p>
    <w:p>
      <w:pPr>
        <w:pStyle w:val="FirstParagraph"/>
      </w:pPr>
      <w:r>
        <w:t xml:space="preserve">The final lane encompasses emerging technology domains that share a common pattern: high regulatory complexity, limited existing compliance infrastructure, and strong need for governance frameworks that don’t yet exist. Brain-computer interfaces (BCI), autonomous vehicles (AV), commercial drones, humanoid robotics, and AI-driven biotechnology each present distinct governance challenges that CSOAI could address.</w:t>
      </w:r>
    </w:p>
    <w:p>
      <w:pPr>
        <w:pStyle w:val="BodyText"/>
      </w:pPr>
      <w:r>
        <w:t xml:space="preserve">Rather than pursuing all five domains simultaneously, CSOAI’s selective approach involves partnership-based market exploration. CSOAI provides thought leadership, regulatory monitoring, and compliance infrastructure; domain-specific partners provide technical expertise, customer relationships, and industry credibility. Products in these lanes would launch in 2029–2030 as regulatory frameworks mature and market demand consolidates.</w:t>
      </w:r>
    </w:p>
    <w:p>
      <w:pPr>
        <w:pStyle w:val="BodyText"/>
      </w:pPr>
      <w:r>
        <w:t xml:space="preserve">Revenue potential: $100–300 million by 2030 across all five domains (excluded from 2028 targets due to selective, later entry).</w:t>
      </w:r>
    </w:p>
    <w:p>
      <w:pPr>
        <w:pStyle w:val="BodyText"/>
      </w:pPr>
      <w:r>
        <w:rPr>
          <w:bCs/>
          <w:b/>
        </w:rPr>
        <w:t xml:space="preserve">Table 2: The 10 Missed Lanes</w:t>
      </w:r>
    </w:p>
    <w:tbl>
      <w:tblPr>
        <w:tblStyle w:val="Table"/>
        <w:tblW w:type="pct" w:w="5000"/>
        <w:tblLook w:firstRow="1" w:lastRow="0" w:firstColumn="0" w:lastColumn="0" w:noHBand="0" w:noVBand="0" w:val="0020"/>
      </w:tblPr>
      <w:tblGrid>
        <w:gridCol w:w="586"/>
        <w:gridCol w:w="1173"/>
        <w:gridCol w:w="1075"/>
        <w:gridCol w:w="1662"/>
        <w:gridCol w:w="1368"/>
        <w:gridCol w:w="2053"/>
      </w:tblGrid>
      <w:tr>
        <w:trPr>
          <w:tblHeader w:val="true"/>
        </w:trPr>
        <w:tc>
          <w:tcPr/>
          <w:p>
            <w:pPr>
              <w:pStyle w:val="Compact"/>
              <w:jc w:val="left"/>
            </w:pPr>
            <w:r>
              <w:t xml:space="preserve">Lane</w:t>
            </w:r>
          </w:p>
        </w:tc>
        <w:tc>
          <w:tcPr/>
          <w:p>
            <w:pPr>
              <w:pStyle w:val="Compact"/>
              <w:jc w:val="left"/>
            </w:pPr>
            <w:r>
              <w:t xml:space="preserve">Market Size</w:t>
            </w:r>
          </w:p>
        </w:tc>
        <w:tc>
          <w:tcPr/>
          <w:p>
            <w:pPr>
              <w:pStyle w:val="Compact"/>
              <w:jc w:val="left"/>
            </w:pPr>
            <w:r>
              <w:t xml:space="preserve">CSOAI Fit</w:t>
            </w:r>
          </w:p>
        </w:tc>
        <w:tc>
          <w:tcPr/>
          <w:p>
            <w:pPr>
              <w:pStyle w:val="Compact"/>
              <w:jc w:val="left"/>
            </w:pPr>
            <w:r>
              <w:t xml:space="preserve">Action Timeline</w:t>
            </w:r>
          </w:p>
        </w:tc>
        <w:tc>
          <w:tcPr/>
          <w:p>
            <w:pPr>
              <w:pStyle w:val="Compact"/>
              <w:jc w:val="left"/>
            </w:pPr>
            <w:r>
              <w:t xml:space="preserve">Product Name</w:t>
            </w:r>
          </w:p>
        </w:tc>
        <w:tc>
          <w:tcPr/>
          <w:p>
            <w:pPr>
              <w:pStyle w:val="Compact"/>
              <w:jc w:val="left"/>
            </w:pPr>
            <w:r>
              <w:t xml:space="preserve">Revenue Target 2028</w:t>
            </w:r>
          </w:p>
        </w:tc>
      </w:tr>
      <w:tr>
        <w:tc>
          <w:tcPr/>
          <w:p>
            <w:pPr>
              <w:pStyle w:val="Compact"/>
              <w:jc w:val="left"/>
            </w:pPr>
            <w:r>
              <w:t xml:space="preserve">Insurance &amp; Risk</w:t>
            </w:r>
          </w:p>
        </w:tc>
        <w:tc>
          <w:tcPr/>
          <w:p>
            <w:pPr>
              <w:pStyle w:val="Compact"/>
              <w:jc w:val="left"/>
            </w:pPr>
            <w:r>
              <w:t xml:space="preserve">$24B</w:t>
            </w:r>
          </w:p>
        </w:tc>
        <w:tc>
          <w:tcPr/>
          <w:p>
            <w:pPr>
              <w:pStyle w:val="Compact"/>
              <w:jc w:val="left"/>
            </w:pPr>
            <w:r>
              <w:t xml:space="preserve">9/10</w:t>
            </w:r>
          </w:p>
        </w:tc>
        <w:tc>
          <w:tcPr/>
          <w:p>
            <w:pPr>
              <w:pStyle w:val="Compact"/>
              <w:jc w:val="left"/>
            </w:pPr>
            <w:r>
              <w:t xml:space="preserve">NOW</w:t>
            </w:r>
          </w:p>
        </w:tc>
        <w:tc>
          <w:tcPr/>
          <w:p>
            <w:pPr>
              <w:pStyle w:val="Compact"/>
              <w:jc w:val="left"/>
            </w:pPr>
            <w:r>
              <w:t xml:space="preserve">RiskScore API</w:t>
            </w:r>
          </w:p>
        </w:tc>
        <w:tc>
          <w:tcPr/>
          <w:p>
            <w:pPr>
              <w:pStyle w:val="Compact"/>
              <w:jc w:val="left"/>
            </w:pPr>
            <w:r>
              <w:t xml:space="preserve">$50–200M</w:t>
            </w:r>
          </w:p>
        </w:tc>
      </w:tr>
      <w:tr>
        <w:tc>
          <w:tcPr/>
          <w:p>
            <w:pPr>
              <w:pStyle w:val="Compact"/>
              <w:jc w:val="left"/>
            </w:pPr>
            <w:r>
              <w:t xml:space="preserve">Supply Chain Governance</w:t>
            </w:r>
          </w:p>
        </w:tc>
        <w:tc>
          <w:tcPr/>
          <w:p>
            <w:pPr>
              <w:pStyle w:val="Compact"/>
              <w:jc w:val="left"/>
            </w:pPr>
            <w:r>
              <w:t xml:space="preserve">$151B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SupplyHive</w:t>
            </w:r>
          </w:p>
        </w:tc>
        <w:tc>
          <w:tcPr/>
          <w:p>
            <w:pPr>
              <w:pStyle w:val="Compact"/>
              <w:jc w:val="left"/>
            </w:pPr>
            <w:r>
              <w:t xml:space="preserve">$40–100M</w:t>
            </w:r>
          </w:p>
        </w:tc>
      </w:tr>
      <w:tr>
        <w:tc>
          <w:tcPr/>
          <w:p>
            <w:pPr>
              <w:pStyle w:val="Compact"/>
              <w:jc w:val="left"/>
            </w:pPr>
            <w:r>
              <w:t xml:space="preserve">Cybersecurity &amp; Zero Trust</w:t>
            </w:r>
          </w:p>
        </w:tc>
        <w:tc>
          <w:tcPr/>
          <w:p>
            <w:pPr>
              <w:pStyle w:val="Compact"/>
              <w:jc w:val="left"/>
            </w:pPr>
            <w:r>
              <w:t xml:space="preserve">$54B</w:t>
            </w:r>
          </w:p>
        </w:tc>
        <w:tc>
          <w:tcPr/>
          <w:p>
            <w:pPr>
              <w:pStyle w:val="Compact"/>
              <w:jc w:val="left"/>
            </w:pPr>
            <w:r>
              <w:t xml:space="preserve">9/10</w:t>
            </w:r>
          </w:p>
        </w:tc>
        <w:tc>
          <w:tcPr/>
          <w:p>
            <w:pPr>
              <w:pStyle w:val="Compact"/>
              <w:jc w:val="left"/>
            </w:pPr>
            <w:r>
              <w:t xml:space="preserve">NOW</w:t>
            </w:r>
          </w:p>
        </w:tc>
        <w:tc>
          <w:tcPr/>
          <w:p>
            <w:pPr>
              <w:pStyle w:val="Compact"/>
              <w:jc w:val="left"/>
            </w:pPr>
            <w:r>
              <w:t xml:space="preserve">ZeroTrust Governance Mesh</w:t>
            </w:r>
          </w:p>
        </w:tc>
        <w:tc>
          <w:tcPr/>
          <w:p>
            <w:pPr>
              <w:pStyle w:val="Compact"/>
              <w:jc w:val="left"/>
            </w:pPr>
            <w:r>
              <w:t xml:space="preserve">$30–80M</w:t>
            </w:r>
          </w:p>
        </w:tc>
      </w:tr>
      <w:tr>
        <w:tc>
          <w:tcPr/>
          <w:p>
            <w:pPr>
              <w:pStyle w:val="Compact"/>
              <w:jc w:val="left"/>
            </w:pPr>
            <w:r>
              <w:t xml:space="preserve">Climate &amp; ESG AI</w:t>
            </w:r>
          </w:p>
        </w:tc>
        <w:tc>
          <w:tcPr/>
          <w:p>
            <w:pPr>
              <w:pStyle w:val="Compact"/>
              <w:jc w:val="left"/>
            </w:pPr>
            <w:r>
              <w:t xml:space="preserve">$85B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ESG Core</w:t>
            </w:r>
          </w:p>
        </w:tc>
        <w:tc>
          <w:tcPr/>
          <w:p>
            <w:pPr>
              <w:pStyle w:val="Compact"/>
              <w:jc w:val="left"/>
            </w:pPr>
            <w:r>
              <w:t xml:space="preserve">$25–60M</w:t>
            </w:r>
          </w:p>
        </w:tc>
      </w:tr>
      <w:tr>
        <w:tc>
          <w:tcPr/>
          <w:p>
            <w:pPr>
              <w:pStyle w:val="Compact"/>
              <w:jc w:val="left"/>
            </w:pPr>
            <w:r>
              <w:t xml:space="preserve">Healthcare AI</w:t>
            </w:r>
          </w:p>
        </w:tc>
        <w:tc>
          <w:tcPr/>
          <w:p>
            <w:pPr>
              <w:pStyle w:val="Compact"/>
              <w:jc w:val="left"/>
            </w:pPr>
            <w:r>
              <w:t xml:space="preserve">$5.9B</w:t>
            </w:r>
          </w:p>
        </w:tc>
        <w:tc>
          <w:tcPr/>
          <w:p>
            <w:pPr>
              <w:pStyle w:val="Compact"/>
              <w:jc w:val="left"/>
            </w:pPr>
            <w:r>
              <w:t xml:space="preserve">7/10</w:t>
            </w:r>
          </w:p>
        </w:tc>
        <w:tc>
          <w:tcPr/>
          <w:p>
            <w:pPr>
              <w:pStyle w:val="Compact"/>
              <w:jc w:val="left"/>
            </w:pPr>
            <w:r>
              <w:t xml:space="preserve">NOW</w:t>
            </w:r>
          </w:p>
        </w:tc>
        <w:tc>
          <w:tcPr/>
          <w:p>
            <w:pPr>
              <w:pStyle w:val="Compact"/>
              <w:jc w:val="left"/>
            </w:pPr>
            <w:r>
              <w:t xml:space="preserve">MedGov</w:t>
            </w:r>
          </w:p>
        </w:tc>
        <w:tc>
          <w:tcPr/>
          <w:p>
            <w:pPr>
              <w:pStyle w:val="Compact"/>
              <w:jc w:val="left"/>
            </w:pPr>
            <w:r>
              <w:t xml:space="preserve">$20–50M</w:t>
            </w:r>
          </w:p>
        </w:tc>
      </w:tr>
      <w:tr>
        <w:tc>
          <w:tcPr/>
          <w:p>
            <w:pPr>
              <w:pStyle w:val="Compact"/>
              <w:jc w:val="left"/>
            </w:pPr>
            <w:r>
              <w:t xml:space="preserve">Legal Tech</w:t>
            </w:r>
          </w:p>
        </w:tc>
        <w:tc>
          <w:tcPr/>
          <w:p>
            <w:pPr>
              <w:pStyle w:val="Compact"/>
              <w:jc w:val="left"/>
            </w:pPr>
            <w:r>
              <w:t xml:space="preserve">$7.7B</w:t>
            </w:r>
          </w:p>
        </w:tc>
        <w:tc>
          <w:tcPr/>
          <w:p>
            <w:pPr>
              <w:pStyle w:val="Compact"/>
              <w:jc w:val="left"/>
            </w:pPr>
            <w:r>
              <w:t xml:space="preserve">8/10</w:t>
            </w:r>
          </w:p>
        </w:tc>
        <w:tc>
          <w:tcPr/>
          <w:p>
            <w:pPr>
              <w:pStyle w:val="Compact"/>
              <w:jc w:val="left"/>
            </w:pPr>
            <w:r>
              <w:t xml:space="preserve">NOW</w:t>
            </w:r>
          </w:p>
        </w:tc>
        <w:tc>
          <w:tcPr/>
          <w:p>
            <w:pPr>
              <w:pStyle w:val="Compact"/>
              <w:jc w:val="left"/>
            </w:pPr>
            <w:r>
              <w:t xml:space="preserve">LawGov</w:t>
            </w:r>
          </w:p>
        </w:tc>
        <w:tc>
          <w:tcPr/>
          <w:p>
            <w:pPr>
              <w:pStyle w:val="Compact"/>
              <w:jc w:val="left"/>
            </w:pPr>
            <w:r>
              <w:t xml:space="preserve">$30–70M</w:t>
            </w:r>
          </w:p>
        </w:tc>
      </w:tr>
      <w:tr>
        <w:tc>
          <w:tcPr/>
          <w:p>
            <w:pPr>
              <w:pStyle w:val="Compact"/>
              <w:jc w:val="left"/>
            </w:pPr>
            <w:r>
              <w:t xml:space="preserve">Defense &amp; Military AI</w:t>
            </w:r>
          </w:p>
        </w:tc>
        <w:tc>
          <w:tcPr/>
          <w:p>
            <w:pPr>
              <w:pStyle w:val="Compact"/>
              <w:jc w:val="left"/>
            </w:pPr>
            <w:r>
              <w:t xml:space="preserve">$101B</w:t>
            </w:r>
          </w:p>
        </w:tc>
        <w:tc>
          <w:tcPr/>
          <w:p>
            <w:pPr>
              <w:pStyle w:val="Compact"/>
              <w:jc w:val="left"/>
            </w:pPr>
            <w:r>
              <w:t xml:space="preserve">6/10</w:t>
            </w:r>
          </w:p>
        </w:tc>
        <w:tc>
          <w:tcPr/>
          <w:p>
            <w:pPr>
              <w:pStyle w:val="Compact"/>
              <w:jc w:val="left"/>
            </w:pPr>
            <w:r>
              <w:t xml:space="preserve">LATER (2027)</w:t>
            </w:r>
          </w:p>
        </w:tc>
        <w:tc>
          <w:tcPr/>
          <w:p>
            <w:pPr>
              <w:pStyle w:val="Compact"/>
              <w:jc w:val="left"/>
            </w:pPr>
            <w:r>
              <w:t xml:space="preserve">Partner-based</w:t>
            </w:r>
          </w:p>
        </w:tc>
        <w:tc>
          <w:tcPr/>
          <w:p>
            <w:pPr>
              <w:pStyle w:val="Compact"/>
              <w:jc w:val="left"/>
            </w:pPr>
            <w:r>
              <w:t xml:space="preserve">N/A (2030: $50–150M)</w:t>
            </w:r>
          </w:p>
        </w:tc>
      </w:tr>
      <w:tr>
        <w:tc>
          <w:tcPr/>
          <w:p>
            <w:pPr>
              <w:pStyle w:val="Compact"/>
              <w:jc w:val="left"/>
            </w:pPr>
            <w:r>
              <w:t xml:space="preserve">Education AI</w:t>
            </w:r>
          </w:p>
        </w:tc>
        <w:tc>
          <w:tcPr/>
          <w:p>
            <w:pPr>
              <w:pStyle w:val="Compact"/>
              <w:jc w:val="left"/>
            </w:pPr>
            <w:r>
              <w:t xml:space="preserve">$4.2B</w:t>
            </w:r>
          </w:p>
        </w:tc>
        <w:tc>
          <w:tcPr/>
          <w:p>
            <w:pPr>
              <w:pStyle w:val="Compact"/>
              <w:jc w:val="left"/>
            </w:pPr>
            <w:r>
              <w:t xml:space="preserve">7/10</w:t>
            </w:r>
          </w:p>
        </w:tc>
        <w:tc>
          <w:tcPr/>
          <w:p>
            <w:pPr>
              <w:pStyle w:val="Compact"/>
              <w:jc w:val="left"/>
            </w:pPr>
            <w:r>
              <w:t xml:space="preserve">LATER (2028)</w:t>
            </w:r>
          </w:p>
        </w:tc>
        <w:tc>
          <w:tcPr/>
          <w:p>
            <w:pPr>
              <w:pStyle w:val="Compact"/>
              <w:jc w:val="left"/>
            </w:pPr>
            <w:r>
              <w:t xml:space="preserve">TBD</w:t>
            </w:r>
          </w:p>
        </w:tc>
        <w:tc>
          <w:tcPr/>
          <w:p>
            <w:pPr>
              <w:pStyle w:val="Compact"/>
              <w:jc w:val="left"/>
            </w:pPr>
            <w:r>
              <w:t xml:space="preserve">$10–25M</w:t>
            </w:r>
          </w:p>
        </w:tc>
      </w:tr>
      <w:tr>
        <w:tc>
          <w:tcPr/>
          <w:p>
            <w:pPr>
              <w:pStyle w:val="Compact"/>
              <w:jc w:val="left"/>
            </w:pPr>
            <w:r>
              <w:t xml:space="preserve">Quantum AI</w:t>
            </w:r>
          </w:p>
        </w:tc>
        <w:tc>
          <w:tcPr/>
          <w:p>
            <w:pPr>
              <w:pStyle w:val="Compact"/>
              <w:jc w:val="left"/>
            </w:pPr>
            <w:r>
              <w:t xml:space="preserve">Emerging</w:t>
            </w:r>
          </w:p>
        </w:tc>
        <w:tc>
          <w:tcPr/>
          <w:p>
            <w:pPr>
              <w:pStyle w:val="Compact"/>
              <w:jc w:val="left"/>
            </w:pPr>
            <w:r>
              <w:t xml:space="preserve">5/10</w:t>
            </w:r>
          </w:p>
        </w:tc>
        <w:tc>
          <w:tcPr/>
          <w:p>
            <w:pPr>
              <w:pStyle w:val="Compact"/>
              <w:jc w:val="left"/>
            </w:pPr>
            <w:r>
              <w:t xml:space="preserve">LATER (2028)</w:t>
            </w:r>
          </w:p>
        </w:tc>
        <w:tc>
          <w:tcPr/>
          <w:p>
            <w:pPr>
              <w:pStyle w:val="Compact"/>
              <w:jc w:val="left"/>
            </w:pPr>
            <w:r>
              <w:t xml:space="preserve">TBD</w:t>
            </w:r>
          </w:p>
        </w:tc>
        <w:tc>
          <w:tcPr/>
          <w:p>
            <w:pPr>
              <w:pStyle w:val="Compact"/>
              <w:jc w:val="left"/>
            </w:pPr>
            <w:r>
              <w:t xml:space="preserve">$5–15M</w:t>
            </w:r>
          </w:p>
        </w:tc>
      </w:tr>
      <w:tr>
        <w:tc>
          <w:tcPr/>
          <w:p>
            <w:pPr>
              <w:pStyle w:val="Compact"/>
              <w:jc w:val="left"/>
            </w:pPr>
            <w:r>
              <w:t xml:space="preserve">BCI / AV / Drones / Robotics / Biotech</w:t>
            </w:r>
          </w:p>
        </w:tc>
        <w:tc>
          <w:tcPr/>
          <w:p>
            <w:pPr>
              <w:pStyle w:val="Compact"/>
              <w:jc w:val="left"/>
            </w:pPr>
            <w:r>
              <w:t xml:space="preserve">$50B+ combined</w:t>
            </w:r>
          </w:p>
        </w:tc>
        <w:tc>
          <w:tcPr/>
          <w:p>
            <w:pPr>
              <w:pStyle w:val="Compact"/>
              <w:jc w:val="left"/>
            </w:pPr>
            <w:r>
              <w:t xml:space="preserve">6/10</w:t>
            </w:r>
          </w:p>
        </w:tc>
        <w:tc>
          <w:tcPr/>
          <w:p>
            <w:pPr>
              <w:pStyle w:val="Compact"/>
              <w:jc w:val="left"/>
            </w:pPr>
            <w:r>
              <w:t xml:space="preserve">SELECTIVE (2029–2030)</w:t>
            </w:r>
          </w:p>
        </w:tc>
        <w:tc>
          <w:tcPr/>
          <w:p>
            <w:pPr>
              <w:pStyle w:val="Compact"/>
              <w:jc w:val="left"/>
            </w:pPr>
            <w:r>
              <w:t xml:space="preserve">Partner-based</w:t>
            </w:r>
          </w:p>
        </w:tc>
        <w:tc>
          <w:tcPr/>
          <w:p>
            <w:pPr>
              <w:pStyle w:val="Compact"/>
              <w:jc w:val="left"/>
            </w:pPr>
            <w:r>
              <w:t xml:space="preserve">N/A (2030: $100–300M)</w:t>
            </w:r>
          </w:p>
        </w:tc>
      </w:tr>
    </w:tbl>
    <w:p>
      <w:pPr>
        <w:pStyle w:val="BodyText"/>
      </w:pPr>
      <w:r>
        <w:t xml:space="preserve">The combined revenue potential from the seven</w:t>
      </w:r>
      <w:r>
        <w:t xml:space="preserve"> </w:t>
      </w:r>
      <w:r>
        <w:t xml:space="preserve">“</w:t>
      </w:r>
      <w:r>
        <w:t xml:space="preserve">Action: NOW</w:t>
      </w:r>
      <w:r>
        <w:t xml:space="preserve">”</w:t>
      </w:r>
      <w:r>
        <w:t xml:space="preserve"> </w:t>
      </w:r>
      <w:r>
        <w:t xml:space="preserve">lanes alone ranges from $195 million to $580 million by 2028. Adding the</w:t>
      </w:r>
      <w:r>
        <w:t xml:space="preserve"> </w:t>
      </w:r>
      <w:r>
        <w:t xml:space="preserve">“</w:t>
      </w:r>
      <w:r>
        <w:t xml:space="preserve">Action: LATER</w:t>
      </w:r>
      <w:r>
        <w:t xml:space="preserve">”</w:t>
      </w:r>
      <w:r>
        <w:t xml:space="preserve"> </w:t>
      </w:r>
      <w:r>
        <w:t xml:space="preserve">and</w:t>
      </w:r>
      <w:r>
        <w:t xml:space="preserve"> </w:t>
      </w:r>
      <w:r>
        <w:t xml:space="preserve">“</w:t>
      </w:r>
      <w:r>
        <w:t xml:space="preserve">SELECTIVE</w:t>
      </w:r>
      <w:r>
        <w:t xml:space="preserve">”</w:t>
      </w:r>
      <w:r>
        <w:t xml:space="preserve"> </w:t>
      </w:r>
      <w:r>
        <w:t xml:space="preserve">lanes extends the 2028 range to $360–710 million, with substantial additional upside in the 2030 horizon. These figures are not speculative—they are grounded in the market sizing data, validated product concepts, and realistic market share assumptions of 0.1% to 0.5% for a category-defining platform entering greenfield markets.</w:t>
      </w:r>
    </w:p>
    <w:p>
      <w:pPr>
        <w:pStyle w:val="BodyText"/>
      </w:pPr>
      <w:r>
        <w:t xml:space="preserve">The strategic imperative is clear: execute the NOW lanes in parallel while building positioning and partnerships for the LATER and SELECTIVE lanes. The data licensing infrastructure described in Section 4.1 provides the foundation for all ten lanes—the same API architecture, licensing models, and distribution channels serve Insurance &amp; Risk and Healthcare AI and Legal Tech. CSOAI’s horizontal compliance data asset compounds in value with every lane entered, every framework added, and every customer acquired.</w:t>
      </w:r>
    </w:p>
    <w:p>
      <w:r>
        <w:pict>
          <v:rect style="width:0;height:1.5pt" o:hralign="center" o:hrstd="t" o:hr="t"/>
        </w:pict>
      </w:r>
    </w:p>
    <w:bookmarkEnd w:id="71"/>
    <w:bookmarkEnd w:id="72"/>
    <w:bookmarkEnd w:id="73"/>
    <w:bookmarkEnd w:id="74"/>
    <w:bookmarkStart w:id="103" w:name="Xd3f5f206e5dae921f2ee3fdaea0214201e9aaaf"/>
    <w:p>
      <w:pPr>
        <w:pStyle w:val="Heading1"/>
      </w:pPr>
      <w:r>
        <w:t xml:space="preserve">Section 5: The Complete Roadmap — From Now to the Governance OS</w:t>
      </w:r>
    </w:p>
    <w:bookmarkStart w:id="75" w:name="X728ed51d9d70eacb538985c41a9d1530b1425cb"/>
    <w:p>
      <w:pPr>
        <w:pStyle w:val="Heading2"/>
      </w:pPr>
      <w:r>
        <w:t xml:space="preserve">Introduction: The Architecture of Inevitability</w:t>
      </w:r>
    </w:p>
    <w:p>
      <w:pPr>
        <w:pStyle w:val="FirstParagraph"/>
      </w:pPr>
      <w:r>
        <w:t xml:space="preserve">Everything in this document — the Earth Foundation, the Space Hive, the Digital Tokenization layer, the Data Licensing engine, and the ten missed lanes — converges on a single trajectory. This is not a product roadmap in the conventional sense. It is a governance operating system boot sequence, designed to execute in four distinct phases, each building irreversible momentum into the next.</w:t>
      </w:r>
    </w:p>
    <w:p>
      <w:pPr>
        <w:pStyle w:val="BodyText"/>
      </w:pPr>
      <w:r>
        <w:t xml:space="preserve">The logic is simple: own compliance intelligence at the infrastructure layer, and every derivative market — insurance, supply chain, cybersecurity, ESG, healthcare, legal, space, and AI governance — becomes a natural extension of your data moat. The entity that controls the governance substrate upon which other systems depend does not compete in those markets. It</w:t>
      </w:r>
      <w:r>
        <w:t xml:space="preserve"> </w:t>
      </w:r>
      <w:r>
        <w:rPr>
          <w:iCs/>
          <w:i/>
        </w:rPr>
        <w:t xml:space="preserve">enables</w:t>
      </w:r>
      <w:r>
        <w:t xml:space="preserve"> </w:t>
      </w:r>
      <w:r>
        <w:t xml:space="preserve">them, taxes them, and ultimately defines their operating parameters.</w:t>
      </w:r>
    </w:p>
    <w:p>
      <w:pPr>
        <w:pStyle w:val="BodyText"/>
      </w:pPr>
      <w:r>
        <w:t xml:space="preserve">This section maps the complete 36-month execution path from a single-engineer prototype to a $2–5 billion governance infrastructure monopoly. It includes specific sprints, revenue milestones, partnership targets, and entity counts. The numbers are aggressive but grounded in the unit economics and market dynamics established throughout this document.</w:t>
      </w:r>
    </w:p>
    <w:p>
      <w:pPr>
        <w:pStyle w:val="BodyText"/>
      </w:pPr>
      <w:r>
        <w:t xml:space="preserve">Every phase has a codename. Every sprint has a single metric of success. Every revenue target is tied to a specific product launch. The table at the end distills the entire roadmap into one reference frame.</w:t>
      </w:r>
    </w:p>
    <w:p>
      <w:r>
        <w:pict>
          <v:rect style="width:0;height:1.5pt" o:hralign="center" o:hrstd="t" o:hr="t"/>
        </w:pict>
      </w:r>
    </w:p>
    <w:bookmarkEnd w:id="75"/>
    <w:bookmarkStart w:id="79" w:name="X81aefe4c1c961d86f2014f5e71a10cc86aecb74"/>
    <w:p>
      <w:pPr>
        <w:pStyle w:val="Heading2"/>
      </w:pPr>
      <w:r>
        <w:t xml:space="preserve">5.1 Phase 1: Earth Foundation (Days 0–90) —</w:t>
      </w:r>
      <w:r>
        <w:t xml:space="preserve"> </w:t>
      </w:r>
      <w:r>
        <w:t xml:space="preserve">“</w:t>
      </w:r>
      <w:r>
        <w:t xml:space="preserve">Eat the Banks</w:t>
      </w:r>
      <w:r>
        <w:t xml:space="preserve">”</w:t>
      </w:r>
    </w:p>
    <w:p>
      <w:pPr>
        <w:pStyle w:val="FirstParagraph"/>
      </w:pPr>
      <w:r>
        <w:t xml:space="preserve">The first ninety days are about proving the core hypothesis: that compliance intelligence can be automated at planetary scale, that the data moat compounds faster than incumbents can react, and that a single small team can out-execute billion-dollar GRC vendors by focusing exclusively on what their customers actually need — not what their 201-era product architectures can deliver.</w:t>
      </w:r>
    </w:p>
    <w:p>
      <w:pPr>
        <w:pStyle w:val="BodyText"/>
      </w:pPr>
      <w:r>
        <w:t xml:space="preserve">This phase has one objective: build the Earth Foundation so robust that no regulator, no bank, and no competitor can ignore it. The strategy is to crawl first, then crawl faster, then offer the crawl data to the very institutions that should have built this themselves.</w:t>
      </w:r>
    </w:p>
    <w:bookmarkStart w:id="76" w:name="sprint-1-days-030-spawn-the-machine"/>
    <w:p>
      <w:pPr>
        <w:pStyle w:val="Heading3"/>
      </w:pPr>
      <w:r>
        <w:t xml:space="preserve">5.1.1 Sprint 1 (Days 0–30): Spawn the Machine</w:t>
      </w:r>
    </w:p>
    <w:p>
      <w:pPr>
        <w:pStyle w:val="FirstParagraph"/>
      </w:pPr>
      <w:r>
        <w:t xml:space="preserve">The first thirty days are pure infrastructure construction. The GRCIN EU crawler — the core intelligence engine described in Section 2 — goes live. It begins systematic enumeration of the European financial system: 22,000+ financial entities across banks, insurers, asset managers, payment institutions, and crypto-asset service providers. Every entity gets a profile. Every profile gets a compliance score. Every score gets a history.</w:t>
      </w:r>
    </w:p>
    <w:p>
      <w:pPr>
        <w:pStyle w:val="BodyText"/>
      </w:pPr>
      <w:r>
        <w:t xml:space="preserve">The single most important deliverable in this sprint is the</w:t>
      </w:r>
      <w:r>
        <w:t xml:space="preserve"> </w:t>
      </w:r>
      <w:r>
        <w:rPr>
          <w:bCs/>
          <w:b/>
        </w:rPr>
        <w:t xml:space="preserve">Register of Information xBRL-CSV exporter</w:t>
      </w:r>
      <w:r>
        <w:t xml:space="preserve">. This is the number one pain point for every DORA-regulated entity in Europe. The ECB, EBA, and national competent authorities are demanding xBRL-CSV format for regulatory reporting. Every major bank is scrambling to build or buy this capability. CSOAI ships it first, ships it free for crawler subscribers, and makes it so good that compliance officers forward it to their counterparts at other banks.</w:t>
      </w:r>
    </w:p>
    <w:p>
      <w:pPr>
        <w:pStyle w:val="BodyText"/>
      </w:pPr>
      <w:r>
        <w:t xml:space="preserve">In parallel, six DORA quick-win modules deploy: ICT risk assessment templates, incident classification wizard, resilience testing scheduler, third-party risk register, contractual harmonization checker, and the basic threat intelligence feed. These are not full products. They are entry points. Each one demonstrates capability. Each one generates a data point. Each one tightens the grip on the entity’s compliance profile.</w:t>
      </w:r>
    </w:p>
    <w:p>
      <w:pPr>
        <w:pStyle w:val="BodyText"/>
      </w:pPr>
      <w:r>
        <w:t xml:space="preserve">The partnership motion begins immediately. IBM Partner Plus and OneTrust Partner Program applications are submitted in week one. These are not speculative. IBM needs European compliance data to sell Watson Governance solutions. OneTrust needs automated DORA scoring to complement their manual assessment tooling. The pitch is simple:</w:t>
      </w:r>
      <w:r>
        <w:t xml:space="preserve"> </w:t>
      </w:r>
      <w:r>
        <w:t xml:space="preserve">“</w:t>
      </w:r>
      <w:r>
        <w:t xml:space="preserve">We have the data. You have the customers. Let’s split the market.</w:t>
      </w:r>
      <w:r>
        <w:t xml:space="preserve">”</w:t>
      </w:r>
    </w:p>
    <w:p>
      <w:pPr>
        <w:pStyle w:val="BodyText"/>
      </w:pPr>
      <w:r>
        <w:rPr>
          <w:bCs/>
          <w:b/>
        </w:rPr>
        <w:t xml:space="preserve">Revenue target: Pre-revenue.</w:t>
      </w:r>
      <w:r>
        <w:t xml:space="preserve"> </w:t>
      </w:r>
      <w:r>
        <w:rPr>
          <w:bCs/>
          <w:b/>
        </w:rPr>
        <w:t xml:space="preserve">Success metric: 5,000 companies scored and profiled in GRCIN.</w:t>
      </w:r>
    </w:p>
    <w:bookmarkEnd w:id="76"/>
    <w:bookmarkStart w:id="77" w:name="sprint-2-days-3060-activate-the-engine"/>
    <w:p>
      <w:pPr>
        <w:pStyle w:val="Heading3"/>
      </w:pPr>
      <w:r>
        <w:t xml:space="preserve">5.1.2 Sprint 2 (Days 30–60): Activate the Engine</w:t>
      </w:r>
    </w:p>
    <w:p>
      <w:pPr>
        <w:pStyle w:val="FirstParagraph"/>
      </w:pPr>
      <w:r>
        <w:t xml:space="preserve">With 5,000 entities profiled, the second sprint activates the engagement layer. The</w:t>
      </w:r>
      <w:r>
        <w:t xml:space="preserve"> </w:t>
      </w:r>
      <w:r>
        <w:rPr>
          <w:bCs/>
          <w:b/>
        </w:rPr>
        <w:t xml:space="preserve">BFT assessment engine</w:t>
      </w:r>
      <w:r>
        <w:t xml:space="preserve"> </w:t>
      </w:r>
      <w:r>
        <w:t xml:space="preserve">— the Bayesian Fault Tree system described in Section 3 — deploys across all profiles. This transforms static compliance scores into dynamic risk projections. A bank does not just see where it stands today. It sees where it will stand in ninety days if current trends continue.</w:t>
      </w:r>
    </w:p>
    <w:p>
      <w:pPr>
        <w:pStyle w:val="BodyText"/>
      </w:pPr>
      <w:r>
        <w:t xml:space="preserve">The proactive outreach system launches. This is the T-90/60/30/14/7 trigger engine: automated compliance alerts that escalate in intensity as regulatory deadlines approach. A bank with a DORA audit in ninety days receives a light notification. At sixty days, a detailed gap analysis. At thirty days, a remediation roadmap. At fourteen days, an urgent alert with regulatory citation. At seven days, a direct outreach from CSOAI offering immediate Concierge support.</w:t>
      </w:r>
    </w:p>
    <w:p>
      <w:pPr>
        <w:pStyle w:val="BodyText"/>
      </w:pPr>
      <w:r>
        <w:t xml:space="preserve">This trigger system serves two purposes. First, it drives conversion to paid products. Second, it trains the machine learning models on which alert timing produces which customer behaviors. The data feedback loop begins here.</w:t>
      </w:r>
    </w:p>
    <w:p>
      <w:pPr>
        <w:pStyle w:val="BodyText"/>
      </w:pPr>
      <w:r>
        <w:t xml:space="preserve">The</w:t>
      </w:r>
      <w:r>
        <w:t xml:space="preserve"> </w:t>
      </w:r>
      <w:r>
        <w:rPr>
          <w:bCs/>
          <w:b/>
        </w:rPr>
        <w:t xml:space="preserve">regulator dashboard</w:t>
      </w:r>
      <w:r>
        <w:t xml:space="preserve"> </w:t>
      </w:r>
      <w:r>
        <w:t xml:space="preserve">for BaFin and EBA enters private beta. This is offered free to national competent authorities under a research partnership agreement. The pitch to regulators:</w:t>
      </w:r>
      <w:r>
        <w:t xml:space="preserve"> </w:t>
      </w:r>
      <w:r>
        <w:t xml:space="preserve">“</w:t>
      </w:r>
      <w:r>
        <w:t xml:space="preserve">See your entire supervised population in real time. Spot outliers. Identify emerging risks. Download any assessment in standard format.</w:t>
      </w:r>
      <w:r>
        <w:t xml:space="preserve">”</w:t>
      </w:r>
      <w:r>
        <w:t xml:space="preserve"> </w:t>
      </w:r>
      <w:r>
        <w:t xml:space="preserve">The goal is not revenue from regulators. The goal is regulatory dependency. Once BaFin analysts use CSOAI intelligence in their daily workflow, CSOAI becomes part of the supervisory infrastructure.</w:t>
      </w:r>
    </w:p>
    <w:p>
      <w:pPr>
        <w:pStyle w:val="BodyText"/>
      </w:pPr>
      <w:r>
        <w:t xml:space="preserve">The</w:t>
      </w:r>
      <w:r>
        <w:t xml:space="preserve"> </w:t>
      </w:r>
      <w:r>
        <w:rPr>
          <w:bCs/>
          <w:b/>
        </w:rPr>
        <w:t xml:space="preserve">Daily Intel Brief</w:t>
      </w:r>
      <w:r>
        <w:t xml:space="preserve"> </w:t>
      </w:r>
      <w:r>
        <w:t xml:space="preserve">for compliance officers launches — a morning newsletter summarizing every regulatory development, enforcement action, and emerging risk relevant to each subscriber’s entity profile. This becomes the most-read email in European compliance departments within sixty days.</w:t>
      </w:r>
    </w:p>
    <w:p>
      <w:pPr>
        <w:pStyle w:val="BodyText"/>
      </w:pPr>
      <w:r>
        <w:rPr>
          <w:bCs/>
          <w:b/>
        </w:rPr>
        <w:t xml:space="preserve">Revenue target: EUR 50,000–100,000 MRR.</w:t>
      </w:r>
      <w:r>
        <w:t xml:space="preserve"> </w:t>
      </w:r>
      <w:r>
        <w:rPr>
          <w:bCs/>
          <w:b/>
        </w:rPr>
        <w:t xml:space="preserve">Success metric: 1,000 companies actively engaged (logged in, data exported, or alert acted upon).</w:t>
      </w:r>
    </w:p>
    <w:bookmarkEnd w:id="77"/>
    <w:bookmarkStart w:id="78" w:name="sprint-3-days-6090-close-the-loop"/>
    <w:p>
      <w:pPr>
        <w:pStyle w:val="Heading3"/>
      </w:pPr>
      <w:r>
        <w:t xml:space="preserve">5.1.3 Sprint 3 (Days 60–90): Close the Loop</w:t>
      </w:r>
    </w:p>
    <w:p>
      <w:pPr>
        <w:pStyle w:val="FirstParagraph"/>
      </w:pPr>
      <w:r>
        <w:t xml:space="preserve">The third sprint is about conversion and expansion. The regulator intelligence product is delivered to BaFin formally — a white-glove deployment, fully free, with dedicated support. The objective is a public reference: BaFin using CSOAI data for supervisory purposes. This is the credibility inflection point.</w:t>
      </w:r>
    </w:p>
    <w:p>
      <w:pPr>
        <w:pStyle w:val="BodyText"/>
      </w:pPr>
      <w:r>
        <w:t xml:space="preserve">The</w:t>
      </w:r>
      <w:r>
        <w:t xml:space="preserve"> </w:t>
      </w:r>
      <w:r>
        <w:rPr>
          <w:bCs/>
          <w:b/>
        </w:rPr>
        <w:t xml:space="preserve">Compliance Concierge</w:t>
      </w:r>
      <w:r>
        <w:t xml:space="preserve"> </w:t>
      </w:r>
      <w:r>
        <w:t xml:space="preserve">pilots with ten G-SIBs (Global Systemically Important Banks). This is the premium white-glove service: dedicated analyst support, custom report generation, direct access to CSOAI’s regulatory intelligence team, and priority feature development. Pricing starts at EUR 10,000 per month. The pilot terms are simple: three months at 50% discount, then full price, cancel anytime. The goal is not just revenue. It is testimonials from named institutions.</w:t>
      </w:r>
    </w:p>
    <w:p>
      <w:pPr>
        <w:pStyle w:val="BodyText"/>
      </w:pPr>
      <w:r>
        <w:t xml:space="preserve">Framework expansion begins: NIS2 (Network and Information Security Directive 2) and the EU AI Act are added as new compliance modules within GRCIN. Every entity already profiled for DORA now gets automatic NIS2 and AI Act scores, creating instant cross-selling opportunity without additional customer acquisition cost.</w:t>
      </w:r>
    </w:p>
    <w:p>
      <w:pPr>
        <w:pStyle w:val="BodyText"/>
      </w:pPr>
      <w:r>
        <w:t xml:space="preserve">The first token product launches: the</w:t>
      </w:r>
      <w:r>
        <w:t xml:space="preserve"> </w:t>
      </w:r>
      <w:r>
        <w:rPr>
          <w:bCs/>
          <w:b/>
        </w:rPr>
        <w:t xml:space="preserve">Compliance Score SBT</w:t>
      </w:r>
      <w:r>
        <w:t xml:space="preserve"> </w:t>
      </w:r>
      <w:r>
        <w:t xml:space="preserve">(Soulbound Token) on Base, Coinbase’s Layer 2 network. This is a non-transferable token that represents an entity’s current compliance score on-chain. It is not a speculative asset. It is a credential — a cryptographic attestation that this entity, at this address, has this compliance status as verified by CSOAI’s off-chain intelligence layer. The launch is deliberately modest: free minting for the first 1,000 entities, with the token serving as both proof-of-concept and on-ramp to the broader Digital Hive ecosystem.</w:t>
      </w:r>
    </w:p>
    <w:p>
      <w:pPr>
        <w:pStyle w:val="BodyText"/>
      </w:pPr>
      <w:r>
        <w:rPr>
          <w:bCs/>
          <w:b/>
        </w:rPr>
        <w:t xml:space="preserve">Revenue target: EUR 100,000–250,000 MRR.</w:t>
      </w:r>
      <w:r>
        <w:t xml:space="preserve"> </w:t>
      </w:r>
      <w:r>
        <w:rPr>
          <w:bCs/>
          <w:b/>
        </w:rPr>
        <w:t xml:space="preserve">Success metric: 50 paying companies (Concierge, premium API access, or data licensing).</w:t>
      </w:r>
    </w:p>
    <w:p>
      <w:r>
        <w:pict>
          <v:rect style="width:0;height:1.5pt" o:hralign="center" o:hrstd="t" o:hr="t"/>
        </w:pict>
      </w:r>
    </w:p>
    <w:bookmarkEnd w:id="78"/>
    <w:bookmarkEnd w:id="79"/>
    <w:bookmarkStart w:id="84" w:name="Xc480cb249d1128a60c1920e6f59f6b3d0b5a93b"/>
    <w:p>
      <w:pPr>
        <w:pStyle w:val="Heading2"/>
      </w:pPr>
      <w:r>
        <w:t xml:space="preserve">5.2 Phase 2: Space &amp; Digital (Days 90–180) —</w:t>
      </w:r>
      <w:r>
        <w:t xml:space="preserve"> </w:t>
      </w:r>
      <w:r>
        <w:t xml:space="preserve">“</w:t>
      </w:r>
      <w:r>
        <w:t xml:space="preserve">Go to Space</w:t>
      </w:r>
      <w:r>
        <w:t xml:space="preserve">”</w:t>
      </w:r>
    </w:p>
    <w:p>
      <w:pPr>
        <w:pStyle w:val="FirstParagraph"/>
      </w:pPr>
      <w:r>
        <w:t xml:space="preserve">With the Earth Foundation generating recurring revenue and the data moat compounding daily, Phase 2 executes the two parallel expansions that transform CSOAI from a European compliance tool into a multi-planetary governance infrastructure: the Space Hive and the Digital Tokenization layer.</w:t>
      </w:r>
    </w:p>
    <w:p>
      <w:pPr>
        <w:pStyle w:val="BodyText"/>
      </w:pPr>
      <w:r>
        <w:t xml:space="preserve">The strategic logic is timing. Space governance is currently undefended territory. No incumbent has a space compliance product. No startup has a space governance AI. By establishing CSOAI as the first mover in orbital AI governance, the company captures the narrative before the market exists — then owns the market as it emerges.</w:t>
      </w:r>
    </w:p>
    <w:p>
      <w:pPr>
        <w:pStyle w:val="BodyText"/>
      </w:pPr>
      <w:r>
        <w:t xml:space="preserve">Simultaneously, the Digital Hive transforms compliance data into programmable assets: tokenized scores, attestation marketplaces, per-query payment rails, and data licensing agreements. This is where CSOAI stops being a SaaS company and starts being an infrastructure protocol.</w:t>
      </w:r>
    </w:p>
    <w:bookmarkStart w:id="80" w:name="space-hive-launch-orbitalmind"/>
    <w:p>
      <w:pPr>
        <w:pStyle w:val="Heading3"/>
      </w:pPr>
      <w:r>
        <w:t xml:space="preserve">5.2.1 Space Hive Launch: OrbitalMind</w:t>
      </w:r>
    </w:p>
    <w:p>
      <w:pPr>
        <w:pStyle w:val="FirstParagraph"/>
      </w:pPr>
      <w:r>
        <w:rPr>
          <w:bCs/>
          <w:b/>
        </w:rPr>
        <w:t xml:space="preserve">OrbitalMind</w:t>
      </w:r>
      <w:r>
        <w:t xml:space="preserve"> </w:t>
      </w:r>
      <w:r>
        <w:t xml:space="preserve">deploys as the first AI governance dashboard for satellite operations. It connects to three primary data sources: Space-Track.org (U.S. Space Force’s public orbital catalog), NASA Open Data (mission parameters, risk assessments, operational status), and NOAA SWPC (space weather forecasts that directly impact satellite resilience).</w:t>
      </w:r>
    </w:p>
    <w:p>
      <w:pPr>
        <w:pStyle w:val="BodyText"/>
      </w:pPr>
      <w:r>
        <w:t xml:space="preserve">The first 1,000 satellite agents spawn. Each agent monitors one operational satellite: its orbital parameters, its operational status, its compliance with orbital debris mitigation guidelines, its exposure to space weather events, and its adherence to emerging AI governance standards for autonomous spacecraft systems. These agents do not just monitor. They predict. They flag collision risks before conjunction data messages arrive. They identify anomalous maneuvers. They assess compliance with the emerging OECD space governance principles.</w:t>
      </w:r>
    </w:p>
    <w:p>
      <w:pPr>
        <w:pStyle w:val="BodyText"/>
      </w:pPr>
      <w:r>
        <w:t xml:space="preserve">The whitepaper publishes:</w:t>
      </w:r>
      <w:r>
        <w:t xml:space="preserve"> </w:t>
      </w:r>
      <w:r>
        <w:rPr>
          <w:bCs/>
          <w:b/>
        </w:rPr>
        <w:t xml:space="preserve">“</w:t>
      </w:r>
      <w:r>
        <w:rPr>
          <w:bCs/>
          <w:b/>
        </w:rPr>
        <w:t xml:space="preserve">CSOAI ArtemisGuard: The First AI Governance Framework for Lunar Missions.</w:t>
      </w:r>
      <w:r>
        <w:rPr>
          <w:bCs/>
          <w:b/>
        </w:rPr>
        <w:t xml:space="preserve">”</w:t>
      </w:r>
      <w:r>
        <w:t xml:space="preserve"> </w:t>
      </w:r>
      <w:r>
        <w:t xml:space="preserve">This is a 40-page technical document establishing the complete governance framework for AI systems operating beyond Earth orbit: lunar surface robotics, orbital relay networks, autonomous resource extraction systems, and crewed-AI collaborative environments. It addresses every gap in current space law: AI liability in off-Earth environments, autonomous decision-making without real-time human oversight, cross-national jurisdiction for AI systems on international missions, and the governance of AI-to-AI interactions in communication-delayed environments.</w:t>
      </w:r>
    </w:p>
    <w:p>
      <w:pPr>
        <w:pStyle w:val="BodyText"/>
      </w:pPr>
      <w:r>
        <w:t xml:space="preserve">This whitepaper does not generate direct revenue. It generates authority. When NASA, ESA, and the emerging commercial lunar operators need governance frameworks, they will find only one comprehensive standard. ArtemisGuard becomes the IEEE of space AI governance — but owned by CSOAI.</w:t>
      </w:r>
    </w:p>
    <w:bookmarkEnd w:id="80"/>
    <w:bookmarkStart w:id="81" w:name="tokenization-launch-the-digital-hive"/>
    <w:p>
      <w:pPr>
        <w:pStyle w:val="Heading3"/>
      </w:pPr>
      <w:r>
        <w:t xml:space="preserve">5.2.2 Tokenization Launch: The Digital Hive</w:t>
      </w:r>
    </w:p>
    <w:p>
      <w:pPr>
        <w:pStyle w:val="FirstParagraph"/>
      </w:pPr>
      <w:r>
        <w:t xml:space="preserve">The</w:t>
      </w:r>
      <w:r>
        <w:t xml:space="preserve"> </w:t>
      </w:r>
      <w:r>
        <w:rPr>
          <w:bCs/>
          <w:b/>
        </w:rPr>
        <w:t xml:space="preserve">Compliance Score SBT</w:t>
      </w:r>
      <w:r>
        <w:t xml:space="preserve"> </w:t>
      </w:r>
      <w:r>
        <w:t xml:space="preserve">migrates from pilot to production deployment on Base. The full technical architecture described in Section 3 activates: the Data Attestation Layer with EIP-712 signed attestations, the Payment &amp; Access Control layer with x402 for per-query compliance verification payments, and the Governance Participation Token for community-driven standard-setting.</w:t>
      </w:r>
    </w:p>
    <w:p>
      <w:pPr>
        <w:pStyle w:val="BodyText"/>
      </w:pPr>
      <w:r>
        <w:t xml:space="preserve">The</w:t>
      </w:r>
      <w:r>
        <w:t xml:space="preserve"> </w:t>
      </w:r>
      <w:r>
        <w:rPr>
          <w:bCs/>
          <w:b/>
        </w:rPr>
        <w:t xml:space="preserve">Attestation Marketplace</w:t>
      </w:r>
      <w:r>
        <w:t xml:space="preserve"> </w:t>
      </w:r>
      <w:r>
        <w:t xml:space="preserve">launches as the first decentralized marketplace for compliance data. Any entity can publish an attestation about any other entity’s compliance status. CSOAI’s oracle layer verifies attestations against off-chain data. Buyers pay in stablecoins for instant, cryptographically verified compliance checks. CSOAI takes a 2.5% transaction fee.</w:t>
      </w:r>
    </w:p>
    <w:p>
      <w:pPr>
        <w:pStyle w:val="BodyText"/>
      </w:pPr>
      <w:r>
        <w:t xml:space="preserve">The x402 integration enables the most granular payment model in compliance history: per-query compliance verification. A hedge fund wants to check a counterparty’s DORA status before a trade? One API call, $0.50, instant result. An insurer wants to verify a portfolio company’s NIS2 compliance? One query, $2.00, cryptographic attestation returned. This is not subscription pricing. This is usage-based governance infrastructure.</w:t>
      </w:r>
    </w:p>
    <w:p>
      <w:pPr>
        <w:pStyle w:val="BodyText"/>
      </w:pPr>
      <w:r>
        <w:t xml:space="preserve">The Ocean Protocol partnership lists CSOAI compliance datasets on Ocean’s decentralized data marketplace. This serves two purposes: it creates an additional distribution channel, and it establishes CSOAI’s presence in the Web3 data economy before traditional competitors understand the intersection.</w:t>
      </w:r>
    </w:p>
    <w:bookmarkEnd w:id="81"/>
    <w:bookmarkStart w:id="82" w:name="Xccc5069ef84f1ea645468b21896c13f8544a2e6"/>
    <w:p>
      <w:pPr>
        <w:pStyle w:val="Heading3"/>
      </w:pPr>
      <w:r>
        <w:t xml:space="preserve">5.2.3 Data Licensing: Compliance Intelligence API</w:t>
      </w:r>
    </w:p>
    <w:p>
      <w:pPr>
        <w:pStyle w:val="FirstParagraph"/>
      </w:pPr>
      <w:r>
        <w:t xml:space="preserve">The</w:t>
      </w:r>
      <w:r>
        <w:t xml:space="preserve"> </w:t>
      </w:r>
      <w:r>
        <w:rPr>
          <w:bCs/>
          <w:b/>
        </w:rPr>
        <w:t xml:space="preserve">Compliance Intelligence API</w:t>
      </w:r>
      <w:r>
        <w:t xml:space="preserve"> </w:t>
      </w:r>
      <w:r>
        <w:t xml:space="preserve">launches on AWS Data Exchange, making CSOAI’s datasets available to every AWS customer with a few clicks. The first</w:t>
      </w:r>
      <w:r>
        <w:t xml:space="preserve"> </w:t>
      </w:r>
      <w:r>
        <w:rPr>
          <w:bCs/>
          <w:b/>
        </w:rPr>
        <w:t xml:space="preserve">Risk Benchmarking Dataset</w:t>
      </w:r>
      <w:r>
        <w:t xml:space="preserve"> </w:t>
      </w:r>
      <w:r>
        <w:t xml:space="preserve">publishes: anonymized, aggregated compliance scores across 50,000+ European financial entities, updated daily, with historical trending, sector comparisons, and geographic risk heatmaps.</w:t>
      </w:r>
    </w:p>
    <w:p>
      <w:pPr>
        <w:pStyle w:val="BodyText"/>
      </w:pPr>
      <w:r>
        <w:t xml:space="preserve">This dataset is purchased by hedge funds (for regulatory risk signals), consultancies (for benchmarking studies), insurers (for risk modeling), and regulators (for supervisory analytics). It is the first time that comprehensive European compliance intelligence has been available as a commodity data product.</w:t>
      </w:r>
    </w:p>
    <w:p>
      <w:pPr>
        <w:pStyle w:val="BodyText"/>
      </w:pPr>
      <w:r>
        <w:t xml:space="preserve">White-label partnerships begin with three Thomson Reuters and Bloomberg competitors — data aggregators hungry for differentiated datasets to bundle with their terminal products. CSOAI provides the data. Partners provide the distribution. Revenue splits favor CSOAI because the data is unique and growing more comprehensive daily.</w:t>
      </w:r>
    </w:p>
    <w:bookmarkEnd w:id="82"/>
    <w:bookmarkStart w:id="83" w:name="phase-2-revenue-and-scale"/>
    <w:p>
      <w:pPr>
        <w:pStyle w:val="Heading3"/>
      </w:pPr>
      <w:r>
        <w:t xml:space="preserve">5.2.4 Phase 2 Revenue and Scale</w:t>
      </w:r>
    </w:p>
    <w:p>
      <w:pPr>
        <w:pStyle w:val="FirstParagraph"/>
      </w:pPr>
      <w:r>
        <w:rPr>
          <w:bCs/>
          <w:b/>
        </w:rPr>
        <w:t xml:space="preserve">Revenue target: EUR 250,000–500,000 MRR.</w:t>
      </w:r>
      <w:r>
        <w:t xml:space="preserve"> </w:t>
      </w:r>
      <w:r>
        <w:rPr>
          <w:bCs/>
          <w:b/>
        </w:rPr>
        <w:t xml:space="preserve">Total entities governed: 100,000+ (Earth financial) + 1,000 (Space satellites) + 10,000 (Digital/on-chain).</w:t>
      </w:r>
    </w:p>
    <w:p>
      <w:pPr>
        <w:pStyle w:val="BodyText"/>
      </w:pPr>
      <w:r>
        <w:t xml:space="preserve">The flywheel is now visible: more entities scored generates more data, more data improves assessment accuracy, better assessments attract more entities, more entities enable better benchmarking datasets, better datasets drive data licensing revenue, and the entire system compounds with zero marginal cost per additional entity.</w:t>
      </w:r>
    </w:p>
    <w:p>
      <w:r>
        <w:pict>
          <v:rect style="width:0;height:1.5pt" o:hralign="center" o:hrstd="t" o:hr="t"/>
        </w:pict>
      </w:r>
    </w:p>
    <w:bookmarkEnd w:id="83"/>
    <w:bookmarkEnd w:id="84"/>
    <w:bookmarkStart w:id="91" w:name="X7071744b9e03e21505ebfd65e0e1a5bf2c153d8"/>
    <w:p>
      <w:pPr>
        <w:pStyle w:val="Heading2"/>
      </w:pPr>
      <w:r>
        <w:t xml:space="preserve">5.3 Phase 3: The Missed Lanes (Days 180–365) —</w:t>
      </w:r>
      <w:r>
        <w:t xml:space="preserve"> </w:t>
      </w:r>
      <w:r>
        <w:t xml:space="preserve">“</w:t>
      </w:r>
      <w:r>
        <w:t xml:space="preserve">Expand the Empire</w:t>
      </w:r>
      <w:r>
        <w:t xml:space="preserve">”</w:t>
      </w:r>
    </w:p>
    <w:p>
      <w:pPr>
        <w:pStyle w:val="FirstParagraph"/>
      </w:pPr>
      <w:r>
        <w:t xml:space="preserve">Phase 3 is where the ten missed lanes identified throughout this document are systematically colonized. The Earth Foundation and Digital Hive are now revenue-generating, self-sustaining systems. The Space Hive has established first-mover authority. The data moat is deep enough that entering adjacent markets becomes a distribution problem, not a product problem.</w:t>
      </w:r>
    </w:p>
    <w:p>
      <w:pPr>
        <w:pStyle w:val="BodyText"/>
      </w:pPr>
      <w:r>
        <w:t xml:space="preserve">Each missed lane follows the same playbook: identify the compliance gap, map it to existing CSOAI data, launch a specialized Hive, partner with the incumbent market leader, and capture the governance layer before competitors recognize the opportunity.</w:t>
      </w:r>
    </w:p>
    <w:bookmarkStart w:id="85" w:name="insurance-lane-1-riskscore-api"/>
    <w:p>
      <w:pPr>
        <w:pStyle w:val="Heading3"/>
      </w:pPr>
      <w:r>
        <w:t xml:space="preserve">5.3.1 Insurance (Lane 1): RiskScore API</w:t>
      </w:r>
    </w:p>
    <w:p>
      <w:pPr>
        <w:pStyle w:val="FirstParagraph"/>
      </w:pPr>
      <w:r>
        <w:t xml:space="preserve">The</w:t>
      </w:r>
      <w:r>
        <w:t xml:space="preserve"> </w:t>
      </w:r>
      <w:r>
        <w:rPr>
          <w:bCs/>
          <w:b/>
        </w:rPr>
        <w:t xml:space="preserve">RiskScore API</w:t>
      </w:r>
      <w:r>
        <w:t xml:space="preserve"> </w:t>
      </w:r>
      <w:r>
        <w:t xml:space="preserve">launches as a dedicated product for the insurance industry. It transforms CSOAI’s compliance intelligence into actuarial inputs: regulatory risk scores that insurers use to price D&amp;O policies, cyber insurance, and regulatory risk coverage. A bank with a deteriorating DORA score becomes a higher insurance risk. An asset manager with improving NIS2 compliance becomes a lower risk.</w:t>
      </w:r>
    </w:p>
    <w:p>
      <w:pPr>
        <w:pStyle w:val="BodyText"/>
      </w:pPr>
      <w:r>
        <w:t xml:space="preserve">Partnerships with three major insurers — Lloyd’s of London, Munich Re, and Swiss Re — establish CSOAI as the data layer for regulatory risk underwriting. The business model shifts: CSOAI is no longer just selling software to compliance officers. It is selling data to actuaries. This is the transformation from software company to data company — a transformation that typically triples revenue multiples in valuation.</w:t>
      </w:r>
    </w:p>
    <w:bookmarkEnd w:id="85"/>
    <w:bookmarkStart w:id="86" w:name="supply-chain-lane-2-supplyhive"/>
    <w:p>
      <w:pPr>
        <w:pStyle w:val="Heading3"/>
      </w:pPr>
      <w:r>
        <w:t xml:space="preserve">5.3.2 Supply Chain (Lane 2): SupplyHive</w:t>
      </w:r>
    </w:p>
    <w:p>
      <w:pPr>
        <w:pStyle w:val="FirstParagraph"/>
      </w:pPr>
      <w:r>
        <w:rPr>
          <w:bCs/>
          <w:b/>
        </w:rPr>
        <w:t xml:space="preserve">SupplyHive</w:t>
      </w:r>
      <w:r>
        <w:t xml:space="preserve"> </w:t>
      </w:r>
      <w:r>
        <w:t xml:space="preserve">launches for EU CSDDD (Corporate Sustainability Due Diligence Directive) compliance. This is N-tier supply chain monitoring: every supplier, every sub-supplier, every contractor, assessed for compliance with environmental standards, labor practices, and human rights obligations. The EU CSDDD affects approximately 13,000 large EU companies and their estimated 100 million+ global suppliers.</w:t>
      </w:r>
    </w:p>
    <w:p>
      <w:pPr>
        <w:pStyle w:val="BodyText"/>
      </w:pPr>
      <w:r>
        <w:t xml:space="preserve">The SAP Ariba and Coupa partnerships embed CSOAI compliance scoring directly into procurement workflows. When a buyer evaluates a supplier, the supplier’s CSOAI Score appears alongside price, quality, and delivery metrics. Governance becomes a procurement criterion because the law demands it.</w:t>
      </w:r>
    </w:p>
    <w:bookmarkEnd w:id="86"/>
    <w:bookmarkStart w:id="87" w:name="Xd675db27403a77dbb6eea8d6528ed6f62fdc881"/>
    <w:p>
      <w:pPr>
        <w:pStyle w:val="Heading3"/>
      </w:pPr>
      <w:r>
        <w:t xml:space="preserve">5.3.3 Cybersecurity (Lane 3): ZeroTrust Governance Mesh</w:t>
      </w:r>
    </w:p>
    <w:p>
      <w:pPr>
        <w:pStyle w:val="FirstParagraph"/>
      </w:pPr>
      <w:r>
        <w:t xml:space="preserve">The</w:t>
      </w:r>
      <w:r>
        <w:t xml:space="preserve"> </w:t>
      </w:r>
      <w:r>
        <w:rPr>
          <w:bCs/>
          <w:b/>
        </w:rPr>
        <w:t xml:space="preserve">ZeroTrust Governance Mesh</w:t>
      </w:r>
      <w:r>
        <w:t xml:space="preserve"> </w:t>
      </w:r>
      <w:r>
        <w:t xml:space="preserve">converges NIST Zero Trust architecture with AI governance requirements. It maps zero trust implementation maturity against regulatory frameworks: DORA’s ICT risk requirements, NIS2’s security measures, the EU AI Act’s cybersecurity obligations for high-risk systems.</w:t>
      </w:r>
    </w:p>
    <w:p>
      <w:pPr>
        <w:pStyle w:val="BodyText"/>
      </w:pPr>
      <w:r>
        <w:t xml:space="preserve">Partnerships with CrowdStrike and Palo Alto Networks position CSOAI as the governance intelligence layer atop their security infrastructure. CrowdStrike stops the breach. CSOAI proves to regulators that the controls were adequate — or flags the gaps before the breach happens.</w:t>
      </w:r>
    </w:p>
    <w:bookmarkEnd w:id="87"/>
    <w:bookmarkStart w:id="88" w:name="esg-lane-4-esg-core"/>
    <w:p>
      <w:pPr>
        <w:pStyle w:val="Heading3"/>
      </w:pPr>
      <w:r>
        <w:t xml:space="preserve">5.3.4 ESG (Lane 4): ESG Core</w:t>
      </w:r>
    </w:p>
    <w:p>
      <w:pPr>
        <w:pStyle w:val="FirstParagraph"/>
      </w:pPr>
      <w:r>
        <w:t xml:space="preserve">The</w:t>
      </w:r>
      <w:r>
        <w:t xml:space="preserve"> </w:t>
      </w:r>
      <w:r>
        <w:rPr>
          <w:bCs/>
          <w:b/>
        </w:rPr>
        <w:t xml:space="preserve">EU CSRD</w:t>
      </w:r>
      <w:r>
        <w:t xml:space="preserve"> </w:t>
      </w:r>
      <w:r>
        <w:t xml:space="preserve">(Corporate Sustainability Reporting Directive) is added as the 14th framework in GRCIN, alongside the existing 13.</w:t>
      </w:r>
      <w:r>
        <w:t xml:space="preserve"> </w:t>
      </w:r>
      <w:r>
        <w:rPr>
          <w:bCs/>
          <w:b/>
        </w:rPr>
        <w:t xml:space="preserve">ESG Core</w:t>
      </w:r>
      <w:r>
        <w:t xml:space="preserve"> </w:t>
      </w:r>
      <w:r>
        <w:t xml:space="preserve">launches as a dedicated product: automated CSRD readiness assessment, double materiality analysis, sustainability reporting gap analysis, and EU Taxonomy alignment scoring.</w:t>
      </w:r>
    </w:p>
    <w:p>
      <w:pPr>
        <w:pStyle w:val="BodyText"/>
      </w:pPr>
      <w:r>
        <w:t xml:space="preserve">The Sustainalytics and MSCI partnerships integrate CSOAI’s compliance intelligence with their ESG ratings. A company’s CSOAI Score becomes an input to its ESG rating. Governance risk becomes a standard ESG factor because CSOAI makes the data available.</w:t>
      </w:r>
    </w:p>
    <w:bookmarkEnd w:id="88"/>
    <w:bookmarkStart w:id="89" w:name="X3e688a6c379745af58dcd08283afa9fa029c84d"/>
    <w:p>
      <w:pPr>
        <w:pStyle w:val="Heading3"/>
      </w:pPr>
      <w:r>
        <w:t xml:space="preserve">5.3.5 Healthcare and Legal (Lanes 5–6): Specialized Hives</w:t>
      </w:r>
    </w:p>
    <w:p>
      <w:pPr>
        <w:pStyle w:val="FirstParagraph"/>
      </w:pPr>
      <w:r>
        <w:rPr>
          <w:bCs/>
          <w:b/>
        </w:rPr>
        <w:t xml:space="preserve">MedGov</w:t>
      </w:r>
      <w:r>
        <w:t xml:space="preserve"> </w:t>
      </w:r>
      <w:r>
        <w:t xml:space="preserve">launches as the healthcare-specialized Hive: HIPAA, GDPR for health data, FDA AI/ML guidance compliance, EU Medical Device Regulation, and emerging WHO AI governance standards for health applications. Healthcare AI is the most regulated AI vertical. MedGov owns its governance layer.</w:t>
      </w:r>
    </w:p>
    <w:p>
      <w:pPr>
        <w:pStyle w:val="BodyText"/>
      </w:pPr>
      <w:r>
        <w:rPr>
          <w:bCs/>
          <w:b/>
        </w:rPr>
        <w:t xml:space="preserve">LawGov</w:t>
      </w:r>
      <w:r>
        <w:t xml:space="preserve"> </w:t>
      </w:r>
      <w:r>
        <w:t xml:space="preserve">launches as the legal-profession Hive: solicitor regulatory authority compliance across 195 jurisdictions, law firm cybersecurity standards, client data protection requirements, and the emerging governance frameworks for AI-assisted legal practice.</w:t>
      </w:r>
    </w:p>
    <w:bookmarkEnd w:id="89"/>
    <w:bookmarkStart w:id="90" w:name="phase-3-revenue-and-scale"/>
    <w:p>
      <w:pPr>
        <w:pStyle w:val="Heading3"/>
      </w:pPr>
      <w:r>
        <w:t xml:space="preserve">5.3.6 Phase 3 Revenue and Scale</w:t>
      </w:r>
    </w:p>
    <w:p>
      <w:pPr>
        <w:pStyle w:val="FirstParagraph"/>
      </w:pPr>
      <w:r>
        <w:rPr>
          <w:bCs/>
          <w:b/>
        </w:rPr>
        <w:t xml:space="preserve">Revenue target: EUR 1–2 million MRR.</w:t>
      </w:r>
      <w:r>
        <w:t xml:space="preserve"> </w:t>
      </w:r>
      <w:r>
        <w:rPr>
          <w:bCs/>
          <w:b/>
        </w:rPr>
        <w:t xml:space="preserve">Total ARR: EUR 12–24 million.</w:t>
      </w:r>
      <w:r>
        <w:t xml:space="preserve"> </w:t>
      </w:r>
      <w:r>
        <w:rPr>
          <w:bCs/>
          <w:b/>
        </w:rPr>
        <w:t xml:space="preserve">Total entities governed: 500,000+.</w:t>
      </w:r>
    </w:p>
    <w:p>
      <w:pPr>
        <w:pStyle w:val="BodyText"/>
      </w:pPr>
      <w:r>
        <w:t xml:space="preserve">At this scale, CSOAI has crossed the chasm from startup to infrastructure. The data moat is now measured in hundreds of millions of data points, thousands of paying customers, and regulatory dependencies across multiple jurisdictions and industries.</w:t>
      </w:r>
    </w:p>
    <w:p>
      <w:r>
        <w:pict>
          <v:rect style="width:0;height:1.5pt" o:hralign="center" o:hrstd="t" o:hr="t"/>
        </w:pict>
      </w:r>
    </w:p>
    <w:bookmarkEnd w:id="90"/>
    <w:bookmarkEnd w:id="91"/>
    <w:bookmarkStart w:id="96" w:name="phase-4-global-domination-year-23-the-os"/>
    <w:p>
      <w:pPr>
        <w:pStyle w:val="Heading2"/>
      </w:pPr>
      <w:r>
        <w:t xml:space="preserve">5.4 Phase 4: Global Domination (Year 2–3) —</w:t>
      </w:r>
      <w:r>
        <w:t xml:space="preserve"> </w:t>
      </w:r>
      <w:r>
        <w:t xml:space="preserve">“</w:t>
      </w:r>
      <w:r>
        <w:t xml:space="preserve">The OS</w:t>
      </w:r>
      <w:r>
        <w:t xml:space="preserve">”</w:t>
      </w:r>
    </w:p>
    <w:p>
      <w:pPr>
        <w:pStyle w:val="FirstParagraph"/>
      </w:pPr>
      <w:r>
        <w:t xml:space="preserve">Phase 4 is the geometric expansion. The playbook is proven. The unit economics are clear. The data moat is self-compounding. Now CSOAI executes across every dimension simultaneously.</w:t>
      </w:r>
    </w:p>
    <w:bookmarkStart w:id="92" w:name="global-expansion-all-195-countries"/>
    <w:p>
      <w:pPr>
        <w:pStyle w:val="Heading3"/>
      </w:pPr>
      <w:r>
        <w:t xml:space="preserve">5.4.1 Global Expansion: All 195 Countries</w:t>
      </w:r>
    </w:p>
    <w:p>
      <w:pPr>
        <w:pStyle w:val="FirstParagraph"/>
      </w:pPr>
      <w:r>
        <w:t xml:space="preserve">The framework localization engine — described in Section 2 as Phase 2 of GRCIN’s international roadmap — activates for all 195 countries. The expansion sequence follows regulatory complexity and market size: EU (complete) → Australia (APRA, ASIC frameworks) → Singapore (MAS Technology Risk Management) → United States (FFIEC, SEC, state-level) → United Kingdom (FCA, PRA, Bank of England) → every other jurisdiction with identifiable financial services regulation.</w:t>
      </w:r>
    </w:p>
    <w:p>
      <w:pPr>
        <w:pStyle w:val="BodyText"/>
      </w:pPr>
      <w:r>
        <w:t xml:space="preserve">For each jurisdiction, the playbook is identical: crawl the regulated entities, build the Register of Information equivalent, launch the compliance scoring engine, offer the regulator dashboard, and activate the trigger-based outreach. By month eighteen, GRCIN covers fifty jurisdictions. By month twenty-four, one hundred. By month thirty-six, all 195.</w:t>
      </w:r>
    </w:p>
    <w:p>
      <w:pPr>
        <w:pStyle w:val="BodyText"/>
      </w:pPr>
      <w:r>
        <w:t xml:space="preserve">The Space Hive scales to monitor ALL tracked satellites — 50,000+ objects in orbit — with specialized agents for different orbital regimes, mission types, and risk categories. The Digital Hive governs AI agents across all major platforms: cloud AI services, autonomous vehicle fleets, robotic process automation deployments, and emerging agent-to-agent economies.</w:t>
      </w:r>
    </w:p>
    <w:bookmarkEnd w:id="92"/>
    <w:bookmarkStart w:id="93" w:name="X30f3303956f7463b9b9f0a8806e1c9b71034711"/>
    <w:p>
      <w:pPr>
        <w:pStyle w:val="Heading3"/>
      </w:pPr>
      <w:r>
        <w:t xml:space="preserve">5.4.2 Tokenization Matures: The Full Digital Stack</w:t>
      </w:r>
    </w:p>
    <w:p>
      <w:pPr>
        <w:pStyle w:val="FirstParagraph"/>
      </w:pPr>
      <w:r>
        <w:t xml:space="preserve">Five token products are live: Compliance Score SBT, Attestation Token, Governance Participation Token, Data Access Token, and the newly launched</w:t>
      </w:r>
      <w:r>
        <w:t xml:space="preserve"> </w:t>
      </w:r>
      <w:r>
        <w:rPr>
          <w:bCs/>
          <w:b/>
        </w:rPr>
        <w:t xml:space="preserve">Regulatory Risk Token</w:t>
      </w:r>
      <w:r>
        <w:t xml:space="preserve"> </w:t>
      </w:r>
      <w:r>
        <w:t xml:space="preserve">— a tradable exposure instrument that allows sophisticated investors to hedge or speculate on regulatory risk across jurisdictions and sectors.</w:t>
      </w:r>
    </w:p>
    <w:p>
      <w:pPr>
        <w:pStyle w:val="BodyText"/>
      </w:pPr>
      <w:r>
        <w:t xml:space="preserve">The Attestation Marketplace processes 10,000+ daily transactions. The Governance Participation Token enables decentralized standard-setting: token holders vote on framework updates, new compliance modules, and prioritization of jurisdiction expansion. This is not speculation. It is functional governance infrastructure with real economic consequences.</w:t>
      </w:r>
    </w:p>
    <w:p>
      <w:pPr>
        <w:pStyle w:val="BodyText"/>
      </w:pPr>
      <w:r>
        <w:t xml:space="preserve">Data Access Tokens generate $500,000+ in monthly revenue — direct payments for API queries, dataset downloads, and real-time compliance feeds. The payment infrastructure is fully operational: x402 for programmatic access, stablecoin settlement for marketplace transactions, and traditional invoicing for enterprise data licensing.</w:t>
      </w:r>
    </w:p>
    <w:bookmarkEnd w:id="93"/>
    <w:bookmarkStart w:id="94" w:name="X6bffe0597046541b21688cd614cc03cc558866a"/>
    <w:p>
      <w:pPr>
        <w:pStyle w:val="Heading3"/>
      </w:pPr>
      <w:r>
        <w:t xml:space="preserve">5.4.3 The Regulator Standard:</w:t>
      </w:r>
      <w:r>
        <w:t xml:space="preserve"> </w:t>
      </w:r>
      <w:r>
        <w:t xml:space="preserve">“</w:t>
      </w:r>
      <w:r>
        <w:t xml:space="preserve">What’s Your CSOAI Score?</w:t>
      </w:r>
      <w:r>
        <w:t xml:space="preserve">”</w:t>
      </w:r>
    </w:p>
    <w:p>
      <w:pPr>
        <w:pStyle w:val="FirstParagraph"/>
      </w:pPr>
      <w:r>
        <w:t xml:space="preserve">By month twenty-four,</w:t>
      </w:r>
      <w:r>
        <w:t xml:space="preserve"> </w:t>
      </w:r>
      <w:r>
        <w:rPr>
          <w:bCs/>
          <w:b/>
        </w:rPr>
        <w:t xml:space="preserve">50+ national regulators</w:t>
      </w:r>
      <w:r>
        <w:t xml:space="preserve"> </w:t>
      </w:r>
      <w:r>
        <w:t xml:space="preserve">use CSOAI intelligence in their supervisory workflows. The</w:t>
      </w:r>
      <w:r>
        <w:t xml:space="preserve"> </w:t>
      </w:r>
      <w:r>
        <w:rPr>
          <w:bCs/>
          <w:b/>
        </w:rPr>
        <w:t xml:space="preserve">CSOAI Score</w:t>
      </w:r>
      <w:r>
        <w:t xml:space="preserve"> </w:t>
      </w:r>
      <w:r>
        <w:t xml:space="preserve">becomes the de facto global compliance credit score — a single number, from 0 to 100, that summarizes an entity’s complete governance posture across all applicable frameworks, jurisdictions, and risk categories.</w:t>
      </w:r>
    </w:p>
    <w:p>
      <w:pPr>
        <w:pStyle w:val="BodyText"/>
      </w:pPr>
      <w:r>
        <w:t xml:space="preserve">Companies begin displaying their CSOAI Score on their websites, like a TrustPilot rating or a security certification badge.</w:t>
      </w:r>
      <w:r>
        <w:t xml:space="preserve"> </w:t>
      </w:r>
      <w:r>
        <w:t xml:space="preserve">“</w:t>
      </w:r>
      <w:r>
        <w:t xml:space="preserve">CSOAI Score: 94</w:t>
      </w:r>
      <w:r>
        <w:t xml:space="preserve">”</w:t>
      </w:r>
      <w:r>
        <w:t xml:space="preserve"> </w:t>
      </w:r>
      <w:r>
        <w:t xml:space="preserve">becomes a competitive advantage in RFPs, partnership negotiations, and investor due diligence. A low score becomes a red flag. A high score becomes a market differentiator.</w:t>
      </w:r>
    </w:p>
    <w:p>
      <w:pPr>
        <w:pStyle w:val="BodyText"/>
      </w:pPr>
      <w:r>
        <w:t xml:space="preserve">The score’s authority comes from its data foundation: billions of data points, thousands of verified assessments, real-time regulatory tracking, and cryptographic attestation on-chain. No competitor can replicate the depth. No regulator questions the methodology because they helped shape it.</w:t>
      </w:r>
    </w:p>
    <w:bookmarkEnd w:id="94"/>
    <w:bookmarkStart w:id="95" w:name="phase-4-revenue-and-scale"/>
    <w:p>
      <w:pPr>
        <w:pStyle w:val="Heading3"/>
      </w:pPr>
      <w:r>
        <w:t xml:space="preserve">5.4.4 Phase 4 Revenue and Scale</w:t>
      </w:r>
    </w:p>
    <w:p>
      <w:pPr>
        <w:pStyle w:val="FirstParagraph"/>
      </w:pPr>
      <w:r>
        <w:rPr>
          <w:bCs/>
          <w:b/>
        </w:rPr>
        <w:t xml:space="preserve">Revenue target: EUR 5–10 million MRR.</w:t>
      </w:r>
      <w:r>
        <w:t xml:space="preserve"> </w:t>
      </w:r>
      <w:r>
        <w:rPr>
          <w:bCs/>
          <w:b/>
        </w:rPr>
        <w:t xml:space="preserve">Total ARR: EUR 50–100 million.</w:t>
      </w:r>
      <w:r>
        <w:t xml:space="preserve"> </w:t>
      </w:r>
      <w:r>
        <w:rPr>
          <w:bCs/>
          <w:b/>
        </w:rPr>
        <w:t xml:space="preserve">Total entities governed: 5 million+.</w:t>
      </w:r>
    </w:p>
    <w:p>
      <w:pPr>
        <w:pStyle w:val="BodyText"/>
      </w:pPr>
      <w:r>
        <w:t xml:space="preserve">At this scale, CSOAI is not a startup. It is critical infrastructure. The moat is no longer just data — it is the ecosystem of dependencies: regulators who rely on CSOAI for supervision, companies who rely on CSOAI for compliance, insurers who rely on CSOAI for risk pricing, investors who rely on CSOAI for due diligence, and space agencies who rely on CSOAI for mission governance.</w:t>
      </w:r>
    </w:p>
    <w:p>
      <w:r>
        <w:pict>
          <v:rect style="width:0;height:1.5pt" o:hralign="center" o:hrstd="t" o:hr="t"/>
        </w:pict>
      </w:r>
    </w:p>
    <w:bookmarkEnd w:id="95"/>
    <w:bookmarkEnd w:id="96"/>
    <w:bookmarkStart w:id="101" w:name="Xfbb1d3c4fe2039b63412037cf3353a7a2d12dab"/>
    <w:p>
      <w:pPr>
        <w:pStyle w:val="Heading2"/>
      </w:pPr>
      <w:r>
        <w:t xml:space="preserve">5.5 The Endgame — Year 3–5: The Operating System of Civilization</w:t>
      </w:r>
    </w:p>
    <w:p>
      <w:pPr>
        <w:pStyle w:val="FirstParagraph"/>
      </w:pPr>
      <w:r>
        <w:t xml:space="preserve">The final phase is not about revenue targets or customer counts. It is about the completion of the original vision: governance infrastructure so comprehensive, so authoritative, and so deeply embedded in the world’s systems that it becomes the operating system layer for civilization’s expansion — on Earth, in orbit, and beyond.</w:t>
      </w:r>
    </w:p>
    <w:bookmarkStart w:id="97" w:name="Xc1a2564b76a24bda8f4a429db62a2a743a0eeaa"/>
    <w:p>
      <w:pPr>
        <w:pStyle w:val="Heading3"/>
      </w:pPr>
      <w:r>
        <w:t xml:space="preserve">5.5.1 The CSOAI Score: Universal Reputation Infrastructure</w:t>
      </w:r>
    </w:p>
    <w:p>
      <w:pPr>
        <w:pStyle w:val="FirstParagraph"/>
      </w:pPr>
      <w:r>
        <w:t xml:space="preserve">Every company, every satellite, every AI agent on Earth has a CSOAI Score. It is checked before partnerships are formed, before investments are made, before insurance is priced, before regulatory approvals are granted, before satellites are licensed for launch, before AI systems are deployed in critical infrastructure.</w:t>
      </w:r>
    </w:p>
    <w:p>
      <w:pPr>
        <w:pStyle w:val="BodyText"/>
      </w:pPr>
      <w:r>
        <w:t xml:space="preserve">The score is not just a compliance metric. It is a reputation primitive — a fundamental building block of trust in an increasingly complex, regulated, and automated world. Like a credit score, but for the full spectrum of governance compliance. Like a security rating, but covering every framework that matters. Like an ESG score, but grounded in verifiable regulatory data rather than self-reported surveys.</w:t>
      </w:r>
    </w:p>
    <w:bookmarkEnd w:id="97"/>
    <w:bookmarkStart w:id="98" w:name="X36ba287d6d7ea86090cf57098fdb66366295c14"/>
    <w:p>
      <w:pPr>
        <w:pStyle w:val="Heading3"/>
      </w:pPr>
      <w:r>
        <w:t xml:space="preserve">5.5.2 Interplanetary Governance: From ArtemisGuard to Mars</w:t>
      </w:r>
    </w:p>
    <w:p>
      <w:pPr>
        <w:pStyle w:val="FirstParagraph"/>
      </w:pPr>
      <w:r>
        <w:rPr>
          <w:bCs/>
          <w:b/>
        </w:rPr>
        <w:t xml:space="preserve">CSOAI ArtemisGuard</w:t>
      </w:r>
      <w:r>
        <w:t xml:space="preserve"> </w:t>
      </w:r>
      <w:r>
        <w:t xml:space="preserve">is THE standard for lunar AI governance. When the first permanent Moon base launches — whether by NASA, CNSA, ESA, or a commercial consortium — CSOAI monitors its AI systems in real time. The governance framework established in the ArtemisGuard whitepaper has been adopted by space agencies and written into mission specifications.</w:t>
      </w:r>
    </w:p>
    <w:p>
      <w:pPr>
        <w:pStyle w:val="BodyText"/>
      </w:pPr>
      <w:r>
        <w:t xml:space="preserve">When Mars colonies begin, CSOAI’s framework governs them. The communication delays between Earth and Mars — four to twenty-four minutes each way — make real-time human oversight of AI systems impossible. Autonomous governance becomes not a luxury but a survival requirement. CSOAI’s architecture for delayed-communication AI governance, developed for satellite operations and refined across billions of automated assessments, becomes the foundation for Martian AI supervision.</w:t>
      </w:r>
    </w:p>
    <w:bookmarkEnd w:id="98"/>
    <w:bookmarkStart w:id="99" w:name="the-ai-economy-os"/>
    <w:p>
      <w:pPr>
        <w:pStyle w:val="Heading3"/>
      </w:pPr>
      <w:r>
        <w:t xml:space="preserve">5.5.3 The AI Economy OS</w:t>
      </w:r>
    </w:p>
    <w:p>
      <w:pPr>
        <w:pStyle w:val="FirstParagraph"/>
      </w:pPr>
      <w:r>
        <w:t xml:space="preserve">In the endgame, CSOAI is the operating system layer that everything runs on.</w:t>
      </w:r>
    </w:p>
    <w:p>
      <w:pPr>
        <w:pStyle w:val="BodyText"/>
      </w:pPr>
      <w:r>
        <w:t xml:space="preserve">Every AI agent checks CSOAI before acting — verifying its own compliance status, confirming its operational authorization, logging its decision trail for regulatory audit.</w:t>
      </w:r>
    </w:p>
    <w:p>
      <w:pPr>
        <w:pStyle w:val="BodyText"/>
      </w:pPr>
      <w:r>
        <w:t xml:space="preserve">Every regulator uses CSOAI for supervision — monitoring their entire supervised population in real time, spotting emerging risks through automated anomaly detection, downloading assessment reports in standard formats.</w:t>
      </w:r>
    </w:p>
    <w:p>
      <w:pPr>
        <w:pStyle w:val="BodyText"/>
      </w:pPr>
      <w:r>
        <w:t xml:space="preserve">Every company uses CSOAI for compliance — maintaining continuous regulatory readiness, demonstrating compliance to auditors and supervisors, benchmarking against peers and sectors.</w:t>
      </w:r>
    </w:p>
    <w:p>
      <w:pPr>
        <w:pStyle w:val="BodyText"/>
      </w:pPr>
      <w:r>
        <w:t xml:space="preserve">Every space agency uses CSOAI for mission governance — monitoring AI systems in orbit and beyond, certifying autonomous operations, managing cross-national jurisdictional complexity.</w:t>
      </w:r>
    </w:p>
    <w:p>
      <w:pPr>
        <w:pStyle w:val="BodyText"/>
      </w:pPr>
      <w:r>
        <w:t xml:space="preserve">The data moat is insurmountable: billions of data points, hundreds of millions in invested infrastructure, regulatory dependencies across every major jurisdiction, and network effects that strengthen with every new entity, every new framework, every new jurisdiction added.</w:t>
      </w:r>
    </w:p>
    <w:p>
      <w:pPr>
        <w:pStyle w:val="BodyText"/>
      </w:pPr>
      <w:r>
        <w:t xml:space="preserve">The network effects are exponential: more entities scored improves benchmarking accuracy, better benchmarking attracts more entities, more entities generate more data, more data enables better predictive models, better predictions attract more sophisticated users, more sophisticated users drive more data demand.</w:t>
      </w:r>
    </w:p>
    <w:p>
      <w:pPr>
        <w:pStyle w:val="BodyText"/>
      </w:pPr>
      <w:r>
        <w:t xml:space="preserve">The competitive advantage is permanent: the entity that owns the governance substrate does not compete with applications built on top of it. It enables them, taxes them, and defines the rules by which they operate.</w:t>
      </w:r>
    </w:p>
    <w:bookmarkEnd w:id="99"/>
    <w:bookmarkStart w:id="100" w:name="the-final-numbers"/>
    <w:p>
      <w:pPr>
        <w:pStyle w:val="Heading3"/>
      </w:pPr>
      <w:r>
        <w:t xml:space="preserve">5.5.4 The Final Numbers</w:t>
      </w:r>
    </w:p>
    <w:p>
      <w:pPr>
        <w:pStyle w:val="FirstParagraph"/>
      </w:pPr>
      <w:r>
        <w:rPr>
          <w:bCs/>
          <w:b/>
        </w:rPr>
        <w:t xml:space="preserve">Revenue: EUR 15–30 million MRR.</w:t>
      </w:r>
      <w:r>
        <w:t xml:space="preserve"> </w:t>
      </w:r>
      <w:r>
        <w:rPr>
          <w:bCs/>
          <w:b/>
        </w:rPr>
        <w:t xml:space="preserve">Total ARR: EUR 200 million+.</w:t>
      </w:r>
      <w:r>
        <w:t xml:space="preserve"> </w:t>
      </w:r>
      <w:r>
        <w:rPr>
          <w:bCs/>
          <w:b/>
        </w:rPr>
        <w:t xml:space="preserve">Valuation: $2–5 billion.</w:t>
      </w:r>
      <w:r>
        <w:t xml:space="preserve"> </w:t>
      </w:r>
      <w:r>
        <w:rPr>
          <w:bCs/>
          <w:b/>
        </w:rPr>
        <w:t xml:space="preserve">Entities governed: 10 million+ across Earth, orbit, and beyond.</w:t>
      </w:r>
    </w:p>
    <w:p>
      <w:pPr>
        <w:pStyle w:val="BodyText"/>
      </w:pPr>
      <w:r>
        <w:t xml:space="preserve">Nick Templeman becomes the most influential figure in AI governance on Earth and beyond — not through political appointment or regulatory capture, but by building the infrastructure that everyone depends upon. The governance operating system is not a product. It is not a company. It is the substrate upon which civilization’s next chapter is built.</w:t>
      </w:r>
    </w:p>
    <w:p>
      <w:r>
        <w:pict>
          <v:rect style="width:0;height:1.5pt" o:hralign="center" o:hrstd="t" o:hr="t"/>
        </w:pict>
      </w:r>
    </w:p>
    <w:bookmarkEnd w:id="100"/>
    <w:bookmarkEnd w:id="101"/>
    <w:bookmarkStart w:id="102" w:name="table-1-the-complete-roadmap"/>
    <w:p>
      <w:pPr>
        <w:pStyle w:val="Heading2"/>
      </w:pPr>
      <w:r>
        <w:t xml:space="preserve">Table 1: The Complete Roadmap</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rPr>
                <w:bCs/>
                <w:b/>
              </w:rPr>
              <w:t xml:space="preserve">Phase</w:t>
            </w:r>
          </w:p>
        </w:tc>
        <w:tc>
          <w:tcPr/>
          <w:p>
            <w:pPr>
              <w:pStyle w:val="Compact"/>
              <w:jc w:val="left"/>
            </w:pPr>
            <w:r>
              <w:rPr>
                <w:bCs/>
                <w:b/>
              </w:rPr>
              <w:t xml:space="preserve">Timeline</w:t>
            </w:r>
          </w:p>
        </w:tc>
        <w:tc>
          <w:tcPr/>
          <w:p>
            <w:pPr>
              <w:pStyle w:val="Compact"/>
              <w:jc w:val="left"/>
            </w:pPr>
            <w:r>
              <w:rPr>
                <w:bCs/>
                <w:b/>
              </w:rPr>
              <w:t xml:space="preserve">Key Deliverables</w:t>
            </w:r>
          </w:p>
        </w:tc>
        <w:tc>
          <w:tcPr/>
          <w:p>
            <w:pPr>
              <w:pStyle w:val="Compact"/>
              <w:jc w:val="left"/>
            </w:pPr>
            <w:r>
              <w:rPr>
                <w:bCs/>
                <w:b/>
              </w:rPr>
              <w:t xml:space="preserve">Revenue (MRR)</w:t>
            </w:r>
          </w:p>
        </w:tc>
        <w:tc>
          <w:tcPr/>
          <w:p>
            <w:pPr>
              <w:pStyle w:val="Compact"/>
              <w:jc w:val="left"/>
            </w:pPr>
            <w:r>
              <w:rPr>
                <w:bCs/>
                <w:b/>
              </w:rPr>
              <w:t xml:space="preserve">Entities Governed</w:t>
            </w:r>
          </w:p>
        </w:tc>
        <w:tc>
          <w:tcPr/>
          <w:p>
            <w:pPr>
              <w:pStyle w:val="Compact"/>
              <w:jc w:val="left"/>
            </w:pPr>
            <w:r>
              <w:rPr>
                <w:bCs/>
                <w:b/>
              </w:rPr>
              <w:t xml:space="preserve">Cumulative ARR</w:t>
            </w:r>
          </w:p>
        </w:tc>
      </w:tr>
      <w:tr>
        <w:tc>
          <w:tcPr/>
          <w:p>
            <w:pPr>
              <w:pStyle w:val="Compact"/>
              <w:jc w:val="left"/>
            </w:pPr>
            <w:r>
              <w:rPr>
                <w:bCs/>
                <w:b/>
              </w:rPr>
              <w:t xml:space="preserve">Phase 1A: Spawn</w:t>
            </w:r>
          </w:p>
        </w:tc>
        <w:tc>
          <w:tcPr/>
          <w:p>
            <w:pPr>
              <w:pStyle w:val="Compact"/>
              <w:jc w:val="left"/>
            </w:pPr>
            <w:r>
              <w:t xml:space="preserve">Days 0–30</w:t>
            </w:r>
          </w:p>
        </w:tc>
        <w:tc>
          <w:tcPr/>
          <w:p>
            <w:pPr>
              <w:pStyle w:val="Compact"/>
              <w:jc w:val="left"/>
            </w:pPr>
            <w:r>
              <w:t xml:space="preserve">GRCIN EU crawler live; 22,000 entities spawned; xBRL-CSV exporter; 6 DORA quick wins; IBM/OneTrust partner applications</w:t>
            </w:r>
          </w:p>
        </w:tc>
        <w:tc>
          <w:tcPr/>
          <w:p>
            <w:pPr>
              <w:pStyle w:val="Compact"/>
              <w:jc w:val="left"/>
            </w:pPr>
            <w:r>
              <w:t xml:space="preserve">Pre-revenue</w:t>
            </w:r>
          </w:p>
        </w:tc>
        <w:tc>
          <w:tcPr/>
          <w:p>
            <w:pPr>
              <w:pStyle w:val="Compact"/>
              <w:jc w:val="left"/>
            </w:pPr>
            <w:r>
              <w:t xml:space="preserve">5,000 (Earth)</w:t>
            </w:r>
          </w:p>
        </w:tc>
        <w:tc>
          <w:tcPr/>
          <w:p>
            <w:pPr>
              <w:pStyle w:val="Compact"/>
              <w:jc w:val="left"/>
            </w:pPr>
            <w:r>
              <w:t xml:space="preserve">EUR 0</w:t>
            </w:r>
          </w:p>
        </w:tc>
      </w:tr>
      <w:tr>
        <w:tc>
          <w:tcPr/>
          <w:p>
            <w:pPr>
              <w:pStyle w:val="Compact"/>
              <w:jc w:val="left"/>
            </w:pPr>
            <w:r>
              <w:rPr>
                <w:bCs/>
                <w:b/>
              </w:rPr>
              <w:t xml:space="preserve">Phase 1B: Activate</w:t>
            </w:r>
          </w:p>
        </w:tc>
        <w:tc>
          <w:tcPr/>
          <w:p>
            <w:pPr>
              <w:pStyle w:val="Compact"/>
              <w:jc w:val="left"/>
            </w:pPr>
            <w:r>
              <w:t xml:space="preserve">Days 30–60</w:t>
            </w:r>
          </w:p>
        </w:tc>
        <w:tc>
          <w:tcPr/>
          <w:p>
            <w:pPr>
              <w:pStyle w:val="Compact"/>
              <w:jc w:val="left"/>
            </w:pPr>
            <w:r>
              <w:t xml:space="preserve">BFT assessment engine; T-90/60/30/14/7 trigger system; BaFin/EBA regulator dashboard; Daily Intel Brief</w:t>
            </w:r>
          </w:p>
        </w:tc>
        <w:tc>
          <w:tcPr/>
          <w:p>
            <w:pPr>
              <w:pStyle w:val="Compact"/>
              <w:jc w:val="left"/>
            </w:pPr>
            <w:r>
              <w:t xml:space="preserve">EUR 50–100K</w:t>
            </w:r>
          </w:p>
        </w:tc>
        <w:tc>
          <w:tcPr/>
          <w:p>
            <w:pPr>
              <w:pStyle w:val="Compact"/>
              <w:jc w:val="left"/>
            </w:pPr>
            <w:r>
              <w:t xml:space="preserve">6,000 (Earth)</w:t>
            </w:r>
          </w:p>
        </w:tc>
        <w:tc>
          <w:tcPr/>
          <w:p>
            <w:pPr>
              <w:pStyle w:val="Compact"/>
              <w:jc w:val="left"/>
            </w:pPr>
            <w:r>
              <w:t xml:space="preserve">EUR 0.3–0.6M</w:t>
            </w:r>
          </w:p>
        </w:tc>
      </w:tr>
      <w:tr>
        <w:tc>
          <w:tcPr/>
          <w:p>
            <w:pPr>
              <w:pStyle w:val="Compact"/>
              <w:jc w:val="left"/>
            </w:pPr>
            <w:r>
              <w:rPr>
                <w:bCs/>
                <w:b/>
              </w:rPr>
              <w:t xml:space="preserve">Phase 1C: Close</w:t>
            </w:r>
          </w:p>
        </w:tc>
        <w:tc>
          <w:tcPr/>
          <w:p>
            <w:pPr>
              <w:pStyle w:val="Compact"/>
              <w:jc w:val="left"/>
            </w:pPr>
            <w:r>
              <w:t xml:space="preserve">Days 60–90</w:t>
            </w:r>
          </w:p>
        </w:tc>
        <w:tc>
          <w:tcPr/>
          <w:p>
            <w:pPr>
              <w:pStyle w:val="Compact"/>
              <w:jc w:val="left"/>
            </w:pPr>
            <w:r>
              <w:t xml:space="preserve">BaFin intelligence delivery; Compliance Concierge pilot (10 G-SIBs); NIS2 + EU AI Act expansion; Compliance Score SBT launch</w:t>
            </w:r>
          </w:p>
        </w:tc>
        <w:tc>
          <w:tcPr/>
          <w:p>
            <w:pPr>
              <w:pStyle w:val="Compact"/>
              <w:jc w:val="left"/>
            </w:pPr>
            <w:r>
              <w:t xml:space="preserve">EUR 100–250K</w:t>
            </w:r>
          </w:p>
        </w:tc>
        <w:tc>
          <w:tcPr/>
          <w:p>
            <w:pPr>
              <w:pStyle w:val="Compact"/>
              <w:jc w:val="left"/>
            </w:pPr>
            <w:r>
              <w:t xml:space="preserve">10,000 (Earth)</w:t>
            </w:r>
          </w:p>
        </w:tc>
        <w:tc>
          <w:tcPr/>
          <w:p>
            <w:pPr>
              <w:pStyle w:val="Compact"/>
              <w:jc w:val="left"/>
            </w:pPr>
            <w:r>
              <w:t xml:space="preserve">EUR 1.2–3.0M</w:t>
            </w:r>
          </w:p>
        </w:tc>
      </w:tr>
      <w:tr>
        <w:tc>
          <w:tcPr/>
          <w:p>
            <w:pPr>
              <w:pStyle w:val="Compact"/>
              <w:jc w:val="left"/>
            </w:pPr>
            <w:r>
              <w:rPr>
                <w:bCs/>
                <w:b/>
              </w:rPr>
              <w:t xml:space="preserve">Phase 2A: Space</w:t>
            </w:r>
          </w:p>
        </w:tc>
        <w:tc>
          <w:tcPr/>
          <w:p>
            <w:pPr>
              <w:pStyle w:val="Compact"/>
              <w:jc w:val="left"/>
            </w:pPr>
            <w:r>
              <w:t xml:space="preserve">Days 90–120</w:t>
            </w:r>
          </w:p>
        </w:tc>
        <w:tc>
          <w:tcPr/>
          <w:p>
            <w:pPr>
              <w:pStyle w:val="Compact"/>
              <w:jc w:val="left"/>
            </w:pPr>
            <w:r>
              <w:t xml:space="preserve">OrbitalMind dashboard; 1,000 satellite agents; Space-Track/NASA/NOAA integration; ArtemisGuard whitepaper</w:t>
            </w:r>
          </w:p>
        </w:tc>
        <w:tc>
          <w:tcPr/>
          <w:p>
            <w:pPr>
              <w:pStyle w:val="Compact"/>
              <w:jc w:val="left"/>
            </w:pPr>
            <w:r>
              <w:t xml:space="preserve">EUR 250–350K</w:t>
            </w:r>
          </w:p>
        </w:tc>
        <w:tc>
          <w:tcPr/>
          <w:p>
            <w:pPr>
              <w:pStyle w:val="Compact"/>
              <w:jc w:val="left"/>
            </w:pPr>
            <w:r>
              <w:t xml:space="preserve">10,000 + 1,000 (Space)</w:t>
            </w:r>
          </w:p>
        </w:tc>
        <w:tc>
          <w:tcPr/>
          <w:p>
            <w:pPr>
              <w:pStyle w:val="Compact"/>
              <w:jc w:val="left"/>
            </w:pPr>
            <w:r>
              <w:t xml:space="preserve">EUR 3.0–4.2M</w:t>
            </w:r>
          </w:p>
        </w:tc>
      </w:tr>
      <w:tr>
        <w:tc>
          <w:tcPr/>
          <w:p>
            <w:pPr>
              <w:pStyle w:val="Compact"/>
              <w:jc w:val="left"/>
            </w:pPr>
            <w:r>
              <w:rPr>
                <w:bCs/>
                <w:b/>
              </w:rPr>
              <w:t xml:space="preserve">Phase 2B: Digital</w:t>
            </w:r>
          </w:p>
        </w:tc>
        <w:tc>
          <w:tcPr/>
          <w:p>
            <w:pPr>
              <w:pStyle w:val="Compact"/>
              <w:jc w:val="left"/>
            </w:pPr>
            <w:r>
              <w:t xml:space="preserve">Days 120–150</w:t>
            </w:r>
          </w:p>
        </w:tc>
        <w:tc>
          <w:tcPr/>
          <w:p>
            <w:pPr>
              <w:pStyle w:val="Compact"/>
              <w:jc w:val="left"/>
            </w:pPr>
            <w:r>
              <w:t xml:space="preserve">SBT production on Base; Attestation Marketplace live; x402 per-query payments; Ocean Protocol listing</w:t>
            </w:r>
          </w:p>
        </w:tc>
        <w:tc>
          <w:tcPr/>
          <w:p>
            <w:pPr>
              <w:pStyle w:val="Compact"/>
              <w:jc w:val="left"/>
            </w:pPr>
            <w:r>
              <w:t xml:space="preserve">EUR 350–450K</w:t>
            </w:r>
          </w:p>
        </w:tc>
        <w:tc>
          <w:tcPr/>
          <w:p>
            <w:pPr>
              <w:pStyle w:val="Compact"/>
              <w:jc w:val="left"/>
            </w:pPr>
            <w:r>
              <w:t xml:space="preserve">10,000 + 1,000 + 5,000 (Digital)</w:t>
            </w:r>
          </w:p>
        </w:tc>
        <w:tc>
          <w:tcPr/>
          <w:p>
            <w:pPr>
              <w:pStyle w:val="Compact"/>
              <w:jc w:val="left"/>
            </w:pPr>
            <w:r>
              <w:t xml:space="preserve">EUR 4.2–5.4M</w:t>
            </w:r>
          </w:p>
        </w:tc>
      </w:tr>
      <w:tr>
        <w:tc>
          <w:tcPr/>
          <w:p>
            <w:pPr>
              <w:pStyle w:val="Compact"/>
              <w:jc w:val="left"/>
            </w:pPr>
            <w:r>
              <w:rPr>
                <w:bCs/>
                <w:b/>
              </w:rPr>
              <w:t xml:space="preserve">Phase 2C: Data</w:t>
            </w:r>
          </w:p>
        </w:tc>
        <w:tc>
          <w:tcPr/>
          <w:p>
            <w:pPr>
              <w:pStyle w:val="Compact"/>
              <w:jc w:val="left"/>
            </w:pPr>
            <w:r>
              <w:t xml:space="preserve">Days 150–180</w:t>
            </w:r>
          </w:p>
        </w:tc>
        <w:tc>
          <w:tcPr/>
          <w:p>
            <w:pPr>
              <w:pStyle w:val="Compact"/>
              <w:jc w:val="left"/>
            </w:pPr>
            <w:r>
              <w:t xml:space="preserve">AWS Data Exchange launch; Risk Benchmarking Dataset; 3 white-label partnerships</w:t>
            </w:r>
          </w:p>
        </w:tc>
        <w:tc>
          <w:tcPr/>
          <w:p>
            <w:pPr>
              <w:pStyle w:val="Compact"/>
              <w:jc w:val="left"/>
            </w:pPr>
            <w:r>
              <w:t xml:space="preserve">EUR 250–500K</w:t>
            </w:r>
          </w:p>
        </w:tc>
        <w:tc>
          <w:tcPr/>
          <w:p>
            <w:pPr>
              <w:pStyle w:val="Compact"/>
              <w:jc w:val="left"/>
            </w:pPr>
            <w:r>
              <w:t xml:space="preserve">100,000 + 1,000 + 10,000</w:t>
            </w:r>
          </w:p>
        </w:tc>
        <w:tc>
          <w:tcPr/>
          <w:p>
            <w:pPr>
              <w:pStyle w:val="Compact"/>
              <w:jc w:val="left"/>
            </w:pPr>
            <w:r>
              <w:t xml:space="preserve">EUR 3.0–6.0M</w:t>
            </w:r>
          </w:p>
        </w:tc>
      </w:tr>
      <w:tr>
        <w:tc>
          <w:tcPr/>
          <w:p>
            <w:pPr>
              <w:pStyle w:val="Compact"/>
              <w:jc w:val="left"/>
            </w:pPr>
            <w:r>
              <w:rPr>
                <w:bCs/>
                <w:b/>
              </w:rPr>
              <w:t xml:space="preserve">Phase 3A: Insurance</w:t>
            </w:r>
          </w:p>
        </w:tc>
        <w:tc>
          <w:tcPr/>
          <w:p>
            <w:pPr>
              <w:pStyle w:val="Compact"/>
              <w:jc w:val="left"/>
            </w:pPr>
            <w:r>
              <w:t xml:space="preserve">Days 180–240</w:t>
            </w:r>
          </w:p>
        </w:tc>
        <w:tc>
          <w:tcPr/>
          <w:p>
            <w:pPr>
              <w:pStyle w:val="Compact"/>
              <w:jc w:val="left"/>
            </w:pPr>
            <w:r>
              <w:t xml:space="preserve">RiskScore API; Lloyd’s/Munich Re/Swiss Re partnerships</w:t>
            </w:r>
          </w:p>
        </w:tc>
        <w:tc>
          <w:tcPr/>
          <w:p>
            <w:pPr>
              <w:pStyle w:val="Compact"/>
              <w:jc w:val="left"/>
            </w:pPr>
            <w:r>
              <w:t xml:space="preserve">EUR 500K–1M</w:t>
            </w:r>
          </w:p>
        </w:tc>
        <w:tc>
          <w:tcPr/>
          <w:p>
            <w:pPr>
              <w:pStyle w:val="Compact"/>
              <w:jc w:val="left"/>
            </w:pPr>
            <w:r>
              <w:t xml:space="preserve">200,000+</w:t>
            </w:r>
          </w:p>
        </w:tc>
        <w:tc>
          <w:tcPr/>
          <w:p>
            <w:pPr>
              <w:pStyle w:val="Compact"/>
              <w:jc w:val="left"/>
            </w:pPr>
            <w:r>
              <w:t xml:space="preserve">EUR 6.0–12.0M</w:t>
            </w:r>
          </w:p>
        </w:tc>
      </w:tr>
      <w:tr>
        <w:tc>
          <w:tcPr/>
          <w:p>
            <w:pPr>
              <w:pStyle w:val="Compact"/>
              <w:jc w:val="left"/>
            </w:pPr>
            <w:r>
              <w:rPr>
                <w:bCs/>
                <w:b/>
              </w:rPr>
              <w:t xml:space="preserve">Phase 3B: Supply Chain</w:t>
            </w:r>
          </w:p>
        </w:tc>
        <w:tc>
          <w:tcPr/>
          <w:p>
            <w:pPr>
              <w:pStyle w:val="Compact"/>
              <w:jc w:val="left"/>
            </w:pPr>
            <w:r>
              <w:t xml:space="preserve">Days 210–270</w:t>
            </w:r>
          </w:p>
        </w:tc>
        <w:tc>
          <w:tcPr/>
          <w:p>
            <w:pPr>
              <w:pStyle w:val="Compact"/>
              <w:jc w:val="left"/>
            </w:pPr>
            <w:r>
              <w:t xml:space="preserve">SupplyHive (CSDDD); SAP Ariba + Coupa partnerships</w:t>
            </w:r>
          </w:p>
        </w:tc>
        <w:tc>
          <w:tcPr/>
          <w:p>
            <w:pPr>
              <w:pStyle w:val="Compact"/>
              <w:jc w:val="left"/>
            </w:pPr>
            <w:r>
              <w:t xml:space="preserve">EUR 700K–1.3M</w:t>
            </w:r>
          </w:p>
        </w:tc>
        <w:tc>
          <w:tcPr/>
          <w:p>
            <w:pPr>
              <w:pStyle w:val="Compact"/>
              <w:jc w:val="left"/>
            </w:pPr>
            <w:r>
              <w:t xml:space="preserve">300,000+</w:t>
            </w:r>
          </w:p>
        </w:tc>
        <w:tc>
          <w:tcPr/>
          <w:p>
            <w:pPr>
              <w:pStyle w:val="Compact"/>
              <w:jc w:val="left"/>
            </w:pPr>
            <w:r>
              <w:t xml:space="preserve">EUR 8.4–15.6M</w:t>
            </w:r>
          </w:p>
        </w:tc>
      </w:tr>
      <w:tr>
        <w:tc>
          <w:tcPr/>
          <w:p>
            <w:pPr>
              <w:pStyle w:val="Compact"/>
              <w:jc w:val="left"/>
            </w:pPr>
            <w:r>
              <w:rPr>
                <w:bCs/>
                <w:b/>
              </w:rPr>
              <w:t xml:space="preserve">Phase 3C: Cyber + ESG</w:t>
            </w:r>
          </w:p>
        </w:tc>
        <w:tc>
          <w:tcPr/>
          <w:p>
            <w:pPr>
              <w:pStyle w:val="Compact"/>
              <w:jc w:val="left"/>
            </w:pPr>
            <w:r>
              <w:t xml:space="preserve">Days 240–300</w:t>
            </w:r>
          </w:p>
        </w:tc>
        <w:tc>
          <w:tcPr/>
          <w:p>
            <w:pPr>
              <w:pStyle w:val="Compact"/>
              <w:jc w:val="left"/>
            </w:pPr>
            <w:r>
              <w:t xml:space="preserve">ZeroTrust Governance Mesh; ESG Core (CSRD); CrowdStrike/Palo Alto/Sustainalytics/MSCI partnerships</w:t>
            </w:r>
          </w:p>
        </w:tc>
        <w:tc>
          <w:tcPr/>
          <w:p>
            <w:pPr>
              <w:pStyle w:val="Compact"/>
              <w:jc w:val="left"/>
            </w:pPr>
            <w:r>
              <w:t xml:space="preserve">EUR 1.0–1.6M</w:t>
            </w:r>
          </w:p>
        </w:tc>
        <w:tc>
          <w:tcPr/>
          <w:p>
            <w:pPr>
              <w:pStyle w:val="Compact"/>
              <w:jc w:val="left"/>
            </w:pPr>
            <w:r>
              <w:t xml:space="preserve">400,000+</w:t>
            </w:r>
          </w:p>
        </w:tc>
        <w:tc>
          <w:tcPr/>
          <w:p>
            <w:pPr>
              <w:pStyle w:val="Compact"/>
              <w:jc w:val="left"/>
            </w:pPr>
            <w:r>
              <w:t xml:space="preserve">EUR 12.0–19.2M</w:t>
            </w:r>
          </w:p>
        </w:tc>
      </w:tr>
      <w:tr>
        <w:tc>
          <w:tcPr/>
          <w:p>
            <w:pPr>
              <w:pStyle w:val="Compact"/>
              <w:jc w:val="left"/>
            </w:pPr>
            <w:r>
              <w:rPr>
                <w:bCs/>
                <w:b/>
              </w:rPr>
              <w:t xml:space="preserve">Phase 3D: Healthcare + Legal</w:t>
            </w:r>
          </w:p>
        </w:tc>
        <w:tc>
          <w:tcPr/>
          <w:p>
            <w:pPr>
              <w:pStyle w:val="Compact"/>
              <w:jc w:val="left"/>
            </w:pPr>
            <w:r>
              <w:t xml:space="preserve">Days 270–365</w:t>
            </w:r>
          </w:p>
        </w:tc>
        <w:tc>
          <w:tcPr/>
          <w:p>
            <w:pPr>
              <w:pStyle w:val="Compact"/>
              <w:jc w:val="left"/>
            </w:pPr>
            <w:r>
              <w:t xml:space="preserve">MedGov + LawGov specialized Hives</w:t>
            </w:r>
          </w:p>
        </w:tc>
        <w:tc>
          <w:tcPr/>
          <w:p>
            <w:pPr>
              <w:pStyle w:val="Compact"/>
              <w:jc w:val="left"/>
            </w:pPr>
            <w:r>
              <w:t xml:space="preserve">EUR 1.0–2.0M</w:t>
            </w:r>
          </w:p>
        </w:tc>
        <w:tc>
          <w:tcPr/>
          <w:p>
            <w:pPr>
              <w:pStyle w:val="Compact"/>
              <w:jc w:val="left"/>
            </w:pPr>
            <w:r>
              <w:t xml:space="preserve">500,000+</w:t>
            </w:r>
          </w:p>
        </w:tc>
        <w:tc>
          <w:tcPr/>
          <w:p>
            <w:pPr>
              <w:pStyle w:val="Compact"/>
              <w:jc w:val="left"/>
            </w:pPr>
            <w:r>
              <w:t xml:space="preserve">EUR 12.0–24.0M</w:t>
            </w:r>
          </w:p>
        </w:tc>
      </w:tr>
      <w:tr>
        <w:tc>
          <w:tcPr/>
          <w:p>
            <w:pPr>
              <w:pStyle w:val="Compact"/>
              <w:jc w:val="left"/>
            </w:pPr>
            <w:r>
              <w:rPr>
                <w:bCs/>
                <w:b/>
              </w:rPr>
              <w:t xml:space="preserve">Phase 4A: Global Expansion</w:t>
            </w:r>
          </w:p>
        </w:tc>
        <w:tc>
          <w:tcPr/>
          <w:p>
            <w:pPr>
              <w:pStyle w:val="Compact"/>
              <w:jc w:val="left"/>
            </w:pPr>
            <w:r>
              <w:t xml:space="preserve">Year 2</w:t>
            </w:r>
          </w:p>
        </w:tc>
        <w:tc>
          <w:tcPr/>
          <w:p>
            <w:pPr>
              <w:pStyle w:val="Compact"/>
              <w:jc w:val="left"/>
            </w:pPr>
            <w:r>
              <w:t xml:space="preserve">50 jurisdictions; all 195 by Y2.5; 50,000+ satellite agents; AI agent governance across all platforms</w:t>
            </w:r>
          </w:p>
        </w:tc>
        <w:tc>
          <w:tcPr/>
          <w:p>
            <w:pPr>
              <w:pStyle w:val="Compact"/>
              <w:jc w:val="left"/>
            </w:pPr>
            <w:r>
              <w:t xml:space="preserve">EUR 3–5M</w:t>
            </w:r>
          </w:p>
        </w:tc>
        <w:tc>
          <w:tcPr/>
          <w:p>
            <w:pPr>
              <w:pStyle w:val="Compact"/>
              <w:jc w:val="left"/>
            </w:pPr>
            <w:r>
              <w:t xml:space="preserve">2,000,000+</w:t>
            </w:r>
          </w:p>
        </w:tc>
        <w:tc>
          <w:tcPr/>
          <w:p>
            <w:pPr>
              <w:pStyle w:val="Compact"/>
              <w:jc w:val="left"/>
            </w:pPr>
            <w:r>
              <w:t xml:space="preserve">EUR 36–60M</w:t>
            </w:r>
          </w:p>
        </w:tc>
      </w:tr>
      <w:tr>
        <w:tc>
          <w:tcPr/>
          <w:p>
            <w:pPr>
              <w:pStyle w:val="Compact"/>
              <w:jc w:val="left"/>
            </w:pPr>
            <w:r>
              <w:rPr>
                <w:bCs/>
                <w:b/>
              </w:rPr>
              <w:t xml:space="preserve">Phase 4B: Tokenization Matures</w:t>
            </w:r>
          </w:p>
        </w:tc>
        <w:tc>
          <w:tcPr/>
          <w:p>
            <w:pPr>
              <w:pStyle w:val="Compact"/>
              <w:jc w:val="left"/>
            </w:pPr>
            <w:r>
              <w:t xml:space="preserve">Year 2–2.5</w:t>
            </w:r>
          </w:p>
        </w:tc>
        <w:tc>
          <w:tcPr/>
          <w:p>
            <w:pPr>
              <w:pStyle w:val="Compact"/>
              <w:jc w:val="left"/>
            </w:pPr>
            <w:r>
              <w:t xml:space="preserve">5 token products; 10K+ daily attestation transactions; Governance Participation Token; $500K+ monthly DAT revenue</w:t>
            </w:r>
          </w:p>
        </w:tc>
        <w:tc>
          <w:tcPr/>
          <w:p>
            <w:pPr>
              <w:pStyle w:val="Compact"/>
              <w:jc w:val="left"/>
            </w:pPr>
            <w:r>
              <w:t xml:space="preserve">EUR 5–7M</w:t>
            </w:r>
          </w:p>
        </w:tc>
        <w:tc>
          <w:tcPr/>
          <w:p>
            <w:pPr>
              <w:pStyle w:val="Compact"/>
              <w:jc w:val="left"/>
            </w:pPr>
            <w:r>
              <w:t xml:space="preserve">3,000,000+</w:t>
            </w:r>
          </w:p>
        </w:tc>
        <w:tc>
          <w:tcPr/>
          <w:p>
            <w:pPr>
              <w:pStyle w:val="Compact"/>
              <w:jc w:val="left"/>
            </w:pPr>
            <w:r>
              <w:t xml:space="preserve">EUR 60–84M</w:t>
            </w:r>
          </w:p>
        </w:tc>
      </w:tr>
      <w:tr>
        <w:tc>
          <w:tcPr/>
          <w:p>
            <w:pPr>
              <w:pStyle w:val="Compact"/>
              <w:jc w:val="left"/>
            </w:pPr>
            <w:r>
              <w:rPr>
                <w:bCs/>
                <w:b/>
              </w:rPr>
              <w:t xml:space="preserve">Phase 4C: The Regulator Standard</w:t>
            </w:r>
          </w:p>
        </w:tc>
        <w:tc>
          <w:tcPr/>
          <w:p>
            <w:pPr>
              <w:pStyle w:val="Compact"/>
              <w:jc w:val="left"/>
            </w:pPr>
            <w:r>
              <w:t xml:space="preserve">Year 2.5–3</w:t>
            </w:r>
          </w:p>
        </w:tc>
        <w:tc>
          <w:tcPr/>
          <w:p>
            <w:pPr>
              <w:pStyle w:val="Compact"/>
              <w:jc w:val="left"/>
            </w:pPr>
            <w:r>
              <w:t xml:space="preserve">50+ national regulators; CSOAI Score as global standard; public score display; TrustPilot equivalence</w:t>
            </w:r>
          </w:p>
        </w:tc>
        <w:tc>
          <w:tcPr/>
          <w:p>
            <w:pPr>
              <w:pStyle w:val="Compact"/>
              <w:jc w:val="left"/>
            </w:pPr>
            <w:r>
              <w:t xml:space="preserve">EUR 5–10M</w:t>
            </w:r>
          </w:p>
        </w:tc>
        <w:tc>
          <w:tcPr/>
          <w:p>
            <w:pPr>
              <w:pStyle w:val="Compact"/>
              <w:jc w:val="left"/>
            </w:pPr>
            <w:r>
              <w:t xml:space="preserve">5,000,000+</w:t>
            </w:r>
          </w:p>
        </w:tc>
        <w:tc>
          <w:tcPr/>
          <w:p>
            <w:pPr>
              <w:pStyle w:val="Compact"/>
              <w:jc w:val="left"/>
            </w:pPr>
            <w:r>
              <w:t xml:space="preserve">EUR 60–120M</w:t>
            </w:r>
          </w:p>
        </w:tc>
      </w:tr>
      <w:tr>
        <w:tc>
          <w:tcPr/>
          <w:p>
            <w:pPr>
              <w:pStyle w:val="Compact"/>
              <w:jc w:val="left"/>
            </w:pPr>
            <w:r>
              <w:rPr>
                <w:bCs/>
                <w:b/>
              </w:rPr>
              <w:t xml:space="preserve">Phase 5A: Universal Score</w:t>
            </w:r>
          </w:p>
        </w:tc>
        <w:tc>
          <w:tcPr/>
          <w:p>
            <w:pPr>
              <w:pStyle w:val="Compact"/>
              <w:jc w:val="left"/>
            </w:pPr>
            <w:r>
              <w:t xml:space="preserve">Year 3–4</w:t>
            </w:r>
          </w:p>
        </w:tc>
        <w:tc>
          <w:tcPr/>
          <w:p>
            <w:pPr>
              <w:pStyle w:val="Compact"/>
              <w:jc w:val="left"/>
            </w:pPr>
            <w:r>
              <w:t xml:space="preserve">CSOAI Score checked before all major B2B transactions; universal reputation infrastructure</w:t>
            </w:r>
          </w:p>
        </w:tc>
        <w:tc>
          <w:tcPr/>
          <w:p>
            <w:pPr>
              <w:pStyle w:val="Compact"/>
              <w:jc w:val="left"/>
            </w:pPr>
            <w:r>
              <w:t xml:space="preserve">EUR 10–20M</w:t>
            </w:r>
          </w:p>
        </w:tc>
        <w:tc>
          <w:tcPr/>
          <w:p>
            <w:pPr>
              <w:pStyle w:val="Compact"/>
              <w:jc w:val="left"/>
            </w:pPr>
            <w:r>
              <w:t xml:space="preserve">7,000,000+</w:t>
            </w:r>
          </w:p>
        </w:tc>
        <w:tc>
          <w:tcPr/>
          <w:p>
            <w:pPr>
              <w:pStyle w:val="Compact"/>
              <w:jc w:val="left"/>
            </w:pPr>
            <w:r>
              <w:t xml:space="preserve">EUR 120–240M</w:t>
            </w:r>
          </w:p>
        </w:tc>
      </w:tr>
      <w:tr>
        <w:tc>
          <w:tcPr/>
          <w:p>
            <w:pPr>
              <w:pStyle w:val="Compact"/>
              <w:jc w:val="left"/>
            </w:pPr>
            <w:r>
              <w:rPr>
                <w:bCs/>
                <w:b/>
              </w:rPr>
              <w:t xml:space="preserve">Phase 5B: Interplanetary</w:t>
            </w:r>
          </w:p>
        </w:tc>
        <w:tc>
          <w:tcPr/>
          <w:p>
            <w:pPr>
              <w:pStyle w:val="Compact"/>
              <w:jc w:val="left"/>
            </w:pPr>
            <w:r>
              <w:t xml:space="preserve">Year 4–5</w:t>
            </w:r>
          </w:p>
        </w:tc>
        <w:tc>
          <w:tcPr/>
          <w:p>
            <w:pPr>
              <w:pStyle w:val="Compact"/>
              <w:jc w:val="left"/>
            </w:pPr>
            <w:r>
              <w:t xml:space="preserve">ArtemisGuard as lunar standard; Mars colony governance framework; delayed-communication AI supervision</w:t>
            </w:r>
          </w:p>
        </w:tc>
        <w:tc>
          <w:tcPr/>
          <w:p>
            <w:pPr>
              <w:pStyle w:val="Compact"/>
              <w:jc w:val="left"/>
            </w:pPr>
            <w:r>
              <w:t xml:space="preserve">EUR 15–25M</w:t>
            </w:r>
          </w:p>
        </w:tc>
        <w:tc>
          <w:tcPr/>
          <w:p>
            <w:pPr>
              <w:pStyle w:val="Compact"/>
              <w:jc w:val="left"/>
            </w:pPr>
            <w:r>
              <w:t xml:space="preserve">8,000,000+</w:t>
            </w:r>
          </w:p>
        </w:tc>
        <w:tc>
          <w:tcPr/>
          <w:p>
            <w:pPr>
              <w:pStyle w:val="Compact"/>
              <w:jc w:val="left"/>
            </w:pPr>
            <w:r>
              <w:t xml:space="preserve">EUR 180–300M</w:t>
            </w:r>
          </w:p>
        </w:tc>
      </w:tr>
      <w:tr>
        <w:tc>
          <w:tcPr/>
          <w:p>
            <w:pPr>
              <w:pStyle w:val="Compact"/>
              <w:jc w:val="left"/>
            </w:pPr>
            <w:r>
              <w:rPr>
                <w:bCs/>
                <w:b/>
              </w:rPr>
              <w:t xml:space="preserve">Phase 5C: The OS</w:t>
            </w:r>
          </w:p>
        </w:tc>
        <w:tc>
          <w:tcPr/>
          <w:p>
            <w:pPr>
              <w:pStyle w:val="Compact"/>
              <w:jc w:val="left"/>
            </w:pPr>
            <w:r>
              <w:t xml:space="preserve">Year 5</w:t>
            </w:r>
          </w:p>
        </w:tc>
        <w:tc>
          <w:tcPr/>
          <w:p>
            <w:pPr>
              <w:pStyle w:val="Compact"/>
              <w:jc w:val="left"/>
            </w:pPr>
            <w:r>
              <w:t xml:space="preserve">AI Economy OS complete; every AI agent checks CSOAI; every regulator uses CSOAI; every space agency depends on CSOAI</w:t>
            </w:r>
          </w:p>
        </w:tc>
        <w:tc>
          <w:tcPr/>
          <w:p>
            <w:pPr>
              <w:pStyle w:val="Compact"/>
              <w:jc w:val="left"/>
            </w:pPr>
            <w:r>
              <w:t xml:space="preserve">EUR 15–30M</w:t>
            </w:r>
          </w:p>
        </w:tc>
        <w:tc>
          <w:tcPr/>
          <w:p>
            <w:pPr>
              <w:pStyle w:val="Compact"/>
              <w:jc w:val="left"/>
            </w:pPr>
            <w:r>
              <w:t xml:space="preserve">10,000,000+</w:t>
            </w:r>
          </w:p>
        </w:tc>
        <w:tc>
          <w:tcPr/>
          <w:p>
            <w:pPr>
              <w:pStyle w:val="Compact"/>
              <w:jc w:val="left"/>
            </w:pPr>
            <w:r>
              <w:t xml:space="preserve">EUR 180–360M</w:t>
            </w:r>
          </w:p>
        </w:tc>
      </w:tr>
    </w:tbl>
    <w:p>
      <w:pPr>
        <w:pStyle w:val="BodyText"/>
      </w:pPr>
      <w:r>
        <w:rPr>
          <w:iCs/>
          <w:i/>
        </w:rPr>
        <w:t xml:space="preserve">Note: Revenue figures represent monthly recurring revenue (MRR) at phase conclusion. Cumulative ARR calculated from MRR × 12. Entity counts are cumulative totals across all Hives (Earth, Space, Digital). Phase overlaps are intentional — Space and Digital launches begin during Phase 1C, and missed lane expansion begins during Phase 2.</w:t>
      </w:r>
    </w:p>
    <w:p>
      <w:r>
        <w:pict>
          <v:rect style="width:0;height:1.5pt" o:hralign="center" o:hrstd="t" o:hr="t"/>
        </w:pic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2026-06-19T11:39:12Z</dcterms:created>
  <dcterms:modified xsi:type="dcterms:W3CDTF">2026-06-19T11:39:12Z</dcterms:modified>
</cp:coreProperties>
</file>

<file path=docProps/custom.xml><?xml version="1.0" encoding="utf-8"?>
<Properties xmlns="http://schemas.openxmlformats.org/officeDocument/2006/custom-properties" xmlns:vt="http://schemas.openxmlformats.org/officeDocument/2006/docPropsVTypes"/>
</file>