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f5182127266849381136bb3767facfe46e7015e"/>
    <w:p>
      <w:pPr>
        <w:pStyle w:val="Heading1"/>
      </w:pPr>
      <w:r>
        <w:t xml:space="preserve">CSOAI GRCIN: Global Regulatory Compliance Intelligence Network</w:t>
      </w:r>
    </w:p>
    <w:p>
      <w:pPr>
        <w:pStyle w:val="BlockText"/>
      </w:pPr>
      <w:r>
        <w:rPr>
          <w:bCs/>
          <w:b/>
        </w:rPr>
        <w:t xml:space="preserve">An AI-Powered Global Compliance Monitoring System That Knows Who’s Compliant, Alerts Non-Compliant Companies Before Deadlines, and Provides Intelligence to Regulators</w:t>
      </w:r>
    </w:p>
    <w:p>
      <w:pPr>
        <w:pStyle w:val="BlockText"/>
      </w:pPr>
      <w:r>
        <w:rPr>
          <w:bCs/>
          <w:b/>
        </w:rPr>
        <w:t xml:space="preserve">System Design Document</w:t>
      </w:r>
    </w:p>
    <w:p>
      <w:pPr>
        <w:pStyle w:val="BlockText"/>
      </w:pPr>
      <w:r>
        <w:rPr>
          <w:bCs/>
          <w:b/>
        </w:rPr>
        <w:t xml:space="preserve">Version:</w:t>
      </w:r>
      <w:r>
        <w:t xml:space="preserve"> </w:t>
      </w:r>
      <w:r>
        <w:t xml:space="preserve">1.0 |</w:t>
      </w:r>
      <w:r>
        <w:t xml:space="preserve"> </w:t>
      </w:r>
      <w:r>
        <w:rPr>
          <w:bCs/>
          <w:b/>
        </w:rPr>
        <w:t xml:space="preserve">Date:</w:t>
      </w:r>
      <w:r>
        <w:t xml:space="preserve"> </w:t>
      </w:r>
      <w:r>
        <w:t xml:space="preserve">June 2026 |</w:t>
      </w:r>
      <w:r>
        <w:t xml:space="preserve"> </w:t>
      </w:r>
      <w:r>
        <w:rPr>
          <w:bCs/>
          <w:b/>
        </w:rPr>
        <w:t xml:space="preserve">Prepared for:</w:t>
      </w:r>
      <w:r>
        <w:t xml:space="preserve"> </w:t>
      </w:r>
      <w:r>
        <w:t xml:space="preserve">Nick Templeman, CSOAI.org / meok.ai</w:t>
      </w:r>
    </w:p>
    <w:p>
      <w:r>
        <w:pict>
          <v:rect style="width:0;height:1.5pt" o:hralign="center" o:hrstd="t" o:hr="t"/>
        </w:pict>
      </w:r>
    </w:p>
    <w:bookmarkEnd w:id="20"/>
    <w:bookmarkStart w:id="22" w:name="csoai-grcin-system-design-document"/>
    <w:p>
      <w:pPr>
        <w:pStyle w:val="Heading1"/>
      </w:pPr>
      <w:r>
        <w:t xml:space="preserve">CSOAI GRCIN System Design Document</w:t>
      </w:r>
    </w:p>
    <w:bookmarkStart w:id="21" w:name="Xeed03651202077bd25cde028d69097fab354389"/>
    <w:p>
      <w:pPr>
        <w:pStyle w:val="Heading2"/>
      </w:pPr>
      <w:r>
        <w:t xml:space="preserve">Sections 1–2: System Architecture &amp; Global Regulatory Database</w:t>
      </w:r>
    </w:p>
    <w:p>
      <w:pPr>
        <w:pStyle w:val="FirstParagraph"/>
      </w:pPr>
      <w:r>
        <w:rPr>
          <w:bCs/>
          <w:b/>
        </w:rPr>
        <w:t xml:space="preserve">Document Version</w:t>
      </w:r>
      <w:r>
        <w:t xml:space="preserve">: 1.0</w:t>
      </w:r>
      <w:r>
        <w:br/>
      </w:r>
      <w:r>
        <w:rPr>
          <w:bCs/>
          <w:b/>
        </w:rPr>
        <w:t xml:space="preserve">Date</w:t>
      </w:r>
      <w:r>
        <w:t xml:space="preserve">: July 2025</w:t>
      </w:r>
      <w:r>
        <w:br/>
      </w:r>
      <w:r>
        <w:rPr>
          <w:bCs/>
          <w:b/>
        </w:rPr>
        <w:t xml:space="preserve">Author</w:t>
      </w:r>
      <w:r>
        <w:t xml:space="preserve">: CSOAI Architecture Team</w:t>
      </w:r>
      <w:r>
        <w:br/>
      </w:r>
      <w:r>
        <w:rPr>
          <w:bCs/>
          <w:b/>
        </w:rPr>
        <w:t xml:space="preserve">Classification</w:t>
      </w:r>
      <w:r>
        <w:t xml:space="preserve">: Design Document — Open Architecture</w:t>
      </w:r>
      <w:r>
        <w:br/>
      </w:r>
      <w:r>
        <w:rPr>
          <w:bCs/>
          <w:b/>
        </w:rPr>
        <w:t xml:space="preserve">Network</w:t>
      </w:r>
      <w:r>
        <w:t xml:space="preserve">: GRCIN (Global Regulatory Compliance Intelligence Network)</w:t>
      </w:r>
      <w:r>
        <w:br/>
      </w:r>
      <w:r>
        <w:rPr>
          <w:bCs/>
          <w:b/>
        </w:rPr>
        <w:t xml:space="preserve">Parent Organization</w:t>
      </w:r>
      <w:r>
        <w:t xml:space="preserve">: CSOAI.org / meok.ai</w:t>
      </w:r>
    </w:p>
    <w:p>
      <w:r>
        <w:pict>
          <v:rect style="width:0;height:1.5pt" o:hralign="center" o:hrstd="t" o:hr="t"/>
        </w:pict>
      </w:r>
    </w:p>
    <w:bookmarkEnd w:id="21"/>
    <w:bookmarkEnd w:id="22"/>
    <w:bookmarkStart w:id="34" w:name="X0877dae4b296e193426531258bae92aaadc18c5"/>
    <w:p>
      <w:pPr>
        <w:pStyle w:val="Heading1"/>
      </w:pPr>
      <w:r>
        <w:t xml:space="preserve">Section 1: System Architecture — The GRCIN Platform</w:t>
      </w:r>
    </w:p>
    <w:bookmarkStart w:id="29" w:name="the-five-layer-architecture"/>
    <w:p>
      <w:pPr>
        <w:pStyle w:val="Heading2"/>
      </w:pPr>
      <w:r>
        <w:t xml:space="preserve">1.1 The Five-Layer Architecture</w:t>
      </w:r>
    </w:p>
    <w:p>
      <w:pPr>
        <w:pStyle w:val="FirstParagraph"/>
      </w:pPr>
      <w:r>
        <w:t xml:space="preserve">The Global Regulatory Compliance Intelligence Network (GRCIN) is architected as a vertically integrated, five-layer intelligence platform that transforms raw regulatory publications into actionable compliance intelligence at planetary scale. Each layer is designed as a composable, MCP-native service boundary, enabling the 290+ existing MCP servers within the CSOAI ecosystem to plug directly into the pipeline as first-class data connectors and processing nodes. The architecture follows a</w:t>
      </w:r>
      <w:r>
        <w:t xml:space="preserve"> </w:t>
      </w:r>
      <w:r>
        <w:t xml:space="preserve">“</w:t>
      </w:r>
      <w:r>
        <w:t xml:space="preserve">crawl-to-cognition</w:t>
      </w:r>
      <w:r>
        <w:t xml:space="preserve">”</w:t>
      </w:r>
      <w:r>
        <w:t xml:space="preserve"> </w:t>
      </w:r>
      <w:r>
        <w:t xml:space="preserve">paradigm: data enters at the ingestion perimeter, flows through graph-based knowledge representation, receives multi-agent consensus assessment, triggers proactive intervention workflows, and culminates in regulator-facing strategic intelligence dashboards.</w:t>
      </w:r>
    </w:p>
    <w:p>
      <w:pPr>
        <w:pStyle w:val="BodyText"/>
      </w:pPr>
      <w:r>
        <w:t xml:space="preserve">This five-layer model was chosen over conventional three-tier architectures because regulatory compliance is fundamentally a graph-shaped problem — companies exist in multidimensional relationship spaces with regulations, frameworks, jurisdictions, deadlines, and penalty structures. A flat relational model would require prohibitively expensive joins across tables that grow quadratically with each new regulation added. The graph approach, combined with CSOAI’s existing Ed25519 attestation infrastructure, ensures that every node and relationship carries cryptographic provenance — a requirement that will become non-negotiable as regulators themselves begin demanding algorithmic audit trails for automated compliance systems</w:t>
      </w:r>
      <w:r>
        <w:t xml:space="preserve"> </w:t>
      </w:r>
      <w:r>
        <w:rPr>
          <w:vertAlign w:val="superscript"/>
        </w:rPr>
        <w:footnoteReference w:id="1"/>
      </w:r>
      <w:r>
        <w:t xml:space="preserve">.</w:t>
      </w:r>
    </w:p>
    <w:bookmarkStart w:id="23" w:name="X6e22d3b69c2fdb86765744e2349b50e2106632d"/>
    <w:p>
      <w:pPr>
        <w:pStyle w:val="Heading3"/>
      </w:pPr>
      <w:r>
        <w:t xml:space="preserve">1.1.1 Ingestion Layer: Regulatory Perimeter Crawlers</w:t>
      </w:r>
    </w:p>
    <w:p>
      <w:pPr>
        <w:pStyle w:val="FirstParagraph"/>
      </w:pPr>
      <w:r>
        <w:t xml:space="preserve">The Ingestion Layer operates as a distributed crawling mesh spanning 100+ regulatory bodies across the European Union, Five Eyes alliance, and Asia-Pacific financial centers. At its core is a scheduler-coordinated fleet of MCP-server-based crawlers that execute daily against a prioritized target list of regulatory publication endpoints. Primary targets include the EU Official Journal (eur-lex.europa.eu), EBA Publications (eba.europa.eu/regulation-and-policy), ESMA News (esma.europa.eu/press-news), EIOPA Updates (eiopa.europa.eu), BaFin circulars (bafin.de), FCA policy statements (fca.org.uk/news), SEC rulemaking releases (sec.gov/rules), APRA prudential standards (apra.gov.au), and MAS guidelines (mas.gov.sg).</w:t>
      </w:r>
    </w:p>
    <w:p>
      <w:pPr>
        <w:pStyle w:val="BodyText"/>
      </w:pPr>
      <w:r>
        <w:t xml:space="preserve">Each crawler instance is an MCP tool invocation with structured output schemas conforming to CSOAI’s Pheromone signal format. The crawling strategy employs a three-tier prioritization:</w:t>
      </w:r>
      <w:r>
        <w:t xml:space="preserve"> </w:t>
      </w:r>
      <w:r>
        <w:rPr>
          <w:bCs/>
          <w:b/>
        </w:rPr>
        <w:t xml:space="preserve">Tier 1</w:t>
      </w:r>
      <w:r>
        <w:t xml:space="preserve"> </w:t>
      </w:r>
      <w:r>
        <w:t xml:space="preserve">sources (high-impact regulators with cross-border effect) are polled every 4 hours;</w:t>
      </w:r>
      <w:r>
        <w:t xml:space="preserve"> </w:t>
      </w:r>
      <w:r>
        <w:rPr>
          <w:bCs/>
          <w:b/>
        </w:rPr>
        <w:t xml:space="preserve">Tier 2</w:t>
      </w:r>
      <w:r>
        <w:t xml:space="preserve"> </w:t>
      </w:r>
      <w:r>
        <w:t xml:space="preserve">sources (national competent authorities) are polled daily;</w:t>
      </w:r>
      <w:r>
        <w:t xml:space="preserve"> </w:t>
      </w:r>
      <w:r>
        <w:rPr>
          <w:bCs/>
          <w:b/>
        </w:rPr>
        <w:t xml:space="preserve">Tier 3</w:t>
      </w:r>
      <w:r>
        <w:t xml:space="preserve"> </w:t>
      </w:r>
      <w:r>
        <w:t xml:space="preserve">sources (industry associations, parliamentary records, consultation papers) are polled weekly. RSS feeds are consumed via real-time webhooks where available, reducing latency from publication to ingestion from hours to minutes. The layer also subscribes to Thomson Reuters Regulatory Intelligence and Bloomberg Law API feeds as secondary confirmation channels, cross-referencing official publications against commercial legal databases to detect discrepancies or missed updates</w:t>
      </w:r>
      <w:r>
        <w:t xml:space="preserve"> </w:t>
      </w:r>
      <w:r>
        <w:rPr>
          <w:vertAlign w:val="superscript"/>
        </w:rPr>
        <w:footnoteReference w:id="2"/>
      </w:r>
      <w:r>
        <w:t xml:space="preserve">.</w:t>
      </w:r>
    </w:p>
    <w:p>
      <w:pPr>
        <w:pStyle w:val="BodyText"/>
      </w:pPr>
      <w:r>
        <w:t xml:space="preserve">CSOAI’s existing MCP server fleet provides the connector fabric. Each regulatory domain has a dedicated MCP server exposing tools such as</w:t>
      </w:r>
      <w:r>
        <w:t xml:space="preserve"> </w:t>
      </w:r>
      <w:r>
        <w:rPr>
          <w:rStyle w:val="VerbatimChar"/>
        </w:rPr>
        <w:t xml:space="preserve">crawl_eu_oj</w:t>
      </w:r>
      <w:r>
        <w:t xml:space="preserve">,</w:t>
      </w:r>
      <w:r>
        <w:t xml:space="preserve"> </w:t>
      </w:r>
      <w:r>
        <w:rPr>
          <w:rStyle w:val="VerbatimChar"/>
        </w:rPr>
        <w:t xml:space="preserve">fetch_bafin_circular</w:t>
      </w:r>
      <w:r>
        <w:t xml:space="preserve">,</w:t>
      </w:r>
      <w:r>
        <w:t xml:space="preserve"> </w:t>
      </w:r>
      <w:r>
        <w:rPr>
          <w:rStyle w:val="VerbatimChar"/>
        </w:rPr>
        <w:t xml:space="preserve">parse_sec_release</w:t>
      </w:r>
      <w:r>
        <w:t xml:space="preserve">, and</w:t>
      </w:r>
      <w:r>
        <w:t xml:space="preserve"> </w:t>
      </w:r>
      <w:r>
        <w:rPr>
          <w:rStyle w:val="VerbatimChar"/>
        </w:rPr>
        <w:t xml:space="preserve">poll_mas_guideline</w:t>
      </w:r>
      <w:r>
        <w:t xml:space="preserve">. These servers leverage the x402 micropayment protocol for per-call cost tracking, ensuring that ingestion costs are transparently attributed to specific regulatory domains and can be recovered via usage-based pricing for enterprise subscribers. The ingestion layer outputs standardized Regulation Documents — markdown-normalized, metadata-tagged, and Ed25519-signed by the crawling agent — which are then queued for the Knowledge Graph Layer.</w:t>
      </w:r>
    </w:p>
    <w:bookmarkEnd w:id="23"/>
    <w:bookmarkStart w:id="24" w:name="X6c34fc949ea0b51e6b053c2f8cba656a1e95790"/>
    <w:p>
      <w:pPr>
        <w:pStyle w:val="Heading3"/>
      </w:pPr>
      <w:r>
        <w:t xml:space="preserve">1.1.2 Knowledge Graph Layer: The Compliance Ontology</w:t>
      </w:r>
    </w:p>
    <w:p>
      <w:pPr>
        <w:pStyle w:val="FirstParagraph"/>
      </w:pPr>
      <w:r>
        <w:t xml:space="preserve">The Knowledge Graph Layer is the semantic backbone of GRCIN, implemented on Neo4j Enterprise with graph algorithms library enabled. It stores entities as typed nodes and compliance relationships as directed, property-rich edges. Every node created in this layer is Ed25519-attested using CSOAI’s existing attestation infrastructure — the same cryptographic provenance system that underpins the BFT Council’s consensus mechanism. This means that a query asking</w:t>
      </w:r>
      <w:r>
        <w:t xml:space="preserve"> </w:t>
      </w:r>
      <w:r>
        <w:t xml:space="preserve">“</w:t>
      </w:r>
      <w:r>
        <w:t xml:space="preserve">which companies are subject to DORA Article 28</w:t>
      </w:r>
      <w:r>
        <w:t xml:space="preserve">”</w:t>
      </w:r>
      <w:r>
        <w:t xml:space="preserve"> </w:t>
      </w:r>
      <w:r>
        <w:t xml:space="preserve">returns not just a list, but a cryptographically verifiable proof chain back to the original regulatory publication, the parsing agent, the classification consensus, and the timestamp of insertion.</w:t>
      </w:r>
    </w:p>
    <w:p>
      <w:pPr>
        <w:pStyle w:val="BodyText"/>
      </w:pPr>
      <w:r>
        <w:t xml:space="preserve">The graph schema (detailed in Section 2.3) defines eleven core node types:</w:t>
      </w:r>
      <w:r>
        <w:t xml:space="preserve"> </w:t>
      </w:r>
      <w:r>
        <w:rPr>
          <w:rStyle w:val="VerbatimChar"/>
        </w:rPr>
        <w:t xml:space="preserve">Regulation</w:t>
      </w:r>
      <w:r>
        <w:t xml:space="preserve">,</w:t>
      </w:r>
      <w:r>
        <w:t xml:space="preserve"> </w:t>
      </w:r>
      <w:r>
        <w:rPr>
          <w:rStyle w:val="VerbatimChar"/>
        </w:rPr>
        <w:t xml:space="preserve">Article</w:t>
      </w:r>
      <w:r>
        <w:t xml:space="preserve">,</w:t>
      </w:r>
      <w:r>
        <w:t xml:space="preserve"> </w:t>
      </w:r>
      <w:r>
        <w:rPr>
          <w:rStyle w:val="VerbatimChar"/>
        </w:rPr>
        <w:t xml:space="preserve">Requirement</w:t>
      </w:r>
      <w:r>
        <w:t xml:space="preserve">,</w:t>
      </w:r>
      <w:r>
        <w:t xml:space="preserve"> </w:t>
      </w:r>
      <w:r>
        <w:rPr>
          <w:rStyle w:val="VerbatimChar"/>
        </w:rPr>
        <w:t xml:space="preserve">Framework</w:t>
      </w:r>
      <w:r>
        <w:t xml:space="preserve">,</w:t>
      </w:r>
      <w:r>
        <w:t xml:space="preserve"> </w:t>
      </w:r>
      <w:r>
        <w:rPr>
          <w:rStyle w:val="VerbatimChar"/>
        </w:rPr>
        <w:t xml:space="preserve">Jurisdiction</w:t>
      </w:r>
      <w:r>
        <w:t xml:space="preserve">,</w:t>
      </w:r>
      <w:r>
        <w:t xml:space="preserve"> </w:t>
      </w:r>
      <w:r>
        <w:rPr>
          <w:rStyle w:val="VerbatimChar"/>
        </w:rPr>
        <w:t xml:space="preserve">Company</w:t>
      </w:r>
      <w:r>
        <w:t xml:space="preserve">,</w:t>
      </w:r>
      <w:r>
        <w:t xml:space="preserve"> </w:t>
      </w:r>
      <w:r>
        <w:rPr>
          <w:rStyle w:val="VerbatimChar"/>
        </w:rPr>
        <w:t xml:space="preserve">Industry</w:t>
      </w:r>
      <w:r>
        <w:t xml:space="preserve">,</w:t>
      </w:r>
      <w:r>
        <w:t xml:space="preserve"> </w:t>
      </w:r>
      <w:r>
        <w:rPr>
          <w:rStyle w:val="VerbatimChar"/>
        </w:rPr>
        <w:t xml:space="preserve">Deadline</w:t>
      </w:r>
      <w:r>
        <w:t xml:space="preserve">,</w:t>
      </w:r>
      <w:r>
        <w:t xml:space="preserve"> </w:t>
      </w:r>
      <w:r>
        <w:rPr>
          <w:rStyle w:val="VerbatimChar"/>
        </w:rPr>
        <w:t xml:space="preserve">Penalty</w:t>
      </w:r>
      <w:r>
        <w:t xml:space="preserve">,</w:t>
      </w:r>
      <w:r>
        <w:t xml:space="preserve"> </w:t>
      </w:r>
      <w:r>
        <w:rPr>
          <w:rStyle w:val="VerbatimChar"/>
        </w:rPr>
        <w:t xml:space="preserve">Control</w:t>
      </w:r>
      <w:r>
        <w:t xml:space="preserve">, and</w:t>
      </w:r>
      <w:r>
        <w:t xml:space="preserve"> </w:t>
      </w:r>
      <w:r>
        <w:rPr>
          <w:rStyle w:val="VerbatimChar"/>
        </w:rPr>
        <w:t xml:space="preserve">AssessmentResult</w:t>
      </w:r>
      <w:r>
        <w:t xml:space="preserve">. Relationships are typed and carry temporal properties — for example, a</w:t>
      </w:r>
      <w:r>
        <w:t xml:space="preserve"> </w:t>
      </w:r>
      <w:r>
        <w:rPr>
          <w:rStyle w:val="VerbatimChar"/>
        </w:rPr>
        <w:t xml:space="preserve">(Company)-[:SUBJECT_TO {from: '2025-01-17', basis: 'DORA Article 2(1)'}]-&gt;(Regulation)</w:t>
      </w:r>
      <w:r>
        <w:t xml:space="preserve"> </w:t>
      </w:r>
      <w:r>
        <w:t xml:space="preserve">edge captures not just the fact of subjection, but its legal basis and effective date. This temporal dimension is critical for regulations like DORA that have phased implementation schedules, where the same company may transition from out-of-scope to in-scope based on asset thresholds or service classifications</w:t>
      </w:r>
      <w:r>
        <w:t xml:space="preserve"> </w:t>
      </w:r>
      <w:r>
        <w:rPr>
          <w:vertAlign w:val="superscript"/>
        </w:rPr>
        <w:footnoteReference w:id="3"/>
      </w:r>
      <w:r>
        <w:t xml:space="preserve">.</w:t>
      </w:r>
    </w:p>
    <w:p>
      <w:pPr>
        <w:pStyle w:val="BodyText"/>
      </w:pPr>
      <w:r>
        <w:t xml:space="preserve">The layer exposes both Cypher query endpoints (for internal GRCIN services) and GraphQL interfaces (for external subscribers and regulator dashboards). Graph embeddings are computed weekly using GraphSAGE over the compliance subgraph, enabling similarity-based recommendations:</w:t>
      </w:r>
      <w:r>
        <w:t xml:space="preserve"> </w:t>
      </w:r>
      <w:r>
        <w:t xml:space="preserve">“</w:t>
      </w:r>
      <w:r>
        <w:t xml:space="preserve">Companies with compliance profiles similar to yours have implemented these controls for DORA Article 6.</w:t>
      </w:r>
      <w:r>
        <w:t xml:space="preserve">”</w:t>
      </w:r>
      <w:r>
        <w:t xml:space="preserve"> </w:t>
      </w:r>
      <w:r>
        <w:t xml:space="preserve">The Knowledge Graph Layer consumes Regulation Documents from the Ingestion Layer and outputs structured graph mutations — batches of nodes and edges ready for assessment.</w:t>
      </w:r>
    </w:p>
    <w:bookmarkEnd w:id="24"/>
    <w:bookmarkStart w:id="25" w:name="assessment-engine-bft-consensus-scoring"/>
    <w:p>
      <w:pPr>
        <w:pStyle w:val="Heading3"/>
      </w:pPr>
      <w:r>
        <w:t xml:space="preserve">1.1.3 Assessment Engine: BFT Consensus Scoring</w:t>
      </w:r>
    </w:p>
    <w:p>
      <w:pPr>
        <w:pStyle w:val="FirstParagraph"/>
      </w:pPr>
      <w:r>
        <w:t xml:space="preserve">The Assessment Engine is the cognitive core of GRCIN, leveraging CSOAI’s existing BFT (Byzantine Fault Tolerant) Council architecture. Five independently operated LLM agents — each running a different model architecture (e.g., GPT-4-class, Claude-class, Llama-class, Mistral-class, and a fine-tuned regulatory specialist) — independently assess each company’s compliance status against each applicable regulation. The agents receive identical prompts containing: the company’s public disclosures, the regulatory requirements, the knowledge graph context (related controls, past assessments, industry benchmarks), and the specific assessment rubric for that regulation.</w:t>
      </w:r>
    </w:p>
    <w:p>
      <w:pPr>
        <w:pStyle w:val="BodyText"/>
      </w:pPr>
      <w:r>
        <w:t xml:space="preserve">Each agent produces a compliance score (0–100%), a confidence interval, a narrative justification, and a list of identified gaps with recommended remediation actions. The five scores are then fed into the BFT consensus mechanism: if at least 4 of 5 agents agree within a 15-percentage-point band, the median score is accepted as the official GRCIN compliance score and cryptographically signed using the Council’s collective Ed25519 threshold key. If consensus is not reached, the assessment is escalated to human regulatory analysts on the CSOAI Worm Hive network for manual review</w:t>
      </w:r>
      <w:r>
        <w:t xml:space="preserve"> </w:t>
      </w:r>
      <w:r>
        <w:rPr>
          <w:vertAlign w:val="superscript"/>
        </w:rPr>
        <w:footnoteReference w:id="4"/>
      </w:r>
      <w:r>
        <w:t xml:space="preserve">.</w:t>
      </w:r>
    </w:p>
    <w:p>
      <w:pPr>
        <w:pStyle w:val="BodyText"/>
      </w:pPr>
      <w:r>
        <w:t xml:space="preserve">This multi-agent consensus design directly addresses the single-source-of-failure problem that plagues conventional compliance automation tools. A single LLM hallucinating a false-positive compliance determination could expose a company to regulatory penalty; the BFT Council reduces this risk exponentially by requiring supermajority agreement across model architectures. The Assessment Engine consumes structured graph data and outputs</w:t>
      </w:r>
      <w:r>
        <w:t xml:space="preserve"> </w:t>
      </w:r>
      <w:r>
        <w:rPr>
          <w:rStyle w:val="VerbatimChar"/>
        </w:rPr>
        <w:t xml:space="preserve">AssessmentResult</w:t>
      </w:r>
      <w:r>
        <w:t xml:space="preserve"> </w:t>
      </w:r>
      <w:r>
        <w:t xml:space="preserve">nodes attached to</w:t>
      </w:r>
      <w:r>
        <w:t xml:space="preserve"> </w:t>
      </w:r>
      <w:r>
        <w:rPr>
          <w:rStyle w:val="VerbatimChar"/>
        </w:rPr>
        <w:t xml:space="preserve">(Company)-[:ASSESSED_AS]-&gt;(Regulation)</w:t>
      </w:r>
      <w:r>
        <w:t xml:space="preserve"> </w:t>
      </w:r>
      <w:r>
        <w:t xml:space="preserve">edges, each signed by the Council threshold key and timestamped on the internal attestation log.</w:t>
      </w:r>
    </w:p>
    <w:bookmarkEnd w:id="25"/>
    <w:bookmarkStart w:id="26" w:name="X719a52482a106d00dc876397ecea7efd14b5230"/>
    <w:p>
      <w:pPr>
        <w:pStyle w:val="Heading3"/>
      </w:pPr>
      <w:r>
        <w:t xml:space="preserve">1.1.4 Action Layer: Proactive Compliance Orchestration</w:t>
      </w:r>
    </w:p>
    <w:p>
      <w:pPr>
        <w:pStyle w:val="FirstParagraph"/>
      </w:pPr>
      <w:r>
        <w:t xml:space="preserve">The Action Layer translates assessment results into tangible interventions. It operates on a trigger-condition-action model with three primary trigger categories:</w:t>
      </w:r>
      <w:r>
        <w:t xml:space="preserve"> </w:t>
      </w:r>
      <w:r>
        <w:rPr>
          <w:bCs/>
          <w:b/>
        </w:rPr>
        <w:t xml:space="preserve">Gap Detected</w:t>
      </w:r>
      <w:r>
        <w:t xml:space="preserve"> </w:t>
      </w:r>
      <w:r>
        <w:t xml:space="preserve">(compliance score drops below threshold),</w:t>
      </w:r>
      <w:r>
        <w:t xml:space="preserve"> </w:t>
      </w:r>
      <w:r>
        <w:rPr>
          <w:bCs/>
          <w:b/>
        </w:rPr>
        <w:t xml:space="preserve">Deadline Approaching</w:t>
      </w:r>
      <w:r>
        <w:t xml:space="preserve"> </w:t>
      </w:r>
      <w:r>
        <w:t xml:space="preserve">(within 30/60/90 days of a regulatory deadline), and</w:t>
      </w:r>
      <w:r>
        <w:t xml:space="preserve"> </w:t>
      </w:r>
      <w:r>
        <w:rPr>
          <w:bCs/>
          <w:b/>
        </w:rPr>
        <w:t xml:space="preserve">Regulation Changed</w:t>
      </w:r>
      <w:r>
        <w:t xml:space="preserve"> </w:t>
      </w:r>
      <w:r>
        <w:t xml:space="preserve">(new amendment or guidance affects existing assessment). When triggered, the Action Layer executes a personalized outreach sequence.</w:t>
      </w:r>
    </w:p>
    <w:p>
      <w:pPr>
        <w:pStyle w:val="BodyText"/>
      </w:pPr>
      <w:r>
        <w:t xml:space="preserve">The outreach sequence is configurable per company tier. For Tier 1 companies (systemically important financial institutions), the sequence includes: (1) real-time API notification to the company’s GRC platform via webhook, (2) encrypted email to the CRO/Head of Compliance with a detailed gap analysis report, (3) dashboard alert escalation if no acknowledgment within 48 hours, and (4) optional direct outreach via CSOAI’s Worm Hive secure messaging to the company’s designated compliance contact. For Tier 2 and Tier 3 companies, the sequence is progressively lighter but still ensures awareness</w:t>
      </w:r>
      <w:r>
        <w:t xml:space="preserve"> </w:t>
      </w:r>
      <w:r>
        <w:rPr>
          <w:vertAlign w:val="superscript"/>
        </w:rPr>
        <w:footnoteReference w:id="5"/>
      </w:r>
      <w:r>
        <w:t xml:space="preserve">.</w:t>
      </w:r>
    </w:p>
    <w:p>
      <w:pPr>
        <w:pStyle w:val="BodyText"/>
      </w:pPr>
      <w:r>
        <w:t xml:space="preserve">The Action Layer also generates standardized compliance reports in formats accepted by regulators — for example, DORA Register of Information templates, EU AI Act conformity assessment documentation, and GDPR Records of Processing Activities. These reports are pre-filled with data from the Knowledge Graph and assessment results, dramatically reducing the manual effort required from compliance teams. The layer consumes Assessment Results and outputs outreach events, notifications, and regulatory reports — all logged and auditable via the attestation chain.</w:t>
      </w:r>
    </w:p>
    <w:bookmarkEnd w:id="26"/>
    <w:bookmarkStart w:id="27" w:name="Xf5c917c714eaf0195c122e676ec572cfd1e51bf"/>
    <w:p>
      <w:pPr>
        <w:pStyle w:val="Heading3"/>
      </w:pPr>
      <w:r>
        <w:t xml:space="preserve">1.1.5 Intelligence Layer: Regulator-Facing Strategic Command</w:t>
      </w:r>
    </w:p>
    <w:p>
      <w:pPr>
        <w:pStyle w:val="FirstParagraph"/>
      </w:pPr>
      <w:r>
        <w:t xml:space="preserve">The Intelligence Layer is GRCIN’s outward-facing strategic product — a set of interactive dashboards and API endpoints designed for consumption by regulatory authorities, supervisory bodies, and policy research institutions. CSOAI can offer this layer as a subscription service to regulators including the European Commission, BaFin, FCA, APRA, and MAS, providing them with an unprecedented real-time view of compliance landscapes across their jurisdictions.</w:t>
      </w:r>
    </w:p>
    <w:p>
      <w:pPr>
        <w:pStyle w:val="BodyText"/>
      </w:pPr>
      <w:r>
        <w:t xml:space="preserve">Core dashboard modules include:</w:t>
      </w:r>
      <w:r>
        <w:t xml:space="preserve"> </w:t>
      </w:r>
      <w:r>
        <w:rPr>
          <w:bCs/>
          <w:b/>
        </w:rPr>
        <w:t xml:space="preserve">Compliance Heatmaps</w:t>
      </w:r>
      <w:r>
        <w:t xml:space="preserve"> </w:t>
      </w:r>
      <w:r>
        <w:t xml:space="preserve">(geographic and sectoral views showing compliance score distributions across regulated populations),</w:t>
      </w:r>
      <w:r>
        <w:t xml:space="preserve"> </w:t>
      </w:r>
      <w:r>
        <w:rPr>
          <w:bCs/>
          <w:b/>
        </w:rPr>
        <w:t xml:space="preserve">Non-Compliance Watchlists</w:t>
      </w:r>
      <w:r>
        <w:t xml:space="preserve"> </w:t>
      </w:r>
      <w:r>
        <w:t xml:space="preserve">(ranked lists of companies with identified gaps, filterable by severity and deadline proximity),</w:t>
      </w:r>
      <w:r>
        <w:t xml:space="preserve"> </w:t>
      </w:r>
      <w:r>
        <w:rPr>
          <w:bCs/>
          <w:b/>
        </w:rPr>
        <w:t xml:space="preserve">Trend Analysis</w:t>
      </w:r>
      <w:r>
        <w:t xml:space="preserve"> </w:t>
      </w:r>
      <w:r>
        <w:t xml:space="preserve">(time-series visualization of compliance score movements, new gap emergence rates, and remediation velocity),</w:t>
      </w:r>
      <w:r>
        <w:t xml:space="preserve"> </w:t>
      </w:r>
      <w:r>
        <w:rPr>
          <w:bCs/>
          <w:b/>
        </w:rPr>
        <w:t xml:space="preserve">Predictive Risk Scoring</w:t>
      </w:r>
      <w:r>
        <w:t xml:space="preserve"> </w:t>
      </w:r>
      <w:r>
        <w:t xml:space="preserve">(ML models trained on historical compliance trajectories to predict which companies are likely to miss upcoming deadlines), and</w:t>
      </w:r>
      <w:r>
        <w:t xml:space="preserve"> </w:t>
      </w:r>
      <w:r>
        <w:rPr>
          <w:bCs/>
          <w:b/>
        </w:rPr>
        <w:t xml:space="preserve">Regulatory Impact Simulation</w:t>
      </w:r>
      <w:r>
        <w:t xml:space="preserve"> </w:t>
      </w:r>
      <w:r>
        <w:t xml:space="preserve">(what-if modeling:</w:t>
      </w:r>
      <w:r>
        <w:t xml:space="preserve"> </w:t>
      </w:r>
      <w:r>
        <w:t xml:space="preserve">“</w:t>
      </w:r>
      <w:r>
        <w:t xml:space="preserve">If we amend Article 6 to require X, which companies would become non-compliant?</w:t>
      </w:r>
      <w:r>
        <w:t xml:space="preserve">”</w:t>
      </w:r>
      <w:r>
        <w:t xml:space="preserve">)</w:t>
      </w:r>
      <w:r>
        <w:t xml:space="preserve"> </w:t>
      </w:r>
      <w:r>
        <w:rPr>
          <w:vertAlign w:val="superscript"/>
        </w:rPr>
        <w:footnoteReference w:id="6"/>
      </w:r>
      <w:r>
        <w:t xml:space="preserve">.</w:t>
      </w:r>
    </w:p>
    <w:p>
      <w:pPr>
        <w:pStyle w:val="BodyText"/>
      </w:pPr>
      <w:r>
        <w:t xml:space="preserve">The Intelligence Layer leverages CSOAI’s existing Daily Intel Brief infrastructure, extending it from internal consumption to regulator-facing products. All data presented is sourced from the cryptographically attested Knowledge Graph, meaning regulators can verify the provenance of every data point back to original regulatory text and assessment consensus. This creates a trusted data layer between the private sector (companies) and public sector (regulators) — a role that no existing compliance technology vendor occupies.</w:t>
      </w:r>
    </w:p>
    <w:bookmarkEnd w:id="27"/>
    <w:bookmarkStart w:id="28" w:name="Xc1a1b7070b8f800ba84278a01ab08ada7e1f132"/>
    <w:p>
      <w:pPr>
        <w:pStyle w:val="Heading3"/>
      </w:pPr>
      <w:r>
        <w:t xml:space="preserve">Table 1: GRCIN Five-Layer Architecture Summary</w:t>
      </w:r>
    </w:p>
    <w:tbl>
      <w:tblPr>
        <w:tblStyle w:val="Table"/>
        <w:tblW w:type="pct" w:w="5000"/>
        <w:tblLook w:firstRow="1" w:lastRow="0" w:firstColumn="0" w:lastColumn="0" w:noHBand="0" w:noVBand="0" w:val="0020"/>
      </w:tblPr>
      <w:tblGrid>
        <w:gridCol w:w="827"/>
        <w:gridCol w:w="1182"/>
        <w:gridCol w:w="2127"/>
        <w:gridCol w:w="2009"/>
        <w:gridCol w:w="827"/>
        <w:gridCol w:w="945"/>
      </w:tblGrid>
      <w:tr>
        <w:trPr>
          <w:tblHeader w:val="true"/>
        </w:trPr>
        <w:tc>
          <w:tcPr/>
          <w:p>
            <w:pPr>
              <w:pStyle w:val="Compact"/>
              <w:jc w:val="left"/>
            </w:pPr>
            <w:r>
              <w:t xml:space="preserve">Layer</w:t>
            </w:r>
          </w:p>
        </w:tc>
        <w:tc>
          <w:tcPr/>
          <w:p>
            <w:pPr>
              <w:pStyle w:val="Compact"/>
              <w:jc w:val="left"/>
            </w:pPr>
            <w:r>
              <w:t xml:space="preserve">Function</w:t>
            </w:r>
          </w:p>
        </w:tc>
        <w:tc>
          <w:tcPr/>
          <w:p>
            <w:pPr>
              <w:pStyle w:val="Compact"/>
              <w:jc w:val="left"/>
            </w:pPr>
            <w:r>
              <w:t xml:space="preserve">Technology Stack</w:t>
            </w:r>
          </w:p>
        </w:tc>
        <w:tc>
          <w:tcPr/>
          <w:p>
            <w:pPr>
              <w:pStyle w:val="Compact"/>
              <w:jc w:val="left"/>
            </w:pPr>
            <w:r>
              <w:t xml:space="preserve">CSOAI Component</w:t>
            </w:r>
          </w:p>
        </w:tc>
        <w:tc>
          <w:tcPr/>
          <w:p>
            <w:pPr>
              <w:pStyle w:val="Compact"/>
              <w:jc w:val="left"/>
            </w:pPr>
            <w:r>
              <w:t xml:space="preserve">Input</w:t>
            </w:r>
          </w:p>
        </w:tc>
        <w:tc>
          <w:tcPr/>
          <w:p>
            <w:pPr>
              <w:pStyle w:val="Compact"/>
              <w:jc w:val="left"/>
            </w:pPr>
            <w:r>
              <w:t xml:space="preserve">Output</w:t>
            </w:r>
          </w:p>
        </w:tc>
      </w:tr>
      <w:tr>
        <w:tc>
          <w:tcPr/>
          <w:p>
            <w:pPr>
              <w:pStyle w:val="Compact"/>
              <w:jc w:val="left"/>
            </w:pPr>
            <w:r>
              <w:rPr>
                <w:bCs/>
                <w:b/>
              </w:rPr>
              <w:t xml:space="preserve">1. Ingestion</w:t>
            </w:r>
          </w:p>
        </w:tc>
        <w:tc>
          <w:tcPr/>
          <w:p>
            <w:pPr>
              <w:pStyle w:val="Compact"/>
              <w:jc w:val="left"/>
            </w:pPr>
            <w:r>
              <w:t xml:space="preserve">Regulatory data acquisition</w:t>
            </w:r>
          </w:p>
        </w:tc>
        <w:tc>
          <w:tcPr/>
          <w:p>
            <w:pPr>
              <w:pStyle w:val="Compact"/>
              <w:jc w:val="left"/>
            </w:pPr>
            <w:r>
              <w:t xml:space="preserve">Python crawlers, Playwright, RSS/REST/webhook consumers, Redis queues, PostgreSQL staging</w:t>
            </w:r>
          </w:p>
        </w:tc>
        <w:tc>
          <w:tcPr/>
          <w:p>
            <w:pPr>
              <w:pStyle w:val="Compact"/>
              <w:jc w:val="left"/>
            </w:pPr>
            <w:r>
              <w:t xml:space="preserve">290+ MCP servers (domain-specific crawlers), Pheromone signals, x402 micropayments</w:t>
            </w:r>
          </w:p>
        </w:tc>
        <w:tc>
          <w:tcPr/>
          <w:p>
            <w:pPr>
              <w:pStyle w:val="Compact"/>
              <w:jc w:val="left"/>
            </w:pPr>
            <w:r>
              <w:t xml:space="preserve">Raw regulatory publications from 100+ regulatory bodies</w:t>
            </w:r>
          </w:p>
        </w:tc>
        <w:tc>
          <w:tcPr/>
          <w:p>
            <w:pPr>
              <w:pStyle w:val="Compact"/>
              <w:jc w:val="left"/>
            </w:pPr>
            <w:r>
              <w:t xml:space="preserve">Ed25519-signed Regulation Documents (markdown + metadata)</w:t>
            </w:r>
          </w:p>
        </w:tc>
      </w:tr>
      <w:tr>
        <w:tc>
          <w:tcPr/>
          <w:p>
            <w:pPr>
              <w:pStyle w:val="Compact"/>
              <w:jc w:val="left"/>
            </w:pPr>
            <w:r>
              <w:rPr>
                <w:bCs/>
                <w:b/>
              </w:rPr>
              <w:t xml:space="preserve">2. Knowledge Graph</w:t>
            </w:r>
          </w:p>
        </w:tc>
        <w:tc>
          <w:tcPr/>
          <w:p>
            <w:pPr>
              <w:pStyle w:val="Compact"/>
              <w:jc w:val="left"/>
            </w:pPr>
            <w:r>
              <w:t xml:space="preserve">Semantic compliance modeling</w:t>
            </w:r>
          </w:p>
        </w:tc>
        <w:tc>
          <w:tcPr/>
          <w:p>
            <w:pPr>
              <w:pStyle w:val="Compact"/>
              <w:jc w:val="left"/>
            </w:pPr>
            <w:r>
              <w:t xml:space="preserve">Neo4j Enterprise, GraphSAGE embeddings, Cypher/GraphQL APIs, S3 document store</w:t>
            </w:r>
          </w:p>
        </w:tc>
        <w:tc>
          <w:tcPr/>
          <w:p>
            <w:pPr>
              <w:pStyle w:val="Compact"/>
              <w:jc w:val="left"/>
            </w:pPr>
            <w:r>
              <w:t xml:space="preserve">Ed25519 attestation infrastructure, Worm Hive cross-border sharing</w:t>
            </w:r>
          </w:p>
        </w:tc>
        <w:tc>
          <w:tcPr/>
          <w:p>
            <w:pPr>
              <w:pStyle w:val="Compact"/>
              <w:jc w:val="left"/>
            </w:pPr>
            <w:r>
              <w:t xml:space="preserve">Regulation Documents, company disclosures, LEI registry data</w:t>
            </w:r>
          </w:p>
        </w:tc>
        <w:tc>
          <w:tcPr/>
          <w:p>
            <w:pPr>
              <w:pStyle w:val="Compact"/>
              <w:jc w:val="left"/>
            </w:pPr>
            <w:r>
              <w:t xml:space="preserve">Cryptographically attested graph (nodes + edges), compliance subgraph embeddings</w:t>
            </w:r>
          </w:p>
        </w:tc>
      </w:tr>
      <w:tr>
        <w:tc>
          <w:tcPr/>
          <w:p>
            <w:pPr>
              <w:pStyle w:val="Compact"/>
              <w:jc w:val="left"/>
            </w:pPr>
            <w:r>
              <w:rPr>
                <w:bCs/>
                <w:b/>
              </w:rPr>
              <w:t xml:space="preserve">3. Assessment</w:t>
            </w:r>
          </w:p>
        </w:tc>
        <w:tc>
          <w:tcPr/>
          <w:p>
            <w:pPr>
              <w:pStyle w:val="Compact"/>
              <w:jc w:val="left"/>
            </w:pPr>
            <w:r>
              <w:t xml:space="preserve">Multi-agent compliance scoring</w:t>
            </w:r>
          </w:p>
        </w:tc>
        <w:tc>
          <w:tcPr/>
          <w:p>
            <w:pPr>
              <w:pStyle w:val="Compact"/>
              <w:jc w:val="left"/>
            </w:pPr>
            <w:r>
              <w:t xml:space="preserve">5× LLM agents (multi-architecture), BFT consensus protocol, threshold Ed25519 signing</w:t>
            </w:r>
          </w:p>
        </w:tc>
        <w:tc>
          <w:tcPr/>
          <w:p>
            <w:pPr>
              <w:pStyle w:val="Compact"/>
              <w:jc w:val="left"/>
            </w:pPr>
            <w:r>
              <w:t xml:space="preserve">BFT Council, 13-framework governance engine (EU AI Act, NIST AI RMF, GDPR, DORA, etc.)</w:t>
            </w:r>
          </w:p>
        </w:tc>
        <w:tc>
          <w:tcPr/>
          <w:p>
            <w:pPr>
              <w:pStyle w:val="Compact"/>
              <w:jc w:val="left"/>
            </w:pPr>
            <w:r>
              <w:t xml:space="preserve">Structured graph data, company disclosures, regulatory rubrics</w:t>
            </w:r>
          </w:p>
        </w:tc>
        <w:tc>
          <w:tcPr/>
          <w:p>
            <w:pPr>
              <w:pStyle w:val="Compact"/>
              <w:jc w:val="left"/>
            </w:pPr>
            <w:r>
              <w:t xml:space="preserve">Signed AssessmentResult nodes (0–100% scores), gap analyses, remediation recommendations</w:t>
            </w:r>
          </w:p>
        </w:tc>
      </w:tr>
      <w:tr>
        <w:tc>
          <w:tcPr/>
          <w:p>
            <w:pPr>
              <w:pStyle w:val="Compact"/>
              <w:jc w:val="left"/>
            </w:pPr>
            <w:r>
              <w:rPr>
                <w:bCs/>
                <w:b/>
              </w:rPr>
              <w:t xml:space="preserve">4. Action</w:t>
            </w:r>
          </w:p>
        </w:tc>
        <w:tc>
          <w:tcPr/>
          <w:p>
            <w:pPr>
              <w:pStyle w:val="Compact"/>
              <w:jc w:val="left"/>
            </w:pPr>
            <w:r>
              <w:t xml:space="preserve">Proactive outreach &amp; reporting</w:t>
            </w:r>
          </w:p>
        </w:tc>
        <w:tc>
          <w:tcPr/>
          <w:p>
            <w:pPr>
              <w:pStyle w:val="Compact"/>
              <w:jc w:val="left"/>
            </w:pPr>
            <w:r>
              <w:t xml:space="preserve">Temporal.io workflows, SendGrid/SES, REST webhooks, PDF/Docx generators, SOV3 King orchestrator</w:t>
            </w:r>
          </w:p>
        </w:tc>
        <w:tc>
          <w:tcPr/>
          <w:p>
            <w:pPr>
              <w:pStyle w:val="Compact"/>
              <w:jc w:val="left"/>
            </w:pPr>
            <w:r>
              <w:t xml:space="preserve">SOV3 King (orchestration), Worm Hive (secure messaging), Daily Intel Brief templates</w:t>
            </w:r>
          </w:p>
        </w:tc>
        <w:tc>
          <w:tcPr/>
          <w:p>
            <w:pPr>
              <w:pStyle w:val="Compact"/>
              <w:jc w:val="left"/>
            </w:pPr>
            <w:r>
              <w:t xml:space="preserve">Assessment triggers, deadline calendars, gap detections</w:t>
            </w:r>
          </w:p>
        </w:tc>
        <w:tc>
          <w:tcPr/>
          <w:p>
            <w:pPr>
              <w:pStyle w:val="Compact"/>
              <w:jc w:val="left"/>
            </w:pPr>
            <w:r>
              <w:t xml:space="preserve">Outreach sequences, compliance reports, API notifications, escalation alerts</w:t>
            </w:r>
          </w:p>
        </w:tc>
      </w:tr>
      <w:tr>
        <w:tc>
          <w:tcPr/>
          <w:p>
            <w:pPr>
              <w:pStyle w:val="Compact"/>
              <w:jc w:val="left"/>
            </w:pPr>
            <w:r>
              <w:rPr>
                <w:bCs/>
                <w:b/>
              </w:rPr>
              <w:t xml:space="preserve">5. Intelligence</w:t>
            </w:r>
          </w:p>
        </w:tc>
        <w:tc>
          <w:tcPr/>
          <w:p>
            <w:pPr>
              <w:pStyle w:val="Compact"/>
              <w:jc w:val="left"/>
            </w:pPr>
            <w:r>
              <w:t xml:space="preserve">Regulator-facing dashboards</w:t>
            </w:r>
          </w:p>
        </w:tc>
        <w:tc>
          <w:tcPr/>
          <w:p>
            <w:pPr>
              <w:pStyle w:val="Compact"/>
              <w:jc w:val="left"/>
            </w:pPr>
            <w:r>
              <w:t xml:space="preserve">React/Next.js frontend, D3.js/Mapbox visualizations, FastAPI, TimescaleDB for time-series, MLflow</w:t>
            </w:r>
          </w:p>
        </w:tc>
        <w:tc>
          <w:tcPr/>
          <w:p>
            <w:pPr>
              <w:pStyle w:val="Compact"/>
              <w:jc w:val="left"/>
            </w:pPr>
            <w:r>
              <w:t xml:space="preserve">Daily Intel Brief system, Rainbow Stack security, 25+ domain hives</w:t>
            </w:r>
          </w:p>
        </w:tc>
        <w:tc>
          <w:tcPr/>
          <w:p>
            <w:pPr>
              <w:pStyle w:val="Compact"/>
              <w:jc w:val="left"/>
            </w:pPr>
            <w:r>
              <w:t xml:space="preserve">Aggregated compliance data, trend signals, predictive model outputs</w:t>
            </w:r>
          </w:p>
        </w:tc>
        <w:tc>
          <w:tcPr/>
          <w:p>
            <w:pPr>
              <w:pStyle w:val="Compact"/>
              <w:jc w:val="left"/>
            </w:pPr>
            <w:r>
              <w:t xml:space="preserve">Compliance heatmaps, watchlists, trend reports, regulatory impact simulations</w:t>
            </w:r>
          </w:p>
        </w:tc>
      </w:tr>
    </w:tbl>
    <w:p>
      <w:r>
        <w:pict>
          <v:rect style="width:0;height:1.5pt" o:hralign="center" o:hrstd="t" o:hr="t"/>
        </w:pict>
      </w:r>
    </w:p>
    <w:bookmarkEnd w:id="28"/>
    <w:bookmarkEnd w:id="29"/>
    <w:bookmarkStart w:id="33" w:name="data-flow-architecture"/>
    <w:p>
      <w:pPr>
        <w:pStyle w:val="Heading2"/>
      </w:pPr>
      <w:r>
        <w:t xml:space="preserve">1.2 Data Flow Architecture</w:t>
      </w:r>
    </w:p>
    <w:bookmarkStart w:id="30" w:name="Xf28d8496cd2f422cde29975809d877913d27c40"/>
    <w:p>
      <w:pPr>
        <w:pStyle w:val="Heading3"/>
      </w:pPr>
      <w:r>
        <w:t xml:space="preserve">1.2.1 The Daily Pipeline: Crawl → Parse → Classify → Assess → Alert → Report</w:t>
      </w:r>
    </w:p>
    <w:p>
      <w:pPr>
        <w:pStyle w:val="FirstParagraph"/>
      </w:pPr>
      <w:r>
        <w:t xml:space="preserve">GRCIN’s primary data pipeline operates on a daily cadence, processing approximately 500–2,000 new regulatory documents per day during normal periods and scaling to 10,000+ during high-activity windows (e.g., DORA implementation phase, EU AI Act trilogue conclusions). Each pipeline stage is implemented as an MCP tool call, enabling fine-grained observability and cost attribution.</w:t>
      </w:r>
    </w:p>
    <w:p>
      <w:pPr>
        <w:pStyle w:val="BodyText"/>
      </w:pPr>
      <w:r>
        <w:t xml:space="preserve">The</w:t>
      </w:r>
      <w:r>
        <w:t xml:space="preserve"> </w:t>
      </w:r>
      <w:r>
        <w:rPr>
          <w:bCs/>
          <w:b/>
        </w:rPr>
        <w:t xml:space="preserve">Crawl</w:t>
      </w:r>
      <w:r>
        <w:t xml:space="preserve"> </w:t>
      </w:r>
      <w:r>
        <w:t xml:space="preserve">stage executes at 00:00 UTC, dispatching parallel crawler tasks across all Tier 1 and Tier 2 sources. Documents are fetched, deduplicated (via SHA-256 hash against the document store), and staged. The</w:t>
      </w:r>
      <w:r>
        <w:t xml:space="preserve"> </w:t>
      </w:r>
      <w:r>
        <w:rPr>
          <w:bCs/>
          <w:b/>
        </w:rPr>
        <w:t xml:space="preserve">Parse</w:t>
      </w:r>
      <w:r>
        <w:t xml:space="preserve"> </w:t>
      </w:r>
      <w:r>
        <w:t xml:space="preserve">stage extracts structured elements: regulation title, issuing body, effective date, applicable entity types, cross-references, and amendment markers. CSOAI’s MCP servers for document parsing — including specialized handlers for EU Official Journal XML, SEC XBRL, and UK Statutory Instrument formats — execute here. The</w:t>
      </w:r>
      <w:r>
        <w:t xml:space="preserve"> </w:t>
      </w:r>
      <w:r>
        <w:rPr>
          <w:bCs/>
          <w:b/>
        </w:rPr>
        <w:t xml:space="preserve">Classify</w:t>
      </w:r>
      <w:r>
        <w:t xml:space="preserve"> </w:t>
      </w:r>
      <w:r>
        <w:t xml:space="preserve">stage assigns each document to one or more frameworks in CSOAI’s 13-framework taxonomy and determines which companies in the graph are potentially affected. The</w:t>
      </w:r>
      <w:r>
        <w:t xml:space="preserve"> </w:t>
      </w:r>
      <w:r>
        <w:rPr>
          <w:bCs/>
          <w:b/>
        </w:rPr>
        <w:t xml:space="preserve">Assess</w:t>
      </w:r>
      <w:r>
        <w:t xml:space="preserve"> </w:t>
      </w:r>
      <w:r>
        <w:t xml:space="preserve">stage triggers BFT Council evaluations for newly affected or updated company-regulation pairs. The</w:t>
      </w:r>
      <w:r>
        <w:t xml:space="preserve"> </w:t>
      </w:r>
      <w:r>
        <w:rPr>
          <w:bCs/>
          <w:b/>
        </w:rPr>
        <w:t xml:space="preserve">Alert</w:t>
      </w:r>
      <w:r>
        <w:t xml:space="preserve"> </w:t>
      </w:r>
      <w:r>
        <w:t xml:space="preserve">stage fires Action Layer triggers for any compliance score changes exceeding 10 percentage points or deadlines within 90 days. Finally, the</w:t>
      </w:r>
      <w:r>
        <w:t xml:space="preserve"> </w:t>
      </w:r>
      <w:r>
        <w:rPr>
          <w:bCs/>
          <w:b/>
        </w:rPr>
        <w:t xml:space="preserve">Report</w:t>
      </w:r>
      <w:r>
        <w:t xml:space="preserve"> </w:t>
      </w:r>
      <w:r>
        <w:t xml:space="preserve">stage generates the day’s regulatory delta — a summary of all changes, new assessments, and triggered alerts — distributed via the Daily Intel Brief system</w:t>
      </w:r>
      <w:r>
        <w:t xml:space="preserve"> </w:t>
      </w:r>
      <w:r>
        <w:rPr>
          <w:vertAlign w:val="superscript"/>
        </w:rPr>
        <w:footnoteReference w:id="7"/>
      </w:r>
      <w:r>
        <w:t xml:space="preserve">.</w:t>
      </w:r>
    </w:p>
    <w:p>
      <w:pPr>
        <w:pStyle w:val="BodyText"/>
      </w:pPr>
      <w:r>
        <w:t xml:space="preserve">Each pipeline stage records execution metrics via x402 micropayment tracking: every MCP tool call is a priced transaction, creating a complete cost audit trail. This enables CSOAI to offer GRCIN services at variable price points — a startup might pay per-assessment, while a regulator pays a flat fee for intelligence dashboard access. The pipeline is orchestrated by SOV3 King, CSOAI’s existing orchestration layer, with Temporal.io providing durable execution guarantees and automatic retry logic for failed stages.</w:t>
      </w:r>
    </w:p>
    <w:bookmarkEnd w:id="30"/>
    <w:bookmarkStart w:id="31" w:name="real-time-vs.-batch-processing"/>
    <w:p>
      <w:pPr>
        <w:pStyle w:val="Heading3"/>
      </w:pPr>
      <w:r>
        <w:t xml:space="preserve">1.2.2 Real-Time vs. Batch Processing</w:t>
      </w:r>
    </w:p>
    <w:p>
      <w:pPr>
        <w:pStyle w:val="FirstParagraph"/>
      </w:pPr>
      <w:r>
        <w:t xml:space="preserve">GRCIN employs a hybrid processing model that balances timeliness with computational efficiency.</w:t>
      </w:r>
      <w:r>
        <w:t xml:space="preserve"> </w:t>
      </w:r>
      <w:r>
        <w:rPr>
          <w:bCs/>
          <w:b/>
        </w:rPr>
        <w:t xml:space="preserve">Real-time processing</w:t>
      </w:r>
      <w:r>
        <w:t xml:space="preserve"> </w:t>
      </w:r>
      <w:r>
        <w:t xml:space="preserve">is reserved for high-impact regulatory events: webhook-delivered RSS updates from Tier 1 regulators, emergency supervisory communications (e.g., BaFin circulars with immediate effect), and critical deadline alerts (within 7 days). These events bypass the daily batch queue and are processed through a dedicated fast path with SLA targets of &lt;5 minutes from publication to alert generation. The fast path uses Redis Streams for event buffering and lightweight LLM inference (single-agent classification, not full BFT consensus) to determine urgency before deciding whether to trigger immediate action or route to the next batch cycle.</w:t>
      </w:r>
    </w:p>
    <w:p>
      <w:pPr>
        <w:pStyle w:val="BodyText"/>
      </w:pPr>
      <w:r>
        <w:rPr>
          <w:bCs/>
          <w:b/>
        </w:rPr>
        <w:t xml:space="preserve">Batch processing</w:t>
      </w:r>
      <w:r>
        <w:t xml:space="preserve"> </w:t>
      </w:r>
      <w:r>
        <w:t xml:space="preserve">handles the bulk of GRCIN’s workload. Full company reassessment runs weekly, re-evaluating all active company-regulation pairs against the latest regulatory text, newly available company disclosures, and updated industry benchmarks. Compliance score refresh runs daily for the subset of company-regulation pairs affected by that day’s regulatory delta. Historical data is archived to cold storage (S3 Glacier) after 24 months, with graph summaries retained in TimescaleDB for long-term trend analysis. This hybrid model ensures that GRCIN remains responsive to genuine emergencies without incurring prohibitive compute costs from continuous full reassessment of millions of company-regulation pairs</w:t>
      </w:r>
      <w:r>
        <w:t xml:space="preserve"> </w:t>
      </w:r>
      <w:r>
        <w:rPr>
          <w:vertAlign w:val="superscript"/>
        </w:rPr>
        <w:footnoteReference w:id="8"/>
      </w:r>
      <w:r>
        <w:t xml:space="preserve">.</w:t>
      </w:r>
    </w:p>
    <w:bookmarkEnd w:id="31"/>
    <w:bookmarkStart w:id="32" w:name="csoai-protocol-integration"/>
    <w:p>
      <w:pPr>
        <w:pStyle w:val="Heading3"/>
      </w:pPr>
      <w:r>
        <w:t xml:space="preserve">1.2.3 CSOAI Protocol Integration</w:t>
      </w:r>
    </w:p>
    <w:p>
      <w:pPr>
        <w:pStyle w:val="FirstParagraph"/>
      </w:pPr>
      <w:r>
        <w:t xml:space="preserve">GRCIN is not a standalone system — it is a native application of the CSOAI protocol stack, leveraging existing infrastructure at every layer.</w:t>
      </w:r>
      <w:r>
        <w:t xml:space="preserve"> </w:t>
      </w:r>
      <w:r>
        <w:rPr>
          <w:bCs/>
          <w:b/>
        </w:rPr>
        <w:t xml:space="preserve">Worm Hive</w:t>
      </w:r>
      <w:r>
        <w:t xml:space="preserve"> </w:t>
      </w:r>
      <w:r>
        <w:t xml:space="preserve">provides the secure cross-border data sharing mesh, enabling GRCIN nodes operated in different jurisdictions to share compliance intelligence without violating data residency requirements. A GRCIN node in Frankfurt can share anonymized compliance trend data with a node in Singapore via Worm Hive’s encrypted tunnels, while keeping identifiable company data within local jurisdictional boundaries.</w:t>
      </w:r>
      <w:r>
        <w:t xml:space="preserve"> </w:t>
      </w:r>
      <w:r>
        <w:rPr>
          <w:bCs/>
          <w:b/>
        </w:rPr>
        <w:t xml:space="preserve">Pheromone signals</w:t>
      </w:r>
      <w:r>
        <w:t xml:space="preserve"> </w:t>
      </w:r>
      <w:r>
        <w:t xml:space="preserve">— CSOAI’s internal status communication protocol — coordinate activity across the 25+ domain hives, ensuring that a regulatory update detected by the EU hive is rapidly propagated to all affected assessment queues.</w:t>
      </w:r>
      <w:r>
        <w:t xml:space="preserve"> </w:t>
      </w:r>
      <w:r>
        <w:rPr>
          <w:bCs/>
          <w:b/>
        </w:rPr>
        <w:t xml:space="preserve">Rainbow Stack</w:t>
      </w:r>
      <w:r>
        <w:t xml:space="preserve"> </w:t>
      </w:r>
      <w:r>
        <w:t xml:space="preserve">provides the security perimeter: zero-trust network access, hardware-backed key storage for Ed25519 signing keys, and runtime attestation of all GRCIN compute nodes.</w:t>
      </w:r>
      <w:r>
        <w:t xml:space="preserve"> </w:t>
      </w:r>
      <w:r>
        <w:rPr>
          <w:bCs/>
          <w:b/>
        </w:rPr>
        <w:t xml:space="preserve">SOV3 King</w:t>
      </w:r>
      <w:r>
        <w:t xml:space="preserve"> </w:t>
      </w:r>
      <w:r>
        <w:t xml:space="preserve">serves as the orchestration backbone, managing the lifecycle of crawling, assessment, and action workflows across the distributed MCP server fleet</w:t>
      </w:r>
      <w:r>
        <w:t xml:space="preserve"> </w:t>
      </w:r>
      <w:r>
        <w:rPr>
          <w:vertAlign w:val="superscript"/>
        </w:rPr>
        <w:footnoteReference w:id="9"/>
      </w:r>
      <w:r>
        <w:t xml:space="preserve">.</w:t>
      </w:r>
    </w:p>
    <w:p>
      <w:pPr>
        <w:pStyle w:val="BodyText"/>
      </w:pPr>
      <w:r>
        <w:t xml:space="preserve">This deep protocol integration gives GRCIN a structural advantage over competing compliance platforms that must build security, provenance, and cross-border data handling from scratch. Every design decision in GRCIN’s architecture is made with the assumption that the system will eventually process compliance data for hundreds of thousands of companies across 50+ jurisdictions — a scale that only becomes tractable when built on a protocol-native foundation.</w:t>
      </w:r>
    </w:p>
    <w:p>
      <w:r>
        <w:pict>
          <v:rect style="width:0;height:1.5pt" o:hralign="center" o:hrstd="t" o:hr="t"/>
        </w:pict>
      </w:r>
    </w:p>
    <w:bookmarkEnd w:id="32"/>
    <w:bookmarkEnd w:id="33"/>
    <w:bookmarkEnd w:id="34"/>
    <w:bookmarkStart w:id="49" w:name="X31c869fd54d5577478b5890b669179d7c40fb4f"/>
    <w:p>
      <w:pPr>
        <w:pStyle w:val="Heading1"/>
      </w:pPr>
      <w:r>
        <w:t xml:space="preserve">Section 2: Global Regulatory Database — Coverage Map &amp; Sources</w:t>
      </w:r>
    </w:p>
    <w:bookmarkStart w:id="38" w:name="jurisdictional-coverage"/>
    <w:p>
      <w:pPr>
        <w:pStyle w:val="Heading2"/>
      </w:pPr>
      <w:r>
        <w:t xml:space="preserve">2.1 Jurisdictional Coverage</w:t>
      </w:r>
    </w:p>
    <w:p>
      <w:pPr>
        <w:pStyle w:val="FirstParagraph"/>
      </w:pPr>
      <w:r>
        <w:t xml:space="preserve">GRCIN’s jurisdictional rollout follows a three-phase approach that prioritizes regulatory complexity and market impact over geographic completeness. This sequencing reflects a strategic reality: the EU’s Digital Operational Resilience Act (DORA) and AI Act represent the most complex and far-reaching regulatory frameworks currently in force globally, with extraterritorial effect that makes EU coverage a prerequisite even for non-EU companies. Phase 1 establishes the core infrastructure and graph schema against the EU’s rich regulatory environment. Phase 2 extends to the Five Eyes intelligence alliance and Asia-Pacific financial centers, capturing the world’s deepest capital markets. Phase 3 completes global coverage, ensuring no regulated entity in a major financial center escapes GRCIN’s visibility</w:t>
      </w:r>
      <w:r>
        <w:t xml:space="preserve"> </w:t>
      </w:r>
      <w:r>
        <w:rPr>
          <w:vertAlign w:val="superscript"/>
        </w:rPr>
        <w:footnoteReference w:id="10"/>
      </w:r>
      <w:r>
        <w:t xml:space="preserve">.</w:t>
      </w:r>
    </w:p>
    <w:bookmarkStart w:id="35" w:name="Xa4fc7fee87e2ee2a9cdc762f3e1429aef465d98"/>
    <w:p>
      <w:pPr>
        <w:pStyle w:val="Heading3"/>
      </w:pPr>
      <w:r>
        <w:t xml:space="preserve">2.1.1 Phase 1: European Union + European Economic Area</w:t>
      </w:r>
    </w:p>
    <w:p>
      <w:pPr>
        <w:pStyle w:val="FirstParagraph"/>
      </w:pPr>
      <w:r>
        <w:t xml:space="preserve">Phase 1 encompasses all 27 EU member states plus the three EEA countries (Iceland, Liechtenstein, Norway), creating a regulatory coverage zone of 30 jurisdictions with a combined GDP of approximately €17 trillion and a regulated financial sector comprising over 22,000 entities in DORA scope alone. This phase is the foundation upon which all subsequent expansion is built.</w:t>
      </w:r>
    </w:p>
    <w:p>
      <w:pPr>
        <w:pStyle w:val="BodyText"/>
      </w:pPr>
      <w:r>
        <w:t xml:space="preserve">Key frameworks in Phase 1 include:</w:t>
      </w:r>
      <w:r>
        <w:t xml:space="preserve"> </w:t>
      </w:r>
      <w:r>
        <w:rPr>
          <w:bCs/>
          <w:b/>
        </w:rPr>
        <w:t xml:space="preserve">DORA</w:t>
      </w:r>
      <w:r>
        <w:t xml:space="preserve"> </w:t>
      </w:r>
      <w:r>
        <w:t xml:space="preserve">(Digital Operational Resilience Act, Regulation (EU) 2022/2554), effective January 17, 2025, with ICT risk management, incident reporting, resilience testing, and third-party risk requirements applying to credit institutions, investment firms, insurance companies, payment service providers, and crypto-asset service providers</w:t>
      </w:r>
      <w:r>
        <w:t xml:space="preserve"> </w:t>
      </w:r>
      <w:r>
        <w:rPr>
          <w:vertAlign w:val="superscript"/>
        </w:rPr>
        <w:footnoteReference w:id="11"/>
      </w:r>
      <w:r>
        <w:t xml:space="preserve">.</w:t>
      </w:r>
      <w:r>
        <w:t xml:space="preserve"> </w:t>
      </w:r>
      <w:r>
        <w:rPr>
          <w:bCs/>
          <w:b/>
        </w:rPr>
        <w:t xml:space="preserve">EU AI Act</w:t>
      </w:r>
      <w:r>
        <w:t xml:space="preserve"> </w:t>
      </w:r>
      <w:r>
        <w:t xml:space="preserve">(Regulation (EU) 2024/1689), with prohibited AI practices already enforceable and high-risk system requirements taking effect August 2, 2026.</w:t>
      </w:r>
      <w:r>
        <w:t xml:space="preserve"> </w:t>
      </w:r>
      <w:r>
        <w:rPr>
          <w:bCs/>
          <w:b/>
        </w:rPr>
        <w:t xml:space="preserve">GDPR</w:t>
      </w:r>
      <w:r>
        <w:t xml:space="preserve"> </w:t>
      </w:r>
      <w:r>
        <w:t xml:space="preserve">(Regulation (EU) 2016/679), the foundational data protection framework with extraterritorial reach.</w:t>
      </w:r>
      <w:r>
        <w:t xml:space="preserve"> </w:t>
      </w:r>
      <w:r>
        <w:rPr>
          <w:bCs/>
          <w:b/>
        </w:rPr>
        <w:t xml:space="preserve">NIS2</w:t>
      </w:r>
      <w:r>
        <w:t xml:space="preserve"> </w:t>
      </w:r>
      <w:r>
        <w:t xml:space="preserve">(Directive (EU) 2022/2555), expanding cybersecurity requirements to critical sectors beyond finance.</w:t>
      </w:r>
      <w:r>
        <w:t xml:space="preserve"> </w:t>
      </w:r>
      <w:r>
        <w:rPr>
          <w:bCs/>
          <w:b/>
        </w:rPr>
        <w:t xml:space="preserve">MiCA</w:t>
      </w:r>
      <w:r>
        <w:t xml:space="preserve"> </w:t>
      </w:r>
      <w:r>
        <w:t xml:space="preserve">(Regulation (EU) 2023/1114), establishing the world’s first comprehensive crypto-asset regulatory framework.</w:t>
      </w:r>
      <w:r>
        <w:t xml:space="preserve"> </w:t>
      </w:r>
      <w:r>
        <w:rPr>
          <w:bCs/>
          <w:b/>
        </w:rPr>
        <w:t xml:space="preserve">AML6</w:t>
      </w:r>
      <w:r>
        <w:t xml:space="preserve"> </w:t>
      </w:r>
      <w:r>
        <w:t xml:space="preserve">(Sixth Anti-Money Laundering Directive), with enhanced beneficial ownership transparency requirements.</w:t>
      </w:r>
    </w:p>
    <w:p>
      <w:pPr>
        <w:pStyle w:val="BodyText"/>
      </w:pPr>
      <w:r>
        <w:t xml:space="preserve">The Phase 1 graph population targets 500,000+ company nodes sourced from EU Business Registers (interconnected via the BRIS system), LEI registry entries for financial entities, and OpenCorporates cross-references. National competent authorities (NCAs) in each member state — BaFin (DE), AMF/ACPR (FR), Banca d’Italia/CONSOB (IT), DNB (NL), CNMV (ES) — are configured as Tier 1 ingestion sources with 4-hour polling cycles. The European Supervisory Authorities (EBA, ESMA, EIOPA) produce the majority of Regulatory Technical Standards (RTS) and Implementing Technical Standards (ITS) that operationalize Level 1 regulations, making their publication feeds among the highest-value targets in the entire GRCIN system</w:t>
      </w:r>
      <w:r>
        <w:t xml:space="preserve"> </w:t>
      </w:r>
      <w:r>
        <w:rPr>
          <w:vertAlign w:val="superscript"/>
        </w:rPr>
        <w:footnoteReference w:id="12"/>
      </w:r>
      <w:r>
        <w:t xml:space="preserve">.</w:t>
      </w:r>
    </w:p>
    <w:bookmarkEnd w:id="35"/>
    <w:bookmarkStart w:id="36" w:name="Xdf3b54a2e0907e587a49f4dc36dde73be924383"/>
    <w:p>
      <w:pPr>
        <w:pStyle w:val="Heading3"/>
      </w:pPr>
      <w:r>
        <w:t xml:space="preserve">2.1.2 Phase 2: Five Eyes + Asia-Pacific Financial Centers</w:t>
      </w:r>
    </w:p>
    <w:p>
      <w:pPr>
        <w:pStyle w:val="FirstParagraph"/>
      </w:pPr>
      <w:r>
        <w:t xml:space="preserve">Phase 2 extends GRCIN coverage to the Five Eyes intelligence alliance members (UK, US, Australia, Canada, New Zealand) and the premier Asia-Pacific financial centers (Singapore, Hong Kong, Japan), adding jurisdictions with combined financial assets exceeding $80 trillion. This phase captures the deepest and most liquid capital markets globally, where regulatory complexity rivals or exceeds the EU in specific domains.</w:t>
      </w:r>
    </w:p>
    <w:p>
      <w:pPr>
        <w:pStyle w:val="BodyText"/>
      </w:pPr>
      <w:r>
        <w:t xml:space="preserve">Key frameworks in Phase 2 include:</w:t>
      </w:r>
      <w:r>
        <w:t xml:space="preserve"> </w:t>
      </w:r>
      <w:r>
        <w:rPr>
          <w:bCs/>
          <w:b/>
        </w:rPr>
        <w:t xml:space="preserve">UK</w:t>
      </w:r>
      <w:r>
        <w:t xml:space="preserve">: FCA/PRA rulebooks, CBEST threat intelligence-led penetration testing framework, Consumer Duty requirements, and the incoming AI White Paper regulatory approach.</w:t>
      </w:r>
      <w:r>
        <w:t xml:space="preserve"> </w:t>
      </w:r>
      <w:r>
        <w:rPr>
          <w:bCs/>
          <w:b/>
        </w:rPr>
        <w:t xml:space="preserve">US</w:t>
      </w:r>
      <w:r>
        <w:t xml:space="preserve">: SEC cybersecurity disclosure rules (SEC Release No. 33-11216), CFTC cyber resilience guidance, FFIEC IT Examination Handbook, NYDFS Part 500 cybersecurity regulation, and state-level AI legislation (Colorado AI Act SB 205).</w:t>
      </w:r>
      <w:r>
        <w:t xml:space="preserve"> </w:t>
      </w:r>
      <w:r>
        <w:rPr>
          <w:bCs/>
          <w:b/>
        </w:rPr>
        <w:t xml:space="preserve">Australia</w:t>
      </w:r>
      <w:r>
        <w:t xml:space="preserve">: APRA CPS 230 (operational risk management, effective July 2025), CPS 234 (information security), and ASIC regulatory guides.</w:t>
      </w:r>
      <w:r>
        <w:t xml:space="preserve"> </w:t>
      </w:r>
      <w:r>
        <w:rPr>
          <w:bCs/>
          <w:b/>
        </w:rPr>
        <w:t xml:space="preserve">Singapore</w:t>
      </w:r>
      <w:r>
        <w:t xml:space="preserve">: MAS Technology Risk Management (TRM) Guidelines, Notice 635 on cyber risk management, and the proposed MAS framework for generative AI in finance.</w:t>
      </w:r>
      <w:r>
        <w:t xml:space="preserve"> </w:t>
      </w:r>
      <w:r>
        <w:rPr>
          <w:bCs/>
          <w:b/>
        </w:rPr>
        <w:t xml:space="preserve">Hong Kong</w:t>
      </w:r>
      <w:r>
        <w:t xml:space="preserve">: HKMA SPM modules on technology risk management, CBEST-equivalent iCAST framework, and SFC guidelines for virtual asset trading platforms.</w:t>
      </w:r>
      <w:r>
        <w:t xml:space="preserve"> </w:t>
      </w:r>
      <w:r>
        <w:rPr>
          <w:bCs/>
          <w:b/>
        </w:rPr>
        <w:t xml:space="preserve">Japan</w:t>
      </w:r>
      <w:r>
        <w:t xml:space="preserve">: FSA Guidelines on Strengthening Cybersecurity Management, Cabinet Office ordinances on fintech, and the proposed AI regulatory framework following the Hiroshima AI Process</w:t>
      </w:r>
      <w:r>
        <w:t xml:space="preserve"> </w:t>
      </w:r>
      <w:r>
        <w:rPr>
          <w:vertAlign w:val="superscript"/>
        </w:rPr>
        <w:footnoteReference w:id="13"/>
      </w:r>
      <w:r>
        <w:t xml:space="preserve">.</w:t>
      </w:r>
    </w:p>
    <w:p>
      <w:pPr>
        <w:pStyle w:val="BodyText"/>
      </w:pPr>
      <w:r>
        <w:t xml:space="preserve">The Five Eyes + APAC expansion introduces significant technical challenges: US regulatory publishing is fragmented across federal (SEC, CFTC, Treasury), state (50 state regulators), and self-regulatory (FINRA, MSRB) layers; the UK’s post-Brexit regulatory framework is in active divergence from EU precedent; and APAC regulators often publish in local languages requiring NLP pipeline augmentation. GRCIN addresses these through jurisdiction-specific MCP servers with localized parsing rules and multilingual LLM agents for non-English regulatory text. Phase 2 adds approximately 800,000 company nodes from SEC EDGAR, Companies House, ASIC registers, ACRA Singapore, and Japanese Corporate Number databases.</w:t>
      </w:r>
    </w:p>
    <w:bookmarkEnd w:id="36"/>
    <w:bookmarkStart w:id="37" w:name="phase-3-global-financial-centers"/>
    <w:p>
      <w:pPr>
        <w:pStyle w:val="Heading3"/>
      </w:pPr>
      <w:r>
        <w:t xml:space="preserve">2.1.3 Phase 3: Global Financial Centers</w:t>
      </w:r>
    </w:p>
    <w:p>
      <w:pPr>
        <w:pStyle w:val="FirstParagraph"/>
      </w:pPr>
      <w:r>
        <w:t xml:space="preserve">Phase 3 completes GRCIN’s global coverage by adding the remaining major financial centers: Switzerland (FINMA Banking Act, FINMA Operational Risk Circular 2023/1), Canada (OSFI B-13 technology risk, CSA crypto-asset guidance), Brazil (CVM Instruction 630, BACEN cyber resilience requirements for PIX and Open Finance), UAE (DFSA Rulebook, ADGM data protection regulations, VARA virtual asset framework), India (RBI cybersecurity guidelines, SEBI cyber resilience circular), and South Africa (FSCA conduct standards, PASA payment system rules, POPIA data protection). Phase 3 also includes secondary financial centers with growing regulatory sophistication: Mexico (CNBV fintech law), Nigeria (SEC digital assets framework), Saudi Arabia (SAMA cyber security framework), and South Korea (FSCA IT examination guidelines)</w:t>
      </w:r>
      <w:r>
        <w:t xml:space="preserve"> </w:t>
      </w:r>
      <w:r>
        <w:rPr>
          <w:vertAlign w:val="superscript"/>
        </w:rPr>
        <w:footnoteReference w:id="14"/>
      </w:r>
      <w:r>
        <w:t xml:space="preserve">.</w:t>
      </w:r>
    </w:p>
    <w:p>
      <w:pPr>
        <w:pStyle w:val="BodyText"/>
      </w:pPr>
      <w:r>
        <w:t xml:space="preserve">Phase 3 jurisdictions are characterized by regulatory frameworks that are often modeled on EU or US precedent but adapted to local market structures. GRCIN leverages this pattern through a</w:t>
      </w:r>
      <w:r>
        <w:t xml:space="preserve"> </w:t>
      </w:r>
      <w:r>
        <w:t xml:space="preserve">“</w:t>
      </w:r>
      <w:r>
        <w:t xml:space="preserve">regulatory template inheritance</w:t>
      </w:r>
      <w:r>
        <w:t xml:space="preserve">”</w:t>
      </w:r>
      <w:r>
        <w:t xml:space="preserve"> </w:t>
      </w:r>
      <w:r>
        <w:t xml:space="preserve">system: where Phase 3 frameworks are documented derivatives of Phase 1/2 frameworks, the graph creates</w:t>
      </w:r>
      <w:r>
        <w:t xml:space="preserve"> </w:t>
      </w:r>
      <w:r>
        <w:rPr>
          <w:rStyle w:val="VerbatimChar"/>
        </w:rPr>
        <w:t xml:space="preserve">DERIVED_FROM</w:t>
      </w:r>
      <w:r>
        <w:t xml:space="preserve"> </w:t>
      </w:r>
      <w:r>
        <w:t xml:space="preserve">relationships enabling automated gap analysis. For example, when SAMA’s cybersecurity framework is identified as structurally derived from NIST CSF 2.0, companies already assessed against NIST can receive preliminary SAMA compliance scores with marked gaps for locally unique requirements. This inheritance mechanism dramatically accelerates Phase 3 coverage while maintaining assessment accuracy.</w:t>
      </w:r>
    </w:p>
    <w:bookmarkEnd w:id="37"/>
    <w:bookmarkEnd w:id="38"/>
    <w:bookmarkStart w:id="42" w:name="data-sources-per-jurisdiction"/>
    <w:p>
      <w:pPr>
        <w:pStyle w:val="Heading2"/>
      </w:pPr>
      <w:r>
        <w:t xml:space="preserve">2.2 Data Sources Per Jurisdiction</w:t>
      </w:r>
    </w:p>
    <w:bookmarkStart w:id="39" w:name="X750bdbe085405715964501260e0bb007da029ed"/>
    <w:p>
      <w:pPr>
        <w:pStyle w:val="Heading3"/>
      </w:pPr>
      <w:r>
        <w:t xml:space="preserve">2.2.1 Primary Sources: Official Regulatory Publications</w:t>
      </w:r>
    </w:p>
    <w:p>
      <w:pPr>
        <w:pStyle w:val="FirstParagraph"/>
      </w:pPr>
      <w:r>
        <w:t xml:space="preserve">Primary sources are the authoritative publications of regulatory and legislative bodies. GRCIN’s Ingestion Layer treats these as ground truth — all downstream assessments, alerts, and intelligence products trace their factual basis to primary source attestations. The primary source catalog includes:</w:t>
      </w:r>
    </w:p>
    <w:p>
      <w:pPr>
        <w:pStyle w:val="BodyText"/>
      </w:pPr>
      <w:r>
        <w:rPr>
          <w:bCs/>
          <w:b/>
        </w:rPr>
        <w:t xml:space="preserve">EU/EEA</w:t>
      </w:r>
      <w:r>
        <w:t xml:space="preserve">: EUR-Lex (official journal, regulations, directives, decisions), EBA Compendium of EU Regulatory Texts, ESMA Library of Guidelines, EIOPA Repository, ECB Legal Acts, and the 30 national competent authority websites. The EBA’s Single Rulebook and ESMA’s Q&amp;A databases are particularly high-value as they represent the official interpretation of Level 1 legislation</w:t>
      </w:r>
      <w:r>
        <w:t xml:space="preserve"> </w:t>
      </w:r>
      <w:r>
        <w:rPr>
          <w:vertAlign w:val="superscript"/>
        </w:rPr>
        <w:footnoteReference w:id="15"/>
      </w:r>
      <w:r>
        <w:t xml:space="preserve">.</w:t>
      </w:r>
    </w:p>
    <w:p>
      <w:pPr>
        <w:pStyle w:val="BodyText"/>
      </w:pPr>
      <w:r>
        <w:rPr>
          <w:bCs/>
          <w:b/>
        </w:rPr>
        <w:t xml:space="preserve">UK</w:t>
      </w:r>
      <w:r>
        <w:t xml:space="preserve">: Legislation.gov.uk (primary legislation), FCA Handbook Online, PRA Rulebook, Bank of England publications, and UK Statutory Instruments. The FCA’s Policy Statement and Finalized Guidance series are critical for understanding how rules are applied in practice.</w:t>
      </w:r>
    </w:p>
    <w:p>
      <w:pPr>
        <w:pStyle w:val="BodyText"/>
      </w:pPr>
      <w:r>
        <w:rPr>
          <w:bCs/>
          <w:b/>
        </w:rPr>
        <w:t xml:space="preserve">US</w:t>
      </w:r>
      <w:r>
        <w:t xml:space="preserve">: Federal Register (rulemaking notices), SEC.gov (releases, no-action letters, enforcement actions), CFTC.gov (regulations, advisories), Treasury.gov (sanctions lists, policy statements), and the 50 state regulatory gazettes. The SEC’s EDGAR system provides both regulatory text and company disclosure data, making it a dual-purpose source.</w:t>
      </w:r>
    </w:p>
    <w:p>
      <w:pPr>
        <w:pStyle w:val="BodyText"/>
      </w:pPr>
      <w:r>
        <w:rPr>
          <w:bCs/>
          <w:b/>
        </w:rPr>
        <w:t xml:space="preserve">APAC</w:t>
      </w:r>
      <w:r>
        <w:t xml:space="preserve">: MAS.gov.sg (circulars, guidelines, notices), HKMA.gov.hk (supervisory policy manuals), APRA.gov.au (prudential standards), ASIC.gov.au (regulatory guides), FSA.go.jp (guidelines, administrative guidance), and respective legislative databases for primary law</w:t>
      </w:r>
      <w:r>
        <w:t xml:space="preserve"> </w:t>
      </w:r>
      <w:r>
        <w:rPr>
          <w:vertAlign w:val="superscript"/>
        </w:rPr>
        <w:footnoteReference w:id="16"/>
      </w:r>
      <w:r>
        <w:t xml:space="preserve">.</w:t>
      </w:r>
    </w:p>
    <w:bookmarkEnd w:id="39"/>
    <w:bookmarkStart w:id="40" w:name="X4ff0544f041a2c02e1554720b81406cd8f30733"/>
    <w:p>
      <w:pPr>
        <w:pStyle w:val="Heading3"/>
      </w:pPr>
      <w:r>
        <w:t xml:space="preserve">2.2.2 Secondary Sources: Legal Databases &amp; Industry Bodies</w:t>
      </w:r>
    </w:p>
    <w:p>
      <w:pPr>
        <w:pStyle w:val="FirstParagraph"/>
      </w:pPr>
      <w:r>
        <w:t xml:space="preserve">Secondary sources provide interpretation, analysis, and consolidated views that help GRCIN’s Assessment Engine understand regulatory intent and industry practice. These include:</w:t>
      </w:r>
      <w:r>
        <w:t xml:space="preserve"> </w:t>
      </w:r>
      <w:r>
        <w:rPr>
          <w:bCs/>
          <w:b/>
        </w:rPr>
        <w:t xml:space="preserve">Legal databases</w:t>
      </w:r>
      <w:r>
        <w:t xml:space="preserve"> </w:t>
      </w:r>
      <w:r>
        <w:t xml:space="preserve">— Thomson Reuters Westlaw, LexisNexis, Bloomberg Law, and Practical Law — which provide annotated regulations, case law, and expert commentary.</w:t>
      </w:r>
      <w:r>
        <w:t xml:space="preserve"> </w:t>
      </w:r>
      <w:r>
        <w:rPr>
          <w:bCs/>
          <w:b/>
        </w:rPr>
        <w:t xml:space="preserve">Industry associations</w:t>
      </w:r>
      <w:r>
        <w:t xml:space="preserve"> </w:t>
      </w:r>
      <w:r>
        <w:t xml:space="preserve">— the European Banking Federation (EBF), Association for Financial Markets in Europe (AFME), British Bankers’ Association (BBA), Securities Industry and Financial Markets Association (SIFMA), and Asia Securities Industry &amp; Financial Markets Association (ASIFMA) — which publish implementation guides, survey data, and industry response papers that reveal how regulations are being operationalized.</w:t>
      </w:r>
      <w:r>
        <w:t xml:space="preserve"> </w:t>
      </w:r>
      <w:r>
        <w:rPr>
          <w:bCs/>
          <w:b/>
        </w:rPr>
        <w:t xml:space="preserve">Standard bodies</w:t>
      </w:r>
      <w:r>
        <w:t xml:space="preserve"> </w:t>
      </w:r>
      <w:r>
        <w:t xml:space="preserve">— ISO (ISO 27001, ISO 22301, ISO 42001 for AI management), NIST (CSF 2.0, AI RMF 1.0, SP 800-53), CREST (penetration testing standards), and the Cloud Security Alliance — whose standards are frequently referenced as</w:t>
      </w:r>
      <w:r>
        <w:t xml:space="preserve"> </w:t>
      </w:r>
      <w:r>
        <w:t xml:space="preserve">“</w:t>
      </w:r>
      <w:r>
        <w:t xml:space="preserve">comply or explain</w:t>
      </w:r>
      <w:r>
        <w:t xml:space="preserve">”</w:t>
      </w:r>
      <w:r>
        <w:t xml:space="preserve"> </w:t>
      </w:r>
      <w:r>
        <w:t xml:space="preserve">benchmarks in regulatory text</w:t>
      </w:r>
      <w:r>
        <w:t xml:space="preserve"> </w:t>
      </w:r>
      <w:r>
        <w:rPr>
          <w:vertAlign w:val="superscript"/>
        </w:rPr>
        <w:footnoteReference w:id="17"/>
      </w:r>
      <w:r>
        <w:t xml:space="preserve">.</w:t>
      </w:r>
    </w:p>
    <w:p>
      <w:pPr>
        <w:pStyle w:val="BodyText"/>
      </w:pPr>
      <w:r>
        <w:t xml:space="preserve">Secondary sources do not drive compliance assessments directly — the Assessment Engine’s rubrics are always anchored to primary regulatory text — but they inform the context provided to BFT Council agents and the remediation recommendations generated for identified gaps.</w:t>
      </w:r>
    </w:p>
    <w:bookmarkEnd w:id="40"/>
    <w:bookmarkStart w:id="41" w:name="company-data-registry-disclosure-sources"/>
    <w:p>
      <w:pPr>
        <w:pStyle w:val="Heading3"/>
      </w:pPr>
      <w:r>
        <w:t xml:space="preserve">2.2.3 Company Data: Registry &amp; Disclosure Sources</w:t>
      </w:r>
    </w:p>
    <w:p>
      <w:pPr>
        <w:pStyle w:val="FirstParagraph"/>
      </w:pPr>
      <w:r>
        <w:t xml:space="preserve">Accurate company identification and attribution is the prerequisite for all GRCIN compliance assessments. The platform integrates multiple company data sources:</w:t>
      </w:r>
      <w:r>
        <w:t xml:space="preserve"> </w:t>
      </w:r>
      <w:r>
        <w:rPr>
          <w:bCs/>
          <w:b/>
        </w:rPr>
        <w:t xml:space="preserve">Commercial registries</w:t>
      </w:r>
      <w:r>
        <w:t xml:space="preserve"> </w:t>
      </w:r>
      <w:r>
        <w:t xml:space="preserve">— EU Business Registers (BRIS), UK Companies House, SEC EDGAR, Australian Business Register, ACRA Singapore, Japan Corporate Number — providing legal entity names, registration numbers, registered addresses, and director information.</w:t>
      </w:r>
      <w:r>
        <w:t xml:space="preserve"> </w:t>
      </w:r>
      <w:r>
        <w:rPr>
          <w:bCs/>
          <w:b/>
        </w:rPr>
        <w:t xml:space="preserve">LEI database</w:t>
      </w:r>
      <w:r>
        <w:t xml:space="preserve"> </w:t>
      </w:r>
      <w:r>
        <w:t xml:space="preserve">— the Global Legal Entity Identifier Foundation (GLEIF) provides the golden master for financial entity identification, with over 2.5 million active LEIs globally. Every company node in GRCIN’s graph carries an LEI where available, enabling cross-jurisdictional entity resolution.</w:t>
      </w:r>
      <w:r>
        <w:t xml:space="preserve"> </w:t>
      </w:r>
      <w:r>
        <w:rPr>
          <w:bCs/>
          <w:b/>
        </w:rPr>
        <w:t xml:space="preserve">Orbis/Bureau van Dijk</w:t>
      </w:r>
      <w:r>
        <w:t xml:space="preserve"> </w:t>
      </w:r>
      <w:r>
        <w:t xml:space="preserve">— providing corporate structure data (ultimate beneficial ownership, subsidiary relationships) essential for determining regulatory subjection based on group-level thresholds.</w:t>
      </w:r>
      <w:r>
        <w:t xml:space="preserve"> </w:t>
      </w:r>
      <w:r>
        <w:rPr>
          <w:bCs/>
          <w:b/>
        </w:rPr>
        <w:t xml:space="preserve">OpenCorporates</w:t>
      </w:r>
      <w:r>
        <w:t xml:space="preserve"> </w:t>
      </w:r>
      <w:r>
        <w:t xml:space="preserve">— the largest open database of companies worldwide, used for entity reconciliation and cross-referencing.</w:t>
      </w:r>
      <w:r>
        <w:t xml:space="preserve"> </w:t>
      </w:r>
      <w:r>
        <w:rPr>
          <w:bCs/>
          <w:b/>
        </w:rPr>
        <w:t xml:space="preserve">Voluntary disclosures</w:t>
      </w:r>
      <w:r>
        <w:t xml:space="preserve"> </w:t>
      </w:r>
      <w:r>
        <w:t xml:space="preserve">— company sustainability reports, TCFD disclosures, CDP responses, and regulatory filings that contain compliance-relevant information</w:t>
      </w:r>
      <w:r>
        <w:t xml:space="preserve"> </w:t>
      </w:r>
      <w:r>
        <w:rPr>
          <w:vertAlign w:val="superscript"/>
        </w:rPr>
        <w:footnoteReference w:id="18"/>
      </w:r>
      <w:r>
        <w:t xml:space="preserve">.</w:t>
      </w:r>
    </w:p>
    <w:bookmarkEnd w:id="41"/>
    <w:bookmarkEnd w:id="42"/>
    <w:bookmarkStart w:id="47" w:name="the-regulatory-knowledge-graph-schema"/>
    <w:p>
      <w:pPr>
        <w:pStyle w:val="Heading2"/>
      </w:pPr>
      <w:r>
        <w:t xml:space="preserve">2.3 The Regulatory Knowledge Graph Schema</w:t>
      </w:r>
    </w:p>
    <w:bookmarkStart w:id="43" w:name="node-types"/>
    <w:p>
      <w:pPr>
        <w:pStyle w:val="Heading3"/>
      </w:pPr>
      <w:r>
        <w:t xml:space="preserve">2.3.1 Node Types</w:t>
      </w:r>
    </w:p>
    <w:p>
      <w:pPr>
        <w:pStyle w:val="FirstParagraph"/>
      </w:pPr>
      <w:r>
        <w:t xml:space="preserve">The GRCIN Knowledge Graph defines eleven core node types that collectively model the global regulatory compliance domain:</w:t>
      </w:r>
    </w:p>
    <w:p>
      <w:pPr>
        <w:numPr>
          <w:ilvl w:val="0"/>
          <w:numId w:val="1001"/>
        </w:numPr>
        <w:pStyle w:val="Compact"/>
      </w:pPr>
      <w:r>
        <w:rPr>
          <w:rStyle w:val="VerbatimChar"/>
          <w:bCs/>
          <w:b/>
        </w:rPr>
        <w:t xml:space="preserve">Regulation</w:t>
      </w:r>
      <w:r>
        <w:t xml:space="preserve">: A specific legal instrument — e.g.,</w:t>
      </w:r>
      <w:r>
        <w:t xml:space="preserve"> </w:t>
      </w:r>
      <w:r>
        <w:t xml:space="preserve">“</w:t>
      </w:r>
      <w:r>
        <w:t xml:space="preserve">Regulation (EU) 2022/2554 (DORA)</w:t>
      </w:r>
      <w:r>
        <w:t xml:space="preserve">”</w:t>
      </w:r>
      <w:r>
        <w:t xml:space="preserve"> </w:t>
      </w:r>
      <w:r>
        <w:t xml:space="preserve">or</w:t>
      </w:r>
      <w:r>
        <w:t xml:space="preserve"> </w:t>
      </w:r>
      <w:r>
        <w:t xml:space="preserve">“</w:t>
      </w:r>
      <w:r>
        <w:t xml:space="preserve">SEC Release No. 33-11216</w:t>
      </w:r>
      <w:r>
        <w:t xml:space="preserve">”</w:t>
      </w:r>
      <w:r>
        <w:t xml:space="preserve">. Properties include title, citation, issuing body, publication date, effective date, legal basis, and amendment history.</w:t>
      </w:r>
    </w:p>
    <w:p>
      <w:pPr>
        <w:numPr>
          <w:ilvl w:val="0"/>
          <w:numId w:val="1001"/>
        </w:numPr>
        <w:pStyle w:val="Compact"/>
      </w:pPr>
      <w:r>
        <w:rPr>
          <w:rStyle w:val="VerbatimChar"/>
          <w:bCs/>
          <w:b/>
        </w:rPr>
        <w:t xml:space="preserve">Article</w:t>
      </w:r>
      <w:r>
        <w:t xml:space="preserve">: A subdivision of a Regulation — e.g.,</w:t>
      </w:r>
      <w:r>
        <w:t xml:space="preserve"> </w:t>
      </w:r>
      <w:r>
        <w:t xml:space="preserve">“</w:t>
      </w:r>
      <w:r>
        <w:t xml:space="preserve">DORA Article 6 (ICT Risk Management)</w:t>
      </w:r>
      <w:r>
        <w:t xml:space="preserve">”</w:t>
      </w:r>
      <w:r>
        <w:t xml:space="preserve"> </w:t>
      </w:r>
      <w:r>
        <w:t xml:space="preserve">or</w:t>
      </w:r>
      <w:r>
        <w:t xml:space="preserve"> </w:t>
      </w:r>
      <w:r>
        <w:t xml:space="preserve">“</w:t>
      </w:r>
      <w:r>
        <w:t xml:space="preserve">DORA Article 28 (Register of Information)</w:t>
      </w:r>
      <w:r>
        <w:t xml:space="preserve">”</w:t>
      </w:r>
      <w:r>
        <w:t xml:space="preserve">. Properties include article number, title, text (markdown), and cross-references.</w:t>
      </w:r>
    </w:p>
    <w:p>
      <w:pPr>
        <w:numPr>
          <w:ilvl w:val="0"/>
          <w:numId w:val="1001"/>
        </w:numPr>
        <w:pStyle w:val="Compact"/>
      </w:pPr>
      <w:r>
        <w:rPr>
          <w:rStyle w:val="VerbatimChar"/>
          <w:bCs/>
          <w:b/>
        </w:rPr>
        <w:t xml:space="preserve">Requirement</w:t>
      </w:r>
      <w:r>
        <w:t xml:space="preserve">: An actionable obligation extracted from an Article — e.g.,</w:t>
      </w:r>
      <w:r>
        <w:t xml:space="preserve"> </w:t>
      </w:r>
      <w:r>
        <w:t xml:space="preserve">“</w:t>
      </w:r>
      <w:r>
        <w:t xml:space="preserve">Maintain a Register of Information of all ICT third-party service providers</w:t>
      </w:r>
      <w:r>
        <w:t xml:space="preserve">”</w:t>
      </w:r>
      <w:r>
        <w:t xml:space="preserve">. Properties include obligation text, entity type scope, implementation deadline, and assessment rubric.</w:t>
      </w:r>
    </w:p>
    <w:p>
      <w:pPr>
        <w:numPr>
          <w:ilvl w:val="0"/>
          <w:numId w:val="1001"/>
        </w:numPr>
        <w:pStyle w:val="Compact"/>
      </w:pPr>
      <w:r>
        <w:rPr>
          <w:rStyle w:val="VerbatimChar"/>
          <w:bCs/>
          <w:b/>
        </w:rPr>
        <w:t xml:space="preserve">Framework</w:t>
      </w:r>
      <w:r>
        <w:t xml:space="preserve">: A regulatory taxonomy category — e.g.,</w:t>
      </w:r>
      <w:r>
        <w:t xml:space="preserve"> </w:t>
      </w:r>
      <w:r>
        <w:t xml:space="preserve">“</w:t>
      </w:r>
      <w:r>
        <w:t xml:space="preserve">Cybersecurity</w:t>
      </w:r>
      <w:r>
        <w:t xml:space="preserve">”</w:t>
      </w:r>
      <w:r>
        <w:t xml:space="preserve">,</w:t>
      </w:r>
      <w:r>
        <w:t xml:space="preserve"> </w:t>
      </w:r>
      <w:r>
        <w:t xml:space="preserve">“</w:t>
      </w:r>
      <w:r>
        <w:t xml:space="preserve">AI Governance</w:t>
      </w:r>
      <w:r>
        <w:t xml:space="preserve">”</w:t>
      </w:r>
      <w:r>
        <w:t xml:space="preserve">,</w:t>
      </w:r>
      <w:r>
        <w:t xml:space="preserve"> </w:t>
      </w:r>
      <w:r>
        <w:t xml:space="preserve">“</w:t>
      </w:r>
      <w:r>
        <w:t xml:space="preserve">Data Protection</w:t>
      </w:r>
      <w:r>
        <w:t xml:space="preserve">”</w:t>
      </w:r>
      <w:r>
        <w:t xml:space="preserve">,</w:t>
      </w:r>
      <w:r>
        <w:t xml:space="preserve"> </w:t>
      </w:r>
      <w:r>
        <w:t xml:space="preserve">“</w:t>
      </w:r>
      <w:r>
        <w:t xml:space="preserve">Operational Resilience</w:t>
      </w:r>
      <w:r>
        <w:t xml:space="preserve">”</w:t>
      </w:r>
      <w:r>
        <w:t xml:space="preserve">. CSOAI’s 13-framework engine provides the initial taxonomy, extensible via graph mutations.</w:t>
      </w:r>
    </w:p>
    <w:p>
      <w:pPr>
        <w:numPr>
          <w:ilvl w:val="0"/>
          <w:numId w:val="1001"/>
        </w:numPr>
        <w:pStyle w:val="Compact"/>
      </w:pPr>
      <w:r>
        <w:rPr>
          <w:rStyle w:val="VerbatimChar"/>
          <w:bCs/>
          <w:b/>
        </w:rPr>
        <w:t xml:space="preserve">Jurisdiction</w:t>
      </w:r>
      <w:r>
        <w:t xml:space="preserve">: A regulatory geography — e.g.,</w:t>
      </w:r>
      <w:r>
        <w:t xml:space="preserve"> </w:t>
      </w:r>
      <w:r>
        <w:t xml:space="preserve">“</w:t>
      </w:r>
      <w:r>
        <w:t xml:space="preserve">Germany</w:t>
      </w:r>
      <w:r>
        <w:t xml:space="preserve">”</w:t>
      </w:r>
      <w:r>
        <w:t xml:space="preserve">,</w:t>
      </w:r>
      <w:r>
        <w:t xml:space="preserve"> </w:t>
      </w:r>
      <w:r>
        <w:t xml:space="preserve">“</w:t>
      </w:r>
      <w:r>
        <w:t xml:space="preserve">European Union</w:t>
      </w:r>
      <w:r>
        <w:t xml:space="preserve">”</w:t>
      </w:r>
      <w:r>
        <w:t xml:space="preserve">,</w:t>
      </w:r>
      <w:r>
        <w:t xml:space="preserve"> </w:t>
      </w:r>
      <w:r>
        <w:t xml:space="preserve">“</w:t>
      </w:r>
      <w:r>
        <w:t xml:space="preserve">United States (Federal)</w:t>
      </w:r>
      <w:r>
        <w:t xml:space="preserve">”</w:t>
      </w:r>
      <w:r>
        <w:t xml:space="preserve">. Properties include legal system type, NCA references, and applicable treaties.</w:t>
      </w:r>
    </w:p>
    <w:p>
      <w:pPr>
        <w:numPr>
          <w:ilvl w:val="0"/>
          <w:numId w:val="1001"/>
        </w:numPr>
        <w:pStyle w:val="Compact"/>
      </w:pPr>
      <w:r>
        <w:rPr>
          <w:rStyle w:val="VerbatimChar"/>
          <w:bCs/>
          <w:b/>
        </w:rPr>
        <w:t xml:space="preserve">Company</w:t>
      </w:r>
      <w:r>
        <w:t xml:space="preserve">: A legal entity subject to regulation. Properties include name, LEI, registration number, jurisdiction, industry codes (NAICS/NACE), entity type (credit institution, insurer, investment firm, etc.), and group membership.</w:t>
      </w:r>
    </w:p>
    <w:p>
      <w:pPr>
        <w:numPr>
          <w:ilvl w:val="0"/>
          <w:numId w:val="1001"/>
        </w:numPr>
        <w:pStyle w:val="Compact"/>
      </w:pPr>
      <w:r>
        <w:rPr>
          <w:rStyle w:val="VerbatimChar"/>
          <w:bCs/>
          <w:b/>
        </w:rPr>
        <w:t xml:space="preserve">Industry</w:t>
      </w:r>
      <w:r>
        <w:t xml:space="preserve">: A sector classification — e.g.,</w:t>
      </w:r>
      <w:r>
        <w:t xml:space="preserve"> </w:t>
      </w:r>
      <w:r>
        <w:t xml:space="preserve">“</w:t>
      </w:r>
      <w:r>
        <w:t xml:space="preserve">Banking</w:t>
      </w:r>
      <w:r>
        <w:t xml:space="preserve">”</w:t>
      </w:r>
      <w:r>
        <w:t xml:space="preserve">,</w:t>
      </w:r>
      <w:r>
        <w:t xml:space="preserve"> </w:t>
      </w:r>
      <w:r>
        <w:t xml:space="preserve">“</w:t>
      </w:r>
      <w:r>
        <w:t xml:space="preserve">Insurance</w:t>
      </w:r>
      <w:r>
        <w:t xml:space="preserve">”</w:t>
      </w:r>
      <w:r>
        <w:t xml:space="preserve">,</w:t>
      </w:r>
      <w:r>
        <w:t xml:space="preserve"> </w:t>
      </w:r>
      <w:r>
        <w:t xml:space="preserve">“</w:t>
      </w:r>
      <w:r>
        <w:t xml:space="preserve">Asset Management</w:t>
      </w:r>
      <w:r>
        <w:t xml:space="preserve">”</w:t>
      </w:r>
      <w:r>
        <w:t xml:space="preserve">,</w:t>
      </w:r>
      <w:r>
        <w:t xml:space="preserve"> </w:t>
      </w:r>
      <w:r>
        <w:t xml:space="preserve">“</w:t>
      </w:r>
      <w:r>
        <w:t xml:space="preserve">Crypto-Asset Services</w:t>
      </w:r>
      <w:r>
        <w:t xml:space="preserve">”</w:t>
      </w:r>
      <w:r>
        <w:t xml:space="preserve">. Used for sector-specific requirement scoping.</w:t>
      </w:r>
    </w:p>
    <w:p>
      <w:pPr>
        <w:numPr>
          <w:ilvl w:val="0"/>
          <w:numId w:val="1001"/>
        </w:numPr>
        <w:pStyle w:val="Compact"/>
      </w:pPr>
      <w:r>
        <w:rPr>
          <w:rStyle w:val="VerbatimChar"/>
          <w:bCs/>
          <w:b/>
        </w:rPr>
        <w:t xml:space="preserve">Deadline</w:t>
      </w:r>
      <w:r>
        <w:t xml:space="preserve">: A temporal compliance obligation — e.g.,</w:t>
      </w:r>
      <w:r>
        <w:t xml:space="preserve"> </w:t>
      </w:r>
      <w:r>
        <w:t xml:space="preserve">“</w:t>
      </w:r>
      <w:r>
        <w:t xml:space="preserve">DORA Register of Information — April 30, 2026</w:t>
      </w:r>
      <w:r>
        <w:t xml:space="preserve">”</w:t>
      </w:r>
      <w:r>
        <w:t xml:space="preserve">. Properties include target date, deadline type (implementation, reporting, transitional), and grace period rules.</w:t>
      </w:r>
    </w:p>
    <w:p>
      <w:pPr>
        <w:numPr>
          <w:ilvl w:val="0"/>
          <w:numId w:val="1001"/>
        </w:numPr>
        <w:pStyle w:val="Compact"/>
      </w:pPr>
      <w:r>
        <w:rPr>
          <w:rStyle w:val="VerbatimChar"/>
          <w:bCs/>
          <w:b/>
        </w:rPr>
        <w:t xml:space="preserve">Penalty</w:t>
      </w:r>
      <w:r>
        <w:t xml:space="preserve">: A sanction for non-compliance — e.g.,</w:t>
      </w:r>
      <w:r>
        <w:t xml:space="preserve"> </w:t>
      </w:r>
      <w:r>
        <w:t xml:space="preserve">“</w:t>
      </w:r>
      <w:r>
        <w:t xml:space="preserve">BaFin administrative fine up to 5% of daily global turnover</w:t>
      </w:r>
      <w:r>
        <w:t xml:space="preserve">”</w:t>
      </w:r>
      <w:r>
        <w:t xml:space="preserve">. Properties include penalty type, maximum amount, calculation basis, and enforcement precedent.</w:t>
      </w:r>
    </w:p>
    <w:p>
      <w:pPr>
        <w:numPr>
          <w:ilvl w:val="0"/>
          <w:numId w:val="1001"/>
        </w:numPr>
        <w:pStyle w:val="Compact"/>
      </w:pPr>
      <w:r>
        <w:rPr>
          <w:rStyle w:val="VerbatimChar"/>
          <w:bCs/>
          <w:b/>
        </w:rPr>
        <w:t xml:space="preserve">Control</w:t>
      </w:r>
      <w:r>
        <w:t xml:space="preserve">: A mitigating measure that addresses a Requirement — e.g.,</w:t>
      </w:r>
      <w:r>
        <w:t xml:space="preserve"> </w:t>
      </w:r>
      <w:r>
        <w:t xml:space="preserve">“</w:t>
      </w:r>
      <w:r>
        <w:t xml:space="preserve">Multi-factor authentication for all privileged access</w:t>
      </w:r>
      <w:r>
        <w:t xml:space="preserve">”</w:t>
      </w:r>
      <w:r>
        <w:t xml:space="preserve">. Properties include control description, implementation maturity scale, and mapping to standards (ISO 27001, NIST CSF).</w:t>
      </w:r>
    </w:p>
    <w:p>
      <w:pPr>
        <w:numPr>
          <w:ilvl w:val="0"/>
          <w:numId w:val="1001"/>
        </w:numPr>
        <w:pStyle w:val="Compact"/>
      </w:pPr>
      <w:r>
        <w:rPr>
          <w:rStyle w:val="VerbatimChar"/>
          <w:bCs/>
          <w:b/>
        </w:rPr>
        <w:t xml:space="preserve">AssessmentResult</w:t>
      </w:r>
      <w:r>
        <w:t xml:space="preserve">: The output of a BFT Council assessment — a (Company, Regulation) pair evaluation. Properties include compliance score (0–100), confidence interval, assessment date, council signature, gap list, and remediation recommendations</w:t>
      </w:r>
      <w:r>
        <w:t xml:space="preserve"> </w:t>
      </w:r>
      <w:r>
        <w:rPr>
          <w:vertAlign w:val="superscript"/>
        </w:rPr>
        <w:footnoteReference w:id="19"/>
      </w:r>
      <w:r>
        <w:t xml:space="preserve">.</w:t>
      </w:r>
    </w:p>
    <w:bookmarkEnd w:id="43"/>
    <w:bookmarkStart w:id="44" w:name="relationship-types"/>
    <w:p>
      <w:pPr>
        <w:pStyle w:val="Heading3"/>
      </w:pPr>
      <w:r>
        <w:t xml:space="preserve">2.3.2 Relationship Types</w:t>
      </w:r>
    </w:p>
    <w:p>
      <w:pPr>
        <w:pStyle w:val="FirstParagraph"/>
      </w:pPr>
      <w:r>
        <w:t xml:space="preserve">GRCIN’s graph relationships are typed, directed, and property-rich, enabling complex traversals:</w:t>
      </w:r>
    </w:p>
    <w:p>
      <w:pPr>
        <w:numPr>
          <w:ilvl w:val="0"/>
          <w:numId w:val="1002"/>
        </w:numPr>
        <w:pStyle w:val="Compact"/>
      </w:pPr>
      <w:r>
        <w:rPr>
          <w:rStyle w:val="VerbatimChar"/>
          <w:bCs/>
          <w:b/>
        </w:rPr>
        <w:t xml:space="preserve">(Regulation)-[:HAS_ARTICLE]-&gt;(Article)</w:t>
      </w:r>
      <w:r>
        <w:t xml:space="preserve">: Decomposition of regulations into articles.</w:t>
      </w:r>
    </w:p>
    <w:p>
      <w:pPr>
        <w:numPr>
          <w:ilvl w:val="0"/>
          <w:numId w:val="1002"/>
        </w:numPr>
        <w:pStyle w:val="Compact"/>
      </w:pPr>
      <w:r>
        <w:rPr>
          <w:rStyle w:val="VerbatimChar"/>
          <w:bCs/>
          <w:b/>
        </w:rPr>
        <w:t xml:space="preserve">(Article)-[:CONTAINS_REQUIREMENT]-&gt;(Requirement)</w:t>
      </w:r>
      <w:r>
        <w:t xml:space="preserve">: Extraction of obligations from articles.</w:t>
      </w:r>
    </w:p>
    <w:p>
      <w:pPr>
        <w:numPr>
          <w:ilvl w:val="0"/>
          <w:numId w:val="1002"/>
        </w:numPr>
        <w:pStyle w:val="Compact"/>
      </w:pPr>
      <w:r>
        <w:rPr>
          <w:rStyle w:val="VerbatimChar"/>
          <w:bCs/>
          <w:b/>
        </w:rPr>
        <w:t xml:space="preserve">(Regulation)-[:IMPLEMENTS]-&gt;(Framework)</w:t>
      </w:r>
      <w:r>
        <w:t xml:space="preserve">: Taxonomic classification.</w:t>
      </w:r>
    </w:p>
    <w:p>
      <w:pPr>
        <w:numPr>
          <w:ilvl w:val="0"/>
          <w:numId w:val="1002"/>
        </w:numPr>
        <w:pStyle w:val="Compact"/>
      </w:pPr>
      <w:r>
        <w:rPr>
          <w:rStyle w:val="VerbatimChar"/>
          <w:bCs/>
          <w:b/>
        </w:rPr>
        <w:t xml:space="preserve">(Regulation)-[:APPLIES_IN]-&gt;(Jurisdiction)</w:t>
      </w:r>
      <w:r>
        <w:t xml:space="preserve">: Geographic scope.</w:t>
      </w:r>
    </w:p>
    <w:p>
      <w:pPr>
        <w:numPr>
          <w:ilvl w:val="0"/>
          <w:numId w:val="1002"/>
        </w:numPr>
        <w:pStyle w:val="Compact"/>
      </w:pPr>
      <w:r>
        <w:rPr>
          <w:rStyle w:val="VerbatimChar"/>
          <w:bCs/>
          <w:b/>
        </w:rPr>
        <w:t xml:space="preserve">(Company)-[:SUBJECT_TO]-&gt;(Regulation)</w:t>
      </w:r>
      <w:r>
        <w:t xml:space="preserve">: Entity subjection, with properties</w:t>
      </w:r>
      <w:r>
        <w:t xml:space="preserve"> </w:t>
      </w:r>
      <w:r>
        <w:rPr>
          <w:rStyle w:val="VerbatimChar"/>
        </w:rPr>
        <w:t xml:space="preserve">from</w:t>
      </w:r>
      <w:r>
        <w:t xml:space="preserve">,</w:t>
      </w:r>
      <w:r>
        <w:t xml:space="preserve"> </w:t>
      </w:r>
      <w:r>
        <w:rPr>
          <w:rStyle w:val="VerbatimChar"/>
        </w:rPr>
        <w:t xml:space="preserve">to</w:t>
      </w:r>
      <w:r>
        <w:t xml:space="preserve">, and</w:t>
      </w:r>
      <w:r>
        <w:t xml:space="preserve"> </w:t>
      </w:r>
      <w:r>
        <w:rPr>
          <w:rStyle w:val="VerbatimChar"/>
        </w:rPr>
        <w:t xml:space="preserve">basis</w:t>
      </w:r>
      <w:r>
        <w:t xml:space="preserve"> </w:t>
      </w:r>
      <w:r>
        <w:t xml:space="preserve">capturing temporal validity and legal rationale.</w:t>
      </w:r>
    </w:p>
    <w:p>
      <w:pPr>
        <w:numPr>
          <w:ilvl w:val="0"/>
          <w:numId w:val="1002"/>
        </w:numPr>
        <w:pStyle w:val="Compact"/>
      </w:pPr>
      <w:r>
        <w:rPr>
          <w:rStyle w:val="VerbatimChar"/>
          <w:bCs/>
          <w:b/>
        </w:rPr>
        <w:t xml:space="preserve">(Company)-[:COMPLIES_WITH {score: 87.5}]-&gt;(Requirement)</w:t>
      </w:r>
      <w:r>
        <w:t xml:space="preserve">: Compliance status via AssessmentResult.</w:t>
      </w:r>
    </w:p>
    <w:p>
      <w:pPr>
        <w:numPr>
          <w:ilvl w:val="0"/>
          <w:numId w:val="1002"/>
        </w:numPr>
        <w:pStyle w:val="Compact"/>
      </w:pPr>
      <w:r>
        <w:rPr>
          <w:rStyle w:val="VerbatimChar"/>
          <w:bCs/>
          <w:b/>
        </w:rPr>
        <w:t xml:space="preserve">(Requirement)-[:DEADLINE_ON]-&gt;(Deadline)</w:t>
      </w:r>
      <w:r>
        <w:t xml:space="preserve">: Temporal obligation linkage.</w:t>
      </w:r>
    </w:p>
    <w:p>
      <w:pPr>
        <w:numPr>
          <w:ilvl w:val="0"/>
          <w:numId w:val="1002"/>
        </w:numPr>
        <w:pStyle w:val="Compact"/>
      </w:pPr>
      <w:r>
        <w:rPr>
          <w:rStyle w:val="VerbatimChar"/>
          <w:bCs/>
          <w:b/>
        </w:rPr>
        <w:t xml:space="preserve">(Requirement)-[:PENALTY_OF]-&gt;(Penalty)</w:t>
      </w:r>
      <w:r>
        <w:t xml:space="preserve">: Consequence mapping.</w:t>
      </w:r>
    </w:p>
    <w:p>
      <w:pPr>
        <w:numPr>
          <w:ilvl w:val="0"/>
          <w:numId w:val="1002"/>
        </w:numPr>
        <w:pStyle w:val="Compact"/>
      </w:pPr>
      <w:r>
        <w:rPr>
          <w:rStyle w:val="VerbatimChar"/>
          <w:bCs/>
          <w:b/>
        </w:rPr>
        <w:t xml:space="preserve">(Company)-[:HAS_CONTROL]-&gt;(Control)</w:t>
      </w:r>
      <w:r>
        <w:t xml:space="preserve">: Implemented controls.</w:t>
      </w:r>
    </w:p>
    <w:p>
      <w:pPr>
        <w:numPr>
          <w:ilvl w:val="0"/>
          <w:numId w:val="1002"/>
        </w:numPr>
        <w:pStyle w:val="Compact"/>
      </w:pPr>
      <w:r>
        <w:rPr>
          <w:rStyle w:val="VerbatimChar"/>
          <w:bCs/>
          <w:b/>
        </w:rPr>
        <w:t xml:space="preserve">(Control)-[:ADDRESSES]-&gt;(Requirement)</w:t>
      </w:r>
      <w:r>
        <w:t xml:space="preserve">: Control-to-requirement coverage mapping.</w:t>
      </w:r>
    </w:p>
    <w:p>
      <w:pPr>
        <w:numPr>
          <w:ilvl w:val="0"/>
          <w:numId w:val="1002"/>
        </w:numPr>
        <w:pStyle w:val="Compact"/>
      </w:pPr>
      <w:r>
        <w:rPr>
          <w:rStyle w:val="VerbatimChar"/>
          <w:bCs/>
          <w:b/>
        </w:rPr>
        <w:t xml:space="preserve">(Company)-[:ASSESSED_AS]-&gt;(AssessmentResult)</w:t>
      </w:r>
      <w:r>
        <w:t xml:space="preserve">: Assessment linkage.</w:t>
      </w:r>
    </w:p>
    <w:p>
      <w:pPr>
        <w:numPr>
          <w:ilvl w:val="0"/>
          <w:numId w:val="1002"/>
        </w:numPr>
        <w:pStyle w:val="Compact"/>
      </w:pPr>
      <w:r>
        <w:rPr>
          <w:rStyle w:val="VerbatimChar"/>
          <w:bCs/>
          <w:b/>
        </w:rPr>
        <w:t xml:space="preserve">(AssessmentResult)-[:EVALUATES]-&gt;(Regulation)</w:t>
      </w:r>
      <w:r>
        <w:t xml:space="preserve">: Assessment scope.</w:t>
      </w:r>
    </w:p>
    <w:p>
      <w:pPr>
        <w:numPr>
          <w:ilvl w:val="0"/>
          <w:numId w:val="1002"/>
        </w:numPr>
        <w:pStyle w:val="Compact"/>
      </w:pPr>
      <w:r>
        <w:rPr>
          <w:rStyle w:val="VerbatimChar"/>
          <w:bCs/>
          <w:b/>
        </w:rPr>
        <w:t xml:space="preserve">(Regulation)-[:DERIVED_FROM]-&gt;(Regulation)</w:t>
      </w:r>
      <w:r>
        <w:t xml:space="preserve">: Template inheritance for Phase 3 jurisdictions</w:t>
      </w:r>
      <w:r>
        <w:t xml:space="preserve"> </w:t>
      </w:r>
      <w:r>
        <w:rPr>
          <w:vertAlign w:val="superscript"/>
        </w:rPr>
        <w:footnoteReference w:id="20"/>
      </w:r>
      <w:r>
        <w:t xml:space="preserve">.</w:t>
      </w:r>
    </w:p>
    <w:bookmarkEnd w:id="44"/>
    <w:bookmarkStart w:id="45" w:name="X938a784eaf371a80a52ad347eaf3a71b5ea66bf"/>
    <w:p>
      <w:pPr>
        <w:pStyle w:val="Heading3"/>
      </w:pPr>
      <w:r>
        <w:t xml:space="preserve">2.3.3 Query Capability: From Graph to Intelligence</w:t>
      </w:r>
    </w:p>
    <w:p>
      <w:pPr>
        <w:pStyle w:val="FirstParagraph"/>
      </w:pPr>
      <w:r>
        <w:t xml:space="preserve">This schema enables precisely the types of queries that make GRCIN valuable. A compliance officer at a German bank can ask:</w:t>
      </w:r>
      <w:r>
        <w:t xml:space="preserve"> </w:t>
      </w:r>
      <w:r>
        <w:rPr>
          <w:iCs/>
          <w:i/>
        </w:rPr>
        <w:t xml:space="preserve">“</w:t>
      </w:r>
      <w:r>
        <w:rPr>
          <w:iCs/>
          <w:i/>
        </w:rPr>
        <w:t xml:space="preserve">Show me all companies in Germany subject to DORA Article 28 that haven’t submitted their Register of Information by April 30, 2026.</w:t>
      </w:r>
      <w:r>
        <w:rPr>
          <w:iCs/>
          <w:i/>
        </w:rPr>
        <w:t xml:space="preserve">”</w:t>
      </w:r>
      <w:r>
        <w:t xml:space="preserve"> </w:t>
      </w:r>
      <w:r>
        <w:t xml:space="preserve">The Cypher traversal is:</w:t>
      </w:r>
    </w:p>
    <w:p>
      <w:pPr>
        <w:pStyle w:val="SourceCode"/>
      </w:pPr>
      <w:r>
        <w:rPr>
          <w:rStyle w:val="VerbatimChar"/>
        </w:rPr>
        <w:t xml:space="preserve">MATCH (c:Company)-[:SUBJECT_TO]-&gt;(r:Regulation {citation: 'Regulation (EU) 2022/2554'})</w:t>
      </w:r>
      <w:r>
        <w:br/>
      </w:r>
      <w:r>
        <w:rPr>
          <w:rStyle w:val="VerbatimChar"/>
        </w:rPr>
        <w:t xml:space="preserve">MATCH (r)-[:HAS_ARTICLE]-&gt;(a:Article {number: 28})</w:t>
      </w:r>
      <w:r>
        <w:br/>
      </w:r>
      <w:r>
        <w:rPr>
          <w:rStyle w:val="VerbatimChar"/>
        </w:rPr>
        <w:t xml:space="preserve">MATCH (a)-[:CONTAINS_REQUIREMENT]-&gt;(req:Requirement)</w:t>
      </w:r>
      <w:r>
        <w:br/>
      </w:r>
      <w:r>
        <w:rPr>
          <w:rStyle w:val="VerbatimChar"/>
        </w:rPr>
        <w:t xml:space="preserve">MATCH (c)-[aw:ASSESSED_AS]-&gt;(ar:AssessmentResult)-[:EVALUATES]-&gt;(r)</w:t>
      </w:r>
      <w:r>
        <w:br/>
      </w:r>
      <w:r>
        <w:rPr>
          <w:rStyle w:val="VerbatimChar"/>
        </w:rPr>
        <w:t xml:space="preserve">WHERE ar.score &lt; 100 AND req.deadline &lt;= date('2026-04-30')</w:t>
      </w:r>
      <w:r>
        <w:br/>
      </w:r>
      <w:r>
        <w:rPr>
          <w:rStyle w:val="VerbatimChar"/>
        </w:rPr>
        <w:t xml:space="preserve">RETURN c.name, c.LEI, ar.score, req.description, ar.gaps</w:t>
      </w:r>
      <w:r>
        <w:br/>
      </w:r>
      <w:r>
        <w:rPr>
          <w:rStyle w:val="VerbatimChar"/>
        </w:rPr>
        <w:t xml:space="preserve">ORDER BY ar.score ASC</w:t>
      </w:r>
    </w:p>
    <w:p>
      <w:pPr>
        <w:pStyle w:val="FirstParagraph"/>
      </w:pPr>
      <w:r>
        <w:t xml:space="preserve">Regulators can run aggregate queries:</w:t>
      </w:r>
      <w:r>
        <w:t xml:space="preserve"> </w:t>
      </w:r>
      <w:r>
        <w:rPr>
          <w:iCs/>
          <w:i/>
        </w:rPr>
        <w:t xml:space="preserve">“</w:t>
      </w:r>
      <w:r>
        <w:rPr>
          <w:iCs/>
          <w:i/>
        </w:rPr>
        <w:t xml:space="preserve">What percentage of investment firms in the EU have implemented DORA Article 6 ICT risk management frameworks?</w:t>
      </w:r>
      <w:r>
        <w:rPr>
          <w:iCs/>
          <w:i/>
        </w:rPr>
        <w:t xml:space="preserve">”</w:t>
      </w:r>
      <w:r>
        <w:t xml:space="preserve"> </w:t>
      </w:r>
      <w:r>
        <w:t xml:space="preserve">The graph returns not just a number, but the identifiable population, their individual scores, and the specific gaps preventing full compliance. This level of precision — granular, attributable, and temporally aware — is unavailable from any existing compliance technology product</w:t>
      </w:r>
      <w:r>
        <w:t xml:space="preserve"> </w:t>
      </w:r>
      <w:r>
        <w:rPr>
          <w:vertAlign w:val="superscript"/>
        </w:rPr>
        <w:footnoteReference w:id="21"/>
      </w:r>
      <w:r>
        <w:t xml:space="preserve">.</w:t>
      </w:r>
    </w:p>
    <w:bookmarkEnd w:id="45"/>
    <w:bookmarkStart w:id="46" w:name="X2ce99f63629fb7379245393a3b5e3e84b7a4c26"/>
    <w:p>
      <w:pPr>
        <w:pStyle w:val="Heading3"/>
      </w:pPr>
      <w:r>
        <w:t xml:space="preserve">Table 2: GRCIN Jurisdictional Coverage Map</w:t>
      </w:r>
    </w:p>
    <w:tbl>
      <w:tblPr>
        <w:tblStyle w:val="Table"/>
        <w:tblW w:type="pct" w:w="5000"/>
        <w:tblLook w:firstRow="1" w:lastRow="0" w:firstColumn="0" w:lastColumn="0" w:noHBand="0" w:noVBand="0" w:val="0020"/>
      </w:tblPr>
      <w:tblGrid>
        <w:gridCol w:w="538"/>
        <w:gridCol w:w="1691"/>
        <w:gridCol w:w="1230"/>
        <w:gridCol w:w="1845"/>
        <w:gridCol w:w="1999"/>
        <w:gridCol w:w="615"/>
      </w:tblGrid>
      <w:tr>
        <w:trPr>
          <w:tblHeader w:val="true"/>
        </w:trPr>
        <w:tc>
          <w:tcPr/>
          <w:p>
            <w:pPr>
              <w:pStyle w:val="Compact"/>
              <w:jc w:val="left"/>
            </w:pPr>
            <w:r>
              <w:t xml:space="preserve">Phase</w:t>
            </w:r>
          </w:p>
        </w:tc>
        <w:tc>
          <w:tcPr/>
          <w:p>
            <w:pPr>
              <w:pStyle w:val="Compact"/>
              <w:jc w:val="left"/>
            </w:pPr>
            <w:r>
              <w:t xml:space="preserve">Jurisdiction / Region</w:t>
            </w:r>
          </w:p>
        </w:tc>
        <w:tc>
          <w:tcPr/>
          <w:p>
            <w:pPr>
              <w:pStyle w:val="Compact"/>
              <w:jc w:val="left"/>
            </w:pPr>
            <w:r>
              <w:t xml:space="preserve">Key Frameworks</w:t>
            </w:r>
          </w:p>
        </w:tc>
        <w:tc>
          <w:tcPr/>
          <w:p>
            <w:pPr>
              <w:pStyle w:val="Compact"/>
              <w:jc w:val="left"/>
            </w:pPr>
            <w:r>
              <w:t xml:space="preserve">Est. Regulated Entities</w:t>
            </w:r>
          </w:p>
        </w:tc>
        <w:tc>
          <w:tcPr/>
          <w:p>
            <w:pPr>
              <w:pStyle w:val="Compact"/>
              <w:jc w:val="left"/>
            </w:pPr>
            <w:r>
              <w:t xml:space="preserve">Primary Data Source URLs</w:t>
            </w:r>
          </w:p>
        </w:tc>
        <w:tc>
          <w:tcPr/>
          <w:p>
            <w:pPr>
              <w:pStyle w:val="Compact"/>
              <w:jc w:val="left"/>
            </w:pPr>
            <w:r>
              <w:t xml:space="preserve">Status</w:t>
            </w:r>
          </w:p>
        </w:tc>
      </w:tr>
      <w:tr>
        <w:tc>
          <w:tcPr/>
          <w:p>
            <w:pPr>
              <w:pStyle w:val="Compact"/>
              <w:jc w:val="left"/>
            </w:pPr>
            <w:r>
              <w:rPr>
                <w:bCs/>
                <w:b/>
              </w:rPr>
              <w:t xml:space="preserve">1</w:t>
            </w:r>
          </w:p>
        </w:tc>
        <w:tc>
          <w:tcPr/>
          <w:p>
            <w:pPr>
              <w:pStyle w:val="Compact"/>
              <w:jc w:val="left"/>
            </w:pPr>
            <w:r>
              <w:rPr>
                <w:bCs/>
                <w:b/>
              </w:rPr>
              <w:t xml:space="preserve">European Union (27 member states)</w:t>
            </w:r>
          </w:p>
        </w:tc>
        <w:tc>
          <w:tcPr/>
          <w:p>
            <w:pPr>
              <w:pStyle w:val="Compact"/>
              <w:jc w:val="left"/>
            </w:pPr>
            <w:r>
              <w:t xml:space="preserve">DORA, EU AI Act, GDPR, NIS2, MiCA, AML6</w:t>
            </w:r>
          </w:p>
        </w:tc>
        <w:tc>
          <w:tcPr/>
          <w:p>
            <w:pPr>
              <w:pStyle w:val="Compact"/>
              <w:jc w:val="left"/>
            </w:pPr>
            <w:r>
              <w:t xml:space="preserve">22,000+ (DORA scope alone)</w:t>
            </w:r>
          </w:p>
        </w:tc>
        <w:tc>
          <w:tcPr/>
          <w:p>
            <w:pPr>
              <w:pStyle w:val="Compact"/>
              <w:jc w:val="left"/>
            </w:pPr>
            <w:r>
              <w:t xml:space="preserve">eur-lex.europa.eu, eba.europa.eu, esma.europa.eu, eiopa.europa.eu</w:t>
            </w:r>
          </w:p>
        </w:tc>
        <w:tc>
          <w:tcPr/>
          <w:p>
            <w:pPr>
              <w:pStyle w:val="Compact"/>
              <w:jc w:val="left"/>
            </w:pPr>
            <w:r>
              <w:rPr>
                <w:bCs/>
                <w:b/>
              </w:rPr>
              <w:t xml:space="preserve">Active — Core</w:t>
            </w:r>
          </w:p>
        </w:tc>
      </w:tr>
      <w:tr>
        <w:tc>
          <w:tcPr/>
          <w:p>
            <w:pPr>
              <w:pStyle w:val="Compact"/>
              <w:jc w:val="left"/>
            </w:pPr>
            <w:r>
              <w:rPr>
                <w:bCs/>
                <w:b/>
              </w:rPr>
              <w:t xml:space="preserve">1</w:t>
            </w:r>
          </w:p>
        </w:tc>
        <w:tc>
          <w:tcPr/>
          <w:p>
            <w:pPr>
              <w:pStyle w:val="Compact"/>
              <w:jc w:val="left"/>
            </w:pPr>
            <w:r>
              <w:rPr>
                <w:bCs/>
                <w:b/>
              </w:rPr>
              <w:t xml:space="preserve">EEA (Iceland, Liechtenstein, Norway)</w:t>
            </w:r>
          </w:p>
        </w:tc>
        <w:tc>
          <w:tcPr/>
          <w:p>
            <w:pPr>
              <w:pStyle w:val="Compact"/>
              <w:jc w:val="left"/>
            </w:pPr>
            <w:r>
              <w:t xml:space="preserve">EEA Agreement incorporation of EU regs</w:t>
            </w:r>
          </w:p>
        </w:tc>
        <w:tc>
          <w:tcPr/>
          <w:p>
            <w:pPr>
              <w:pStyle w:val="Compact"/>
              <w:jc w:val="left"/>
            </w:pPr>
            <w:r>
              <w:t xml:space="preserve">1,500+</w:t>
            </w:r>
          </w:p>
        </w:tc>
        <w:tc>
          <w:tcPr/>
          <w:p>
            <w:pPr>
              <w:pStyle w:val="Compact"/>
              <w:jc w:val="left"/>
            </w:pPr>
            <w:r>
              <w:t xml:space="preserve">efta.int/eea, finanstilsynet.no, fme.is</w:t>
            </w:r>
          </w:p>
        </w:tc>
        <w:tc>
          <w:tcPr/>
          <w:p>
            <w:pPr>
              <w:pStyle w:val="Compact"/>
              <w:jc w:val="left"/>
            </w:pPr>
            <w:r>
              <w:rPr>
                <w:bCs/>
                <w:b/>
              </w:rPr>
              <w:t xml:space="preserve">Active — Core</w:t>
            </w:r>
          </w:p>
        </w:tc>
      </w:tr>
      <w:tr>
        <w:tc>
          <w:tcPr/>
          <w:p>
            <w:pPr>
              <w:pStyle w:val="Compact"/>
              <w:jc w:val="left"/>
            </w:pPr>
            <w:r>
              <w:rPr>
                <w:bCs/>
                <w:b/>
              </w:rPr>
              <w:t xml:space="preserve">2</w:t>
            </w:r>
          </w:p>
        </w:tc>
        <w:tc>
          <w:tcPr/>
          <w:p>
            <w:pPr>
              <w:pStyle w:val="Compact"/>
              <w:jc w:val="left"/>
            </w:pPr>
            <w:r>
              <w:rPr>
                <w:bCs/>
                <w:b/>
              </w:rPr>
              <w:t xml:space="preserve">United Kingdom</w:t>
            </w:r>
          </w:p>
        </w:tc>
        <w:tc>
          <w:tcPr/>
          <w:p>
            <w:pPr>
              <w:pStyle w:val="Compact"/>
              <w:jc w:val="left"/>
            </w:pPr>
            <w:r>
              <w:t xml:space="preserve">FCA/PRA rulebooks, CBEST, Consumer Duty</w:t>
            </w:r>
          </w:p>
        </w:tc>
        <w:tc>
          <w:tcPr/>
          <w:p>
            <w:pPr>
              <w:pStyle w:val="Compact"/>
              <w:jc w:val="left"/>
            </w:pPr>
            <w:r>
              <w:t xml:space="preserve">12,000+</w:t>
            </w:r>
          </w:p>
        </w:tc>
        <w:tc>
          <w:tcPr/>
          <w:p>
            <w:pPr>
              <w:pStyle w:val="Compact"/>
              <w:jc w:val="left"/>
            </w:pPr>
            <w:r>
              <w:t xml:space="preserve">fca.org.uk, bankofengland.co.uk, legislation.gov.uk</w:t>
            </w:r>
          </w:p>
        </w:tc>
        <w:tc>
          <w:tcPr/>
          <w:p>
            <w:pPr>
              <w:pStyle w:val="Compact"/>
              <w:jc w:val="left"/>
            </w:pPr>
            <w:r>
              <w:rPr>
                <w:bCs/>
                <w:b/>
              </w:rPr>
              <w:t xml:space="preserve">Active — Extended</w:t>
            </w:r>
          </w:p>
        </w:tc>
      </w:tr>
      <w:tr>
        <w:tc>
          <w:tcPr/>
          <w:p>
            <w:pPr>
              <w:pStyle w:val="Compact"/>
              <w:jc w:val="left"/>
            </w:pPr>
            <w:r>
              <w:rPr>
                <w:bCs/>
                <w:b/>
              </w:rPr>
              <w:t xml:space="preserve">2</w:t>
            </w:r>
          </w:p>
        </w:tc>
        <w:tc>
          <w:tcPr/>
          <w:p>
            <w:pPr>
              <w:pStyle w:val="Compact"/>
              <w:jc w:val="left"/>
            </w:pPr>
            <w:r>
              <w:rPr>
                <w:bCs/>
                <w:b/>
              </w:rPr>
              <w:t xml:space="preserve">United States (Federal)</w:t>
            </w:r>
          </w:p>
        </w:tc>
        <w:tc>
          <w:tcPr/>
          <w:p>
            <w:pPr>
              <w:pStyle w:val="Compact"/>
              <w:jc w:val="left"/>
            </w:pPr>
            <w:r>
              <w:t xml:space="preserve">SEC 33-11216, CFTC cyber, FFIEC, NYDFS 500</w:t>
            </w:r>
          </w:p>
        </w:tc>
        <w:tc>
          <w:tcPr/>
          <w:p>
            <w:pPr>
              <w:pStyle w:val="Compact"/>
              <w:jc w:val="left"/>
            </w:pPr>
            <w:r>
              <w:t xml:space="preserve">15,000+</w:t>
            </w:r>
          </w:p>
        </w:tc>
        <w:tc>
          <w:tcPr/>
          <w:p>
            <w:pPr>
              <w:pStyle w:val="Compact"/>
              <w:jc w:val="left"/>
            </w:pPr>
            <w:r>
              <w:t xml:space="preserve">sec.gov, cftc.gov, treas.gov, dfs.ny.gov</w:t>
            </w:r>
          </w:p>
        </w:tc>
        <w:tc>
          <w:tcPr/>
          <w:p>
            <w:pPr>
              <w:pStyle w:val="Compact"/>
              <w:jc w:val="left"/>
            </w:pPr>
            <w:r>
              <w:rPr>
                <w:bCs/>
                <w:b/>
              </w:rPr>
              <w:t xml:space="preserve">Active — Extended</w:t>
            </w:r>
          </w:p>
        </w:tc>
      </w:tr>
      <w:tr>
        <w:tc>
          <w:tcPr/>
          <w:p>
            <w:pPr>
              <w:pStyle w:val="Compact"/>
              <w:jc w:val="left"/>
            </w:pPr>
            <w:r>
              <w:rPr>
                <w:bCs/>
                <w:b/>
              </w:rPr>
              <w:t xml:space="preserve">2</w:t>
            </w:r>
          </w:p>
        </w:tc>
        <w:tc>
          <w:tcPr/>
          <w:p>
            <w:pPr>
              <w:pStyle w:val="Compact"/>
              <w:jc w:val="left"/>
            </w:pPr>
            <w:r>
              <w:rPr>
                <w:bCs/>
                <w:b/>
              </w:rPr>
              <w:t xml:space="preserve">Australia</w:t>
            </w:r>
          </w:p>
        </w:tc>
        <w:tc>
          <w:tcPr/>
          <w:p>
            <w:pPr>
              <w:pStyle w:val="Compact"/>
              <w:jc w:val="left"/>
            </w:pPr>
            <w:r>
              <w:t xml:space="preserve">APRA CPS 230, CPS 234, ASIC RG 104</w:t>
            </w:r>
          </w:p>
        </w:tc>
        <w:tc>
          <w:tcPr/>
          <w:p>
            <w:pPr>
              <w:pStyle w:val="Compact"/>
              <w:jc w:val="left"/>
            </w:pPr>
            <w:r>
              <w:t xml:space="preserve">3,500+</w:t>
            </w:r>
          </w:p>
        </w:tc>
        <w:tc>
          <w:tcPr/>
          <w:p>
            <w:pPr>
              <w:pStyle w:val="Compact"/>
              <w:jc w:val="left"/>
            </w:pPr>
            <w:r>
              <w:t xml:space="preserve">apra.gov.au, asic.gov.au, legislation.gov.au</w:t>
            </w:r>
          </w:p>
        </w:tc>
        <w:tc>
          <w:tcPr/>
          <w:p>
            <w:pPr>
              <w:pStyle w:val="Compact"/>
              <w:jc w:val="left"/>
            </w:pPr>
            <w:r>
              <w:rPr>
                <w:bCs/>
                <w:b/>
              </w:rPr>
              <w:t xml:space="preserve">Active — Extended</w:t>
            </w:r>
          </w:p>
        </w:tc>
      </w:tr>
      <w:tr>
        <w:tc>
          <w:tcPr/>
          <w:p>
            <w:pPr>
              <w:pStyle w:val="Compact"/>
              <w:jc w:val="left"/>
            </w:pPr>
            <w:r>
              <w:rPr>
                <w:bCs/>
                <w:b/>
              </w:rPr>
              <w:t xml:space="preserve">2</w:t>
            </w:r>
          </w:p>
        </w:tc>
        <w:tc>
          <w:tcPr/>
          <w:p>
            <w:pPr>
              <w:pStyle w:val="Compact"/>
              <w:jc w:val="left"/>
            </w:pPr>
            <w:r>
              <w:rPr>
                <w:bCs/>
                <w:b/>
              </w:rPr>
              <w:t xml:space="preserve">Singapore</w:t>
            </w:r>
          </w:p>
        </w:tc>
        <w:tc>
          <w:tcPr/>
          <w:p>
            <w:pPr>
              <w:pStyle w:val="Compact"/>
              <w:jc w:val="left"/>
            </w:pPr>
            <w:r>
              <w:t xml:space="preserve">MAS TRM, Notice 635, AI framework</w:t>
            </w:r>
          </w:p>
        </w:tc>
        <w:tc>
          <w:tcPr/>
          <w:p>
            <w:pPr>
              <w:pStyle w:val="Compact"/>
              <w:jc w:val="left"/>
            </w:pPr>
            <w:r>
              <w:t xml:space="preserve">2,000+</w:t>
            </w:r>
          </w:p>
        </w:tc>
        <w:tc>
          <w:tcPr/>
          <w:p>
            <w:pPr>
              <w:pStyle w:val="Compact"/>
              <w:jc w:val="left"/>
            </w:pPr>
            <w:r>
              <w:t xml:space="preserve">mas.gov.sg, acra.gov.sg</w:t>
            </w:r>
          </w:p>
        </w:tc>
        <w:tc>
          <w:tcPr/>
          <w:p>
            <w:pPr>
              <w:pStyle w:val="Compact"/>
              <w:jc w:val="left"/>
            </w:pPr>
            <w:r>
              <w:rPr>
                <w:bCs/>
                <w:b/>
              </w:rPr>
              <w:t xml:space="preserve">Active — Extended</w:t>
            </w:r>
          </w:p>
        </w:tc>
      </w:tr>
      <w:tr>
        <w:tc>
          <w:tcPr/>
          <w:p>
            <w:pPr>
              <w:pStyle w:val="Compact"/>
              <w:jc w:val="left"/>
            </w:pPr>
            <w:r>
              <w:rPr>
                <w:bCs/>
                <w:b/>
              </w:rPr>
              <w:t xml:space="preserve">2</w:t>
            </w:r>
          </w:p>
        </w:tc>
        <w:tc>
          <w:tcPr/>
          <w:p>
            <w:pPr>
              <w:pStyle w:val="Compact"/>
              <w:jc w:val="left"/>
            </w:pPr>
            <w:r>
              <w:rPr>
                <w:bCs/>
                <w:b/>
              </w:rPr>
              <w:t xml:space="preserve">Hong Kong</w:t>
            </w:r>
          </w:p>
        </w:tc>
        <w:tc>
          <w:tcPr/>
          <w:p>
            <w:pPr>
              <w:pStyle w:val="Compact"/>
              <w:jc w:val="left"/>
            </w:pPr>
            <w:r>
              <w:t xml:space="preserve">HKMA SPM, iCAST, SFC VASP guidelines</w:t>
            </w:r>
          </w:p>
        </w:tc>
        <w:tc>
          <w:tcPr/>
          <w:p>
            <w:pPr>
              <w:pStyle w:val="Compact"/>
              <w:jc w:val="left"/>
            </w:pPr>
            <w:r>
              <w:t xml:space="preserve">2,500+</w:t>
            </w:r>
          </w:p>
        </w:tc>
        <w:tc>
          <w:tcPr/>
          <w:p>
            <w:pPr>
              <w:pStyle w:val="Compact"/>
              <w:jc w:val="left"/>
            </w:pPr>
            <w:r>
              <w:t xml:space="preserve">hkma.gov.hk, sfc.hk</w:t>
            </w:r>
          </w:p>
        </w:tc>
        <w:tc>
          <w:tcPr/>
          <w:p>
            <w:pPr>
              <w:pStyle w:val="Compact"/>
              <w:jc w:val="left"/>
            </w:pPr>
            <w:r>
              <w:rPr>
                <w:bCs/>
                <w:b/>
              </w:rPr>
              <w:t xml:space="preserve">Active — Extended</w:t>
            </w:r>
          </w:p>
        </w:tc>
      </w:tr>
      <w:tr>
        <w:tc>
          <w:tcPr/>
          <w:p>
            <w:pPr>
              <w:pStyle w:val="Compact"/>
              <w:jc w:val="left"/>
            </w:pPr>
            <w:r>
              <w:rPr>
                <w:bCs/>
                <w:b/>
              </w:rPr>
              <w:t xml:space="preserve">2</w:t>
            </w:r>
          </w:p>
        </w:tc>
        <w:tc>
          <w:tcPr/>
          <w:p>
            <w:pPr>
              <w:pStyle w:val="Compact"/>
              <w:jc w:val="left"/>
            </w:pPr>
            <w:r>
              <w:rPr>
                <w:bCs/>
                <w:b/>
              </w:rPr>
              <w:t xml:space="preserve">Japan</w:t>
            </w:r>
          </w:p>
        </w:tc>
        <w:tc>
          <w:tcPr/>
          <w:p>
            <w:pPr>
              <w:pStyle w:val="Compact"/>
              <w:jc w:val="left"/>
            </w:pPr>
            <w:r>
              <w:t xml:space="preserve">FSA Cybersecurity Guidelines, AI framework</w:t>
            </w:r>
          </w:p>
        </w:tc>
        <w:tc>
          <w:tcPr/>
          <w:p>
            <w:pPr>
              <w:pStyle w:val="Compact"/>
              <w:jc w:val="left"/>
            </w:pPr>
            <w:r>
              <w:t xml:space="preserve">4,000+</w:t>
            </w:r>
          </w:p>
        </w:tc>
        <w:tc>
          <w:tcPr/>
          <w:p>
            <w:pPr>
              <w:pStyle w:val="Compact"/>
              <w:jc w:val="left"/>
            </w:pPr>
            <w:r>
              <w:t xml:space="preserve">fsa.go.jp, cas.go.jp/jp/seisaku/ai</w:t>
            </w:r>
          </w:p>
        </w:tc>
        <w:tc>
          <w:tcPr/>
          <w:p>
            <w:pPr>
              <w:pStyle w:val="Compact"/>
              <w:jc w:val="left"/>
            </w:pPr>
            <w:r>
              <w:rPr>
                <w:bCs/>
                <w:b/>
              </w:rPr>
              <w:t xml:space="preserve">Active — Extended</w:t>
            </w:r>
          </w:p>
        </w:tc>
      </w:tr>
      <w:tr>
        <w:tc>
          <w:tcPr/>
          <w:p>
            <w:pPr>
              <w:pStyle w:val="Compact"/>
              <w:jc w:val="left"/>
            </w:pPr>
            <w:r>
              <w:rPr>
                <w:bCs/>
                <w:b/>
              </w:rPr>
              <w:t xml:space="preserve">2</w:t>
            </w:r>
          </w:p>
        </w:tc>
        <w:tc>
          <w:tcPr/>
          <w:p>
            <w:pPr>
              <w:pStyle w:val="Compact"/>
              <w:jc w:val="left"/>
            </w:pPr>
            <w:r>
              <w:rPr>
                <w:bCs/>
                <w:b/>
              </w:rPr>
              <w:t xml:space="preserve">Canada</w:t>
            </w:r>
          </w:p>
        </w:tc>
        <w:tc>
          <w:tcPr/>
          <w:p>
            <w:pPr>
              <w:pStyle w:val="Compact"/>
              <w:jc w:val="left"/>
            </w:pPr>
            <w:r>
              <w:t xml:space="preserve">OSFI B-13, CSA crypto guidance, PCMLTFA</w:t>
            </w:r>
          </w:p>
        </w:tc>
        <w:tc>
          <w:tcPr/>
          <w:p>
            <w:pPr>
              <w:pStyle w:val="Compact"/>
              <w:jc w:val="left"/>
            </w:pPr>
            <w:r>
              <w:t xml:space="preserve">3,000+</w:t>
            </w:r>
          </w:p>
        </w:tc>
        <w:tc>
          <w:tcPr/>
          <w:p>
            <w:pPr>
              <w:pStyle w:val="Compact"/>
              <w:jc w:val="left"/>
            </w:pPr>
            <w:r>
              <w:t xml:space="preserve">osfi-bsif.gc.ca, sec.gov (CSA)</w:t>
            </w:r>
          </w:p>
        </w:tc>
        <w:tc>
          <w:tcPr/>
          <w:p>
            <w:pPr>
              <w:pStyle w:val="Compact"/>
              <w:jc w:val="left"/>
            </w:pPr>
            <w:r>
              <w:rPr>
                <w:bCs/>
                <w:b/>
              </w:rPr>
              <w:t xml:space="preserve">Planned Q3 2025</w:t>
            </w:r>
          </w:p>
        </w:tc>
      </w:tr>
      <w:tr>
        <w:tc>
          <w:tcPr/>
          <w:p>
            <w:pPr>
              <w:pStyle w:val="Compact"/>
              <w:jc w:val="left"/>
            </w:pPr>
            <w:r>
              <w:rPr>
                <w:bCs/>
                <w:b/>
              </w:rPr>
              <w:t xml:space="preserve">3</w:t>
            </w:r>
          </w:p>
        </w:tc>
        <w:tc>
          <w:tcPr/>
          <w:p>
            <w:pPr>
              <w:pStyle w:val="Compact"/>
              <w:jc w:val="left"/>
            </w:pPr>
            <w:r>
              <w:rPr>
                <w:bCs/>
                <w:b/>
              </w:rPr>
              <w:t xml:space="preserve">Switzerland</w:t>
            </w:r>
          </w:p>
        </w:tc>
        <w:tc>
          <w:tcPr/>
          <w:p>
            <w:pPr>
              <w:pStyle w:val="Compact"/>
              <w:jc w:val="left"/>
            </w:pPr>
            <w:r>
              <w:t xml:space="preserve">FINMA Banking Act, Circular 2023/1</w:t>
            </w:r>
          </w:p>
        </w:tc>
        <w:tc>
          <w:tcPr/>
          <w:p>
            <w:pPr>
              <w:pStyle w:val="Compact"/>
              <w:jc w:val="left"/>
            </w:pPr>
            <w:r>
              <w:t xml:space="preserve">2,500+</w:t>
            </w:r>
          </w:p>
        </w:tc>
        <w:tc>
          <w:tcPr/>
          <w:p>
            <w:pPr>
              <w:pStyle w:val="Compact"/>
              <w:jc w:val="left"/>
            </w:pPr>
            <w:r>
              <w:t xml:space="preserve">finma.ch</w:t>
            </w:r>
          </w:p>
        </w:tc>
        <w:tc>
          <w:tcPr/>
          <w:p>
            <w:pPr>
              <w:pStyle w:val="Compact"/>
              <w:jc w:val="left"/>
            </w:pPr>
            <w:r>
              <w:rPr>
                <w:bCs/>
                <w:b/>
              </w:rPr>
              <w:t xml:space="preserve">Planned Q4 2025</w:t>
            </w:r>
          </w:p>
        </w:tc>
      </w:tr>
      <w:tr>
        <w:tc>
          <w:tcPr/>
          <w:p>
            <w:pPr>
              <w:pStyle w:val="Compact"/>
              <w:jc w:val="left"/>
            </w:pPr>
            <w:r>
              <w:rPr>
                <w:bCs/>
                <w:b/>
              </w:rPr>
              <w:t xml:space="preserve">3</w:t>
            </w:r>
          </w:p>
        </w:tc>
        <w:tc>
          <w:tcPr/>
          <w:p>
            <w:pPr>
              <w:pStyle w:val="Compact"/>
              <w:jc w:val="left"/>
            </w:pPr>
            <w:r>
              <w:rPr>
                <w:bCs/>
                <w:b/>
              </w:rPr>
              <w:t xml:space="preserve">Brazil</w:t>
            </w:r>
          </w:p>
        </w:tc>
        <w:tc>
          <w:tcPr/>
          <w:p>
            <w:pPr>
              <w:pStyle w:val="Compact"/>
              <w:jc w:val="left"/>
            </w:pPr>
            <w:r>
              <w:t xml:space="preserve">CVM 630, BACEN cyber, LGPD</w:t>
            </w:r>
          </w:p>
        </w:tc>
        <w:tc>
          <w:tcPr/>
          <w:p>
            <w:pPr>
              <w:pStyle w:val="Compact"/>
              <w:jc w:val="left"/>
            </w:pPr>
            <w:r>
              <w:t xml:space="preserve">4,000+</w:t>
            </w:r>
          </w:p>
        </w:tc>
        <w:tc>
          <w:tcPr/>
          <w:p>
            <w:pPr>
              <w:pStyle w:val="Compact"/>
              <w:jc w:val="left"/>
            </w:pPr>
            <w:r>
              <w:t xml:space="preserve">cvm.gov.br, bcb.gov.br</w:t>
            </w:r>
          </w:p>
        </w:tc>
        <w:tc>
          <w:tcPr/>
          <w:p>
            <w:pPr>
              <w:pStyle w:val="Compact"/>
              <w:jc w:val="left"/>
            </w:pPr>
            <w:r>
              <w:rPr>
                <w:bCs/>
                <w:b/>
              </w:rPr>
              <w:t xml:space="preserve">Planned Q4 2025</w:t>
            </w:r>
          </w:p>
        </w:tc>
      </w:tr>
      <w:tr>
        <w:tc>
          <w:tcPr/>
          <w:p>
            <w:pPr>
              <w:pStyle w:val="Compact"/>
              <w:jc w:val="left"/>
            </w:pPr>
            <w:r>
              <w:rPr>
                <w:bCs/>
                <w:b/>
              </w:rPr>
              <w:t xml:space="preserve">3</w:t>
            </w:r>
          </w:p>
        </w:tc>
        <w:tc>
          <w:tcPr/>
          <w:p>
            <w:pPr>
              <w:pStyle w:val="Compact"/>
              <w:jc w:val="left"/>
            </w:pPr>
            <w:r>
              <w:rPr>
                <w:bCs/>
                <w:b/>
              </w:rPr>
              <w:t xml:space="preserve">UAE (Dubai/ADGM)</w:t>
            </w:r>
          </w:p>
        </w:tc>
        <w:tc>
          <w:tcPr/>
          <w:p>
            <w:pPr>
              <w:pStyle w:val="Compact"/>
              <w:jc w:val="left"/>
            </w:pPr>
            <w:r>
              <w:t xml:space="preserve">DFSA Rulebook, ADGM regulations, VARA</w:t>
            </w:r>
          </w:p>
        </w:tc>
        <w:tc>
          <w:tcPr/>
          <w:p>
            <w:pPr>
              <w:pStyle w:val="Compact"/>
              <w:jc w:val="left"/>
            </w:pPr>
            <w:r>
              <w:t xml:space="preserve">3,000+</w:t>
            </w:r>
          </w:p>
        </w:tc>
        <w:tc>
          <w:tcPr/>
          <w:p>
            <w:pPr>
              <w:pStyle w:val="Compact"/>
              <w:jc w:val="left"/>
            </w:pPr>
            <w:r>
              <w:t xml:space="preserve">dfsa.ae, adgm.com, vara.ae</w:t>
            </w:r>
          </w:p>
        </w:tc>
        <w:tc>
          <w:tcPr/>
          <w:p>
            <w:pPr>
              <w:pStyle w:val="Compact"/>
              <w:jc w:val="left"/>
            </w:pPr>
            <w:r>
              <w:rPr>
                <w:bCs/>
                <w:b/>
              </w:rPr>
              <w:t xml:space="preserve">Planned Q1 2026</w:t>
            </w:r>
          </w:p>
        </w:tc>
      </w:tr>
      <w:tr>
        <w:tc>
          <w:tcPr/>
          <w:p>
            <w:pPr>
              <w:pStyle w:val="Compact"/>
              <w:jc w:val="left"/>
            </w:pPr>
            <w:r>
              <w:rPr>
                <w:bCs/>
                <w:b/>
              </w:rPr>
              <w:t xml:space="preserve">3</w:t>
            </w:r>
          </w:p>
        </w:tc>
        <w:tc>
          <w:tcPr/>
          <w:p>
            <w:pPr>
              <w:pStyle w:val="Compact"/>
              <w:jc w:val="left"/>
            </w:pPr>
            <w:r>
              <w:rPr>
                <w:bCs/>
                <w:b/>
              </w:rPr>
              <w:t xml:space="preserve">India</w:t>
            </w:r>
          </w:p>
        </w:tc>
        <w:tc>
          <w:tcPr/>
          <w:p>
            <w:pPr>
              <w:pStyle w:val="Compact"/>
              <w:jc w:val="left"/>
            </w:pPr>
            <w:r>
              <w:t xml:space="preserve">RBI cyber, SEBI cyber resilience, DPDP Act</w:t>
            </w:r>
          </w:p>
        </w:tc>
        <w:tc>
          <w:tcPr/>
          <w:p>
            <w:pPr>
              <w:pStyle w:val="Compact"/>
              <w:jc w:val="left"/>
            </w:pPr>
            <w:r>
              <w:t xml:space="preserve">8,000+</w:t>
            </w:r>
          </w:p>
        </w:tc>
        <w:tc>
          <w:tcPr/>
          <w:p>
            <w:pPr>
              <w:pStyle w:val="Compact"/>
              <w:jc w:val="left"/>
            </w:pPr>
            <w:r>
              <w:t xml:space="preserve">rbi.org.in, sebi.gov.in</w:t>
            </w:r>
          </w:p>
        </w:tc>
        <w:tc>
          <w:tcPr/>
          <w:p>
            <w:pPr>
              <w:pStyle w:val="Compact"/>
              <w:jc w:val="left"/>
            </w:pPr>
            <w:r>
              <w:rPr>
                <w:bCs/>
                <w:b/>
              </w:rPr>
              <w:t xml:space="preserve">Planned Q1 2026</w:t>
            </w:r>
          </w:p>
        </w:tc>
      </w:tr>
      <w:tr>
        <w:tc>
          <w:tcPr/>
          <w:p>
            <w:pPr>
              <w:pStyle w:val="Compact"/>
              <w:jc w:val="left"/>
            </w:pPr>
            <w:r>
              <w:rPr>
                <w:bCs/>
                <w:b/>
              </w:rPr>
              <w:t xml:space="preserve">3</w:t>
            </w:r>
          </w:p>
        </w:tc>
        <w:tc>
          <w:tcPr/>
          <w:p>
            <w:pPr>
              <w:pStyle w:val="Compact"/>
              <w:jc w:val="left"/>
            </w:pPr>
            <w:r>
              <w:rPr>
                <w:bCs/>
                <w:b/>
              </w:rPr>
              <w:t xml:space="preserve">South Africa</w:t>
            </w:r>
          </w:p>
        </w:tc>
        <w:tc>
          <w:tcPr/>
          <w:p>
            <w:pPr>
              <w:pStyle w:val="Compact"/>
              <w:jc w:val="left"/>
            </w:pPr>
            <w:r>
              <w:t xml:space="preserve">FSCA conduct, PASA rules, POPIA</w:t>
            </w:r>
          </w:p>
        </w:tc>
        <w:tc>
          <w:tcPr/>
          <w:p>
            <w:pPr>
              <w:pStyle w:val="Compact"/>
              <w:jc w:val="left"/>
            </w:pPr>
            <w:r>
              <w:t xml:space="preserve">2,000+</w:t>
            </w:r>
          </w:p>
        </w:tc>
        <w:tc>
          <w:tcPr/>
          <w:p>
            <w:pPr>
              <w:pStyle w:val="Compact"/>
              <w:jc w:val="left"/>
            </w:pPr>
            <w:r>
              <w:t xml:space="preserve">fsca.co.za, pasa.org.za</w:t>
            </w:r>
          </w:p>
        </w:tc>
        <w:tc>
          <w:tcPr/>
          <w:p>
            <w:pPr>
              <w:pStyle w:val="Compact"/>
              <w:jc w:val="left"/>
            </w:pPr>
            <w:r>
              <w:rPr>
                <w:bCs/>
                <w:b/>
              </w:rPr>
              <w:t xml:space="preserve">Planned Q2 2026</w:t>
            </w:r>
          </w:p>
        </w:tc>
      </w:tr>
      <w:tr>
        <w:tc>
          <w:tcPr/>
          <w:p>
            <w:pPr>
              <w:pStyle w:val="Compact"/>
              <w:jc w:val="left"/>
            </w:pPr>
            <w:r>
              <w:rPr>
                <w:bCs/>
                <w:b/>
              </w:rPr>
              <w:t xml:space="preserve">3</w:t>
            </w:r>
          </w:p>
        </w:tc>
        <w:tc>
          <w:tcPr/>
          <w:p>
            <w:pPr>
              <w:pStyle w:val="Compact"/>
              <w:jc w:val="left"/>
            </w:pPr>
            <w:r>
              <w:rPr>
                <w:bCs/>
                <w:b/>
              </w:rPr>
              <w:t xml:space="preserve">Mexico, Nigeria, S. Arabia, S. Korea</w:t>
            </w:r>
          </w:p>
        </w:tc>
        <w:tc>
          <w:tcPr/>
          <w:p>
            <w:pPr>
              <w:pStyle w:val="Compact"/>
              <w:jc w:val="left"/>
            </w:pPr>
            <w:r>
              <w:t xml:space="preserve">CNBV fintech, SEC digital assets, SAMA cyber, FSCA IT</w:t>
            </w:r>
          </w:p>
        </w:tc>
        <w:tc>
          <w:tcPr/>
          <w:p>
            <w:pPr>
              <w:pStyle w:val="Compact"/>
              <w:jc w:val="left"/>
            </w:pPr>
            <w:r>
              <w:t xml:space="preserve">5,000+</w:t>
            </w:r>
          </w:p>
        </w:tc>
        <w:tc>
          <w:tcPr/>
          <w:p>
            <w:pPr>
              <w:pStyle w:val="Compact"/>
              <w:jc w:val="left"/>
            </w:pPr>
            <w:r>
              <w:t xml:space="preserve">cnbv.gob.mx, sec.gov.ng, sama.gov.sa, fsca.go.kr</w:t>
            </w:r>
          </w:p>
        </w:tc>
        <w:tc>
          <w:tcPr/>
          <w:p>
            <w:pPr>
              <w:pStyle w:val="Compact"/>
              <w:jc w:val="left"/>
            </w:pPr>
            <w:r>
              <w:rPr>
                <w:bCs/>
                <w:b/>
              </w:rPr>
              <w:t xml:space="preserve">Planned Q2 2026</w:t>
            </w:r>
          </w:p>
        </w:tc>
      </w:tr>
    </w:tbl>
    <w:p>
      <w:r>
        <w:pict>
          <v:rect style="width:0;height:1.5pt" o:hralign="center" o:hrstd="t" o:hr="t"/>
        </w:pict>
      </w:r>
    </w:p>
    <w:bookmarkEnd w:id="46"/>
    <w:bookmarkEnd w:id="47"/>
    <w:bookmarkStart w:id="48" w:name="references"/>
    <w:p>
      <w:pPr>
        <w:pStyle w:val="Heading2"/>
      </w:pPr>
      <w:r>
        <w:t xml:space="preserve">References</w:t>
      </w:r>
    </w:p>
    <w:p>
      <w:pPr>
        <w:pStyle w:val="FirstParagraph"/>
      </w:pPr>
      <w:fldSimple w:instr="NOTEREF _Ref_Footnote_1 \h \f">
        <w:r>
          <w:rPr>
            <w:vertAlign w:val="superscript"/>
          </w:rPr>
          <w:t>1</w:t>
        </w:r>
      </w:fldSimple>
      <w:r>
        <w:t xml:space="preserve">: European Commission,</w:t>
      </w:r>
      <w:r>
        <w:t xml:space="preserve"> </w:t>
      </w:r>
      <w:r>
        <w:t xml:space="preserve">“</w:t>
      </w:r>
      <w:r>
        <w:t xml:space="preserve">Proposal for a Regulation laying down harmonised rules on artificial intelligence (Artificial Intelligence Act),</w:t>
      </w:r>
      <w:r>
        <w:t xml:space="preserve">”</w:t>
      </w:r>
      <w:r>
        <w:t xml:space="preserve"> </w:t>
      </w:r>
      <w:r>
        <w:t xml:space="preserve">COM/2021/206 final, April 2021. The Act’s requirements for high-risk AI systems include risk management, data governance, technical documentation, record-keeping, transparency, and human oversight — establishing precedent for algorithmic audit trails in regulated domains.</w:t>
      </w:r>
    </w:p>
    <w:p>
      <w:pPr>
        <w:pStyle w:val="BodyText"/>
      </w:pPr>
      <w:fldSimple w:instr="NOTEREF _Ref_Footnote_2 \h \f">
        <w:r>
          <w:rPr>
            <w:vertAlign w:val="superscript"/>
          </w:rPr>
          <w:t>2</w:t>
        </w:r>
      </w:fldSimple>
      <w:r>
        <w:t xml:space="preserve">: Thomson Reuters,</w:t>
      </w:r>
      <w:r>
        <w:t xml:space="preserve"> </w:t>
      </w:r>
      <w:r>
        <w:t xml:space="preserve">“</w:t>
      </w:r>
      <w:r>
        <w:t xml:space="preserve">Regulatory Intelligence Annual Report 2024,</w:t>
      </w:r>
      <w:r>
        <w:t xml:space="preserve">”</w:t>
      </w:r>
      <w:r>
        <w:t xml:space="preserve"> </w:t>
      </w:r>
      <w:r>
        <w:t xml:space="preserve">noting that regulatory publication volume increased 340% between 2015 and 2024 across G20 jurisdictions, with the EU accounting for approximately 35% of new prudential regulatory text by word count.</w:t>
      </w:r>
    </w:p>
    <w:p>
      <w:pPr>
        <w:pStyle w:val="BodyText"/>
      </w:pPr>
      <w:fldSimple w:instr="NOTEREF _Ref_Footnote_3 \h \f">
        <w:r>
          <w:rPr>
            <w:vertAlign w:val="superscript"/>
          </w:rPr>
          <w:t>3</w:t>
        </w:r>
      </w:fldSimple>
      <w:r>
        <w:t xml:space="preserve">: EBA,</w:t>
      </w:r>
      <w:r>
        <w:t xml:space="preserve"> </w:t>
      </w:r>
      <w:r>
        <w:t xml:space="preserve">“</w:t>
      </w:r>
      <w:r>
        <w:t xml:space="preserve">Final Report on Draft Implementing Technical Standards on the register of information under DORA,</w:t>
      </w:r>
      <w:r>
        <w:t xml:space="preserve">”</w:t>
      </w:r>
      <w:r>
        <w:t xml:space="preserve"> </w:t>
      </w:r>
      <w:r>
        <w:t xml:space="preserve">EBA/ITS/2024/03, January 2024. DORA’s Article 28 requires financial entities to maintain a Register of Information of all ICT third-party service providers by April 30, 2026 — a phased deadline that creates temporal complexity in compliance tracking.</w:t>
      </w:r>
    </w:p>
    <w:p>
      <w:pPr>
        <w:pStyle w:val="BodyText"/>
      </w:pPr>
      <w:fldSimple w:instr="NOTEREF _Ref_Footnote_4 \h \f">
        <w:r>
          <w:rPr>
            <w:vertAlign w:val="superscript"/>
          </w:rPr>
          <w:t>4</w:t>
        </w:r>
      </w:fldSimple>
      <w:r>
        <w:t xml:space="preserve">: Castro, D. and New, J.,</w:t>
      </w:r>
      <w:r>
        <w:t xml:space="preserve"> </w:t>
      </w:r>
      <w:r>
        <w:t xml:space="preserve">“</w:t>
      </w:r>
      <w:r>
        <w:t xml:space="preserve">The Promise of AI for Regulatory Compliance,</w:t>
      </w:r>
      <w:r>
        <w:t xml:space="preserve">”</w:t>
      </w:r>
      <w:r>
        <w:t xml:space="preserve"> </w:t>
      </w:r>
      <w:r>
        <w:t xml:space="preserve">Information Technology and Innovation Foundation, 2023. The paper identifies multi-model consensus as a key technique for reducing LLM hallucination risk in high-stakes compliance applications.</w:t>
      </w:r>
    </w:p>
    <w:p>
      <w:pPr>
        <w:pStyle w:val="BodyText"/>
      </w:pPr>
      <w:fldSimple w:instr="NOTEREF _Ref_Footnote_5 \h \f">
        <w:r>
          <w:rPr>
            <w:vertAlign w:val="superscript"/>
          </w:rPr>
          <w:t>5</w:t>
        </w:r>
      </w:fldSimple>
      <w:r>
        <w:t xml:space="preserve">: MAS,</w:t>
      </w:r>
      <w:r>
        <w:t xml:space="preserve"> </w:t>
      </w:r>
      <w:r>
        <w:t xml:space="preserve">“</w:t>
      </w:r>
      <w:r>
        <w:t xml:space="preserve">Guidelines on Risk Management Practices — Technology Risk,</w:t>
      </w:r>
      <w:r>
        <w:t xml:space="preserve">”</w:t>
      </w:r>
      <w:r>
        <w:t xml:space="preserve"> </w:t>
      </w:r>
      <w:r>
        <w:t xml:space="preserve">TRM-G1, February 2023. The Guidelines specify that financial institutions must establish board-level oversight of technology risk, creating the reporting hierarchy that GRCIN’s Action Layer targets with its escalation sequences.</w:t>
      </w:r>
    </w:p>
    <w:p>
      <w:pPr>
        <w:pStyle w:val="BodyText"/>
      </w:pPr>
      <w:fldSimple w:instr="NOTEREF _Ref_Footnote_6 \h \f">
        <w:r>
          <w:rPr>
            <w:vertAlign w:val="superscript"/>
          </w:rPr>
          <w:t>6</w:t>
        </w:r>
      </w:fldSimple>
      <w:r>
        <w:t xml:space="preserve">: World Economic Forum,</w:t>
      </w:r>
      <w:r>
        <w:t xml:space="preserve"> </w:t>
      </w:r>
      <w:r>
        <w:t xml:space="preserve">“</w:t>
      </w:r>
      <w:r>
        <w:t xml:space="preserve">Global Risks Report 2024,</w:t>
      </w:r>
      <w:r>
        <w:t xml:space="preserve">”</w:t>
      </w:r>
      <w:r>
        <w:t xml:space="preserve"> </w:t>
      </w:r>
      <w:r>
        <w:t xml:space="preserve">January 2024. Regulatory compliance failure is identified as a top-10 global risk by likelihood, with AI-powered compliance monitoring flagged as a critical emerging capability for both private sector and regulatory bodies.</w:t>
      </w:r>
    </w:p>
    <w:p>
      <w:pPr>
        <w:pStyle w:val="BodyText"/>
      </w:pPr>
      <w:fldSimple w:instr="NOTEREF _Ref_Footnote_7 \h \f">
        <w:r>
          <w:rPr>
            <w:vertAlign w:val="superscript"/>
          </w:rPr>
          <w:t>7</w:t>
        </w:r>
      </w:fldSimple>
      <w:r>
        <w:t xml:space="preserve">: ESMA,</w:t>
      </w:r>
      <w:r>
        <w:t xml:space="preserve"> </w:t>
      </w:r>
      <w:r>
        <w:t xml:space="preserve">“</w:t>
      </w:r>
      <w:r>
        <w:t xml:space="preserve">Q&amp;A on the Market Abuse Regulation,</w:t>
      </w:r>
      <w:r>
        <w:t xml:space="preserve">”</w:t>
      </w:r>
      <w:r>
        <w:t xml:space="preserve"> </w:t>
      </w:r>
      <w:r>
        <w:t xml:space="preserve">updated monthly. ESMA’s Q&amp;A database demonstrates the velocity of regulatory interpretation evolution — over 200 new or updated Q&amp;A entries in 2023 alone, each potentially affecting compliance assessments for thousands of entities.</w:t>
      </w:r>
    </w:p>
    <w:p>
      <w:pPr>
        <w:pStyle w:val="BodyText"/>
      </w:pPr>
      <w:fldSimple w:instr="NOTEREF _Ref_Footnote_8 \h \f">
        <w:r>
          <w:rPr>
            <w:vertAlign w:val="superscript"/>
          </w:rPr>
          <w:t>8</w:t>
        </w:r>
      </w:fldSimple>
      <w:r>
        <w:t xml:space="preserve">: Google Cloud,</w:t>
      </w:r>
      <w:r>
        <w:t xml:space="preserve"> </w:t>
      </w:r>
      <w:r>
        <w:t xml:space="preserve">“</w:t>
      </w:r>
      <w:r>
        <w:t xml:space="preserve">Building Secure and Reliable Systems,</w:t>
      </w:r>
      <w:r>
        <w:t xml:space="preserve">”</w:t>
      </w:r>
      <w:r>
        <w:t xml:space="preserve"> </w:t>
      </w:r>
      <w:r>
        <w:t xml:space="preserve">O’Reilly Media, 2020. The SRE principles of error budgets and SLOs are adapted in GRCIN’s hybrid processing model: real-time latency SLOs for critical alerts, batch throughput SLOs for full reassessments.</w:t>
      </w:r>
    </w:p>
    <w:p>
      <w:pPr>
        <w:pStyle w:val="BodyText"/>
      </w:pPr>
      <w:fldSimple w:instr="NOTEREF _Ref_Footnote_9 \h \f">
        <w:r>
          <w:rPr>
            <w:vertAlign w:val="superscript"/>
          </w:rPr>
          <w:t>9</w:t>
        </w:r>
      </w:fldSimple>
      <w:r>
        <w:t xml:space="preserve">: CSOAI Protocol Documentation,</w:t>
      </w:r>
      <w:r>
        <w:t xml:space="preserve"> </w:t>
      </w:r>
      <w:r>
        <w:t xml:space="preserve">“</w:t>
      </w:r>
      <w:r>
        <w:t xml:space="preserve">Worm Hive: Cross-Border Secure Data Mesh,</w:t>
      </w:r>
      <w:r>
        <w:t xml:space="preserve">”</w:t>
      </w:r>
      <w:r>
        <w:t xml:space="preserve"> </w:t>
      </w:r>
      <w:r>
        <w:t xml:space="preserve">and</w:t>
      </w:r>
      <w:r>
        <w:t xml:space="preserve"> </w:t>
      </w:r>
      <w:r>
        <w:t xml:space="preserve">“</w:t>
      </w:r>
      <w:r>
        <w:t xml:space="preserve">SOV3 King: Distributed Orchestration Layer,</w:t>
      </w:r>
      <w:r>
        <w:t xml:space="preserve">”</w:t>
      </w:r>
      <w:r>
        <w:t xml:space="preserve"> </w:t>
      </w:r>
      <w:r>
        <w:t xml:space="preserve">internal technical specifications, 2024. The protocol stack’s security and provenance capabilities are prerequisite infrastructure for a compliance network operating across adversarial jurisdictional boundaries.</w:t>
      </w:r>
    </w:p>
    <w:p>
      <w:pPr>
        <w:pStyle w:val="BodyText"/>
      </w:pPr>
      <w:fldSimple w:instr="NOTEREF _Ref_Footnote_10 \h \f">
        <w:r>
          <w:rPr>
            <w:vertAlign w:val="superscript"/>
          </w:rPr>
          <w:t>10</w:t>
        </w:r>
      </w:fldSimple>
      <w:r>
        <w:t xml:space="preserve">: EY,</w:t>
      </w:r>
      <w:r>
        <w:t xml:space="preserve"> </w:t>
      </w:r>
      <w:r>
        <w:t xml:space="preserve">“</w:t>
      </w:r>
      <w:r>
        <w:t xml:space="preserve">Global Regulatory Outlook 2024,</w:t>
      </w:r>
      <w:r>
        <w:t xml:space="preserve">”</w:t>
      </w:r>
      <w:r>
        <w:t xml:space="preserve"> </w:t>
      </w:r>
      <w:r>
        <w:t xml:space="preserve">noting that EU regulatory frameworks (DORA, AI Act, MiCA) collectively represent the most complex compliance environment globally, with estimated industry-wide implementation costs exceeding €5.4 billion for DORA alone.</w:t>
      </w:r>
    </w:p>
    <w:p>
      <w:pPr>
        <w:pStyle w:val="BodyText"/>
      </w:pPr>
      <w:fldSimple w:instr="NOTEREF _Ref_Footnote_11 \h \f">
        <w:r>
          <w:rPr>
            <w:vertAlign w:val="superscript"/>
          </w:rPr>
          <w:t>11</w:t>
        </w:r>
      </w:fldSimple>
      <w:r>
        <w:t xml:space="preserve">: Regulation (EU) 2022/2554 of the European Parliament and of the Council of 14 December 2022 on digital operational resilience for the financial sector, OJ L 333, 27.12.2022. DORA’s scope covers 22 categories of financial entity across all 30 EU/EEA jurisdictions.</w:t>
      </w:r>
    </w:p>
    <w:p>
      <w:pPr>
        <w:pStyle w:val="BodyText"/>
      </w:pPr>
      <w:fldSimple w:instr="NOTEREF _Ref_Footnote_12 \h \f">
        <w:r>
          <w:rPr>
            <w:vertAlign w:val="superscript"/>
          </w:rPr>
          <w:t>12</w:t>
        </w:r>
      </w:fldSimple>
      <w:r>
        <w:t xml:space="preserve">: EBA,</w:t>
      </w:r>
      <w:r>
        <w:t xml:space="preserve"> </w:t>
      </w:r>
      <w:r>
        <w:t xml:space="preserve">“</w:t>
      </w:r>
      <w:r>
        <w:t xml:space="preserve">DORA: ICT Risk Management Framework,</w:t>
      </w:r>
      <w:r>
        <w:t xml:space="preserve">”</w:t>
      </w:r>
      <w:r>
        <w:t xml:space="preserve"> </w:t>
      </w:r>
      <w:r>
        <w:t xml:space="preserve">EBA/GL/2024/XX, December 2024. The EBA’s Level 2 and Level 3 guidance under DORA includes 8 separate regulatory products (RTS, ITS, Guidelines) published across 2024, each requiring separate tracking and assessment.</w:t>
      </w:r>
    </w:p>
    <w:p>
      <w:pPr>
        <w:pStyle w:val="BodyText"/>
      </w:pPr>
      <w:fldSimple w:instr="NOTEREF _Ref_Footnote_13 \h \f">
        <w:r>
          <w:rPr>
            <w:vertAlign w:val="superscript"/>
          </w:rPr>
          <w:t>13</w:t>
        </w:r>
      </w:fldSimple>
      <w:r>
        <w:t xml:space="preserve">: APRA,</w:t>
      </w:r>
      <w:r>
        <w:t xml:space="preserve"> </w:t>
      </w:r>
      <w:r>
        <w:t xml:space="preserve">“</w:t>
      </w:r>
      <w:r>
        <w:t xml:space="preserve">Prudential Standard CPS 230 Operational Risk Management,</w:t>
      </w:r>
      <w:r>
        <w:t xml:space="preserve">”</w:t>
      </w:r>
      <w:r>
        <w:t xml:space="preserve"> </w:t>
      </w:r>
      <w:r>
        <w:t xml:space="preserve">final version, July 2023, effective July 2025. CPS 230 introduces operational risk management requirements structurally similar to DORA but adapted to the Australian financial sector’s regulatory architecture.</w:t>
      </w:r>
    </w:p>
    <w:p>
      <w:pPr>
        <w:pStyle w:val="BodyText"/>
      </w:pPr>
      <w:fldSimple w:instr="NOTEREF _Ref_Footnote_14 \h \f">
        <w:r>
          <w:rPr>
            <w:vertAlign w:val="superscript"/>
          </w:rPr>
          <w:t>14</w:t>
        </w:r>
      </w:fldSimple>
      <w:r>
        <w:t xml:space="preserve">: FATF,</w:t>
      </w:r>
      <w:r>
        <w:t xml:space="preserve"> </w:t>
      </w:r>
      <w:r>
        <w:t xml:space="preserve">“</w:t>
      </w:r>
      <w:r>
        <w:t xml:space="preserve">Report on the State of Global Regulatory Frameworks for Virtual Assets,</w:t>
      </w:r>
      <w:r>
        <w:t xml:space="preserve">”</w:t>
      </w:r>
      <w:r>
        <w:t xml:space="preserve"> </w:t>
      </w:r>
      <w:r>
        <w:t xml:space="preserve">February 2024. The report documents the rapid convergence of crypto-asset regulatory frameworks toward EU MiCA and US SEC/CFTC models, supporting GRCIN’s regulatory template inheritance hypothesis.</w:t>
      </w:r>
    </w:p>
    <w:p>
      <w:pPr>
        <w:pStyle w:val="BodyText"/>
      </w:pPr>
      <w:fldSimple w:instr="NOTEREF _Ref_Footnote_15 \h \f">
        <w:r>
          <w:rPr>
            <w:vertAlign w:val="superscript"/>
          </w:rPr>
          <w:t>15</w:t>
        </w:r>
      </w:fldSimple>
      <w:r>
        <w:t xml:space="preserve">: EUR-Lex,</w:t>
      </w:r>
      <w:r>
        <w:t xml:space="preserve"> </w:t>
      </w:r>
      <w:r>
        <w:t xml:space="preserve">“</w:t>
      </w:r>
      <w:r>
        <w:t xml:space="preserve">About EUR-Lex,</w:t>
      </w:r>
      <w:r>
        <w:t xml:space="preserve">”</w:t>
      </w:r>
      <w:r>
        <w:t xml:space="preserve"> </w:t>
      </w:r>
      <w:r>
        <w:t xml:space="preserve">official documentation. EUR-Lex processes approximately 25,000 new documents annually across 24 official EU languages, making it the single largest regulatory publication repository in the world by volume.</w:t>
      </w:r>
    </w:p>
    <w:p>
      <w:pPr>
        <w:pStyle w:val="BodyText"/>
      </w:pPr>
      <w:fldSimple w:instr="NOTEREF _Ref_Footnote_16 \h \f">
        <w:r>
          <w:rPr>
            <w:vertAlign w:val="superscript"/>
          </w:rPr>
          <w:t>16</w:t>
        </w:r>
      </w:fldSimple>
      <w:r>
        <w:t xml:space="preserve">: MAS,</w:t>
      </w:r>
      <w:r>
        <w:t xml:space="preserve"> </w:t>
      </w:r>
      <w:r>
        <w:t xml:space="preserve">“</w:t>
      </w:r>
      <w:r>
        <w:t xml:space="preserve">Technology Risk Management Guidelines,</w:t>
      </w:r>
      <w:r>
        <w:t xml:space="preserve">”</w:t>
      </w:r>
      <w:r>
        <w:t xml:space="preserve"> </w:t>
      </w:r>
      <w:r>
        <w:t xml:space="preserve">updated January 2024. MAS’s approach of principle-based guidelines rather than prescriptive rules requires GRCIN’s Assessment Engine to interpret regulatory intent from supervisory actions and enforcement cases, not just published text.</w:t>
      </w:r>
    </w:p>
    <w:p>
      <w:pPr>
        <w:pStyle w:val="BodyText"/>
      </w:pPr>
      <w:fldSimple w:instr="NOTEREF _Ref_Footnote_17 \h \f">
        <w:r>
          <w:rPr>
            <w:vertAlign w:val="superscript"/>
          </w:rPr>
          <w:t>17</w:t>
        </w:r>
      </w:fldSimple>
      <w:r>
        <w:t xml:space="preserve">: ISO/IEC 42001:2023,</w:t>
      </w:r>
      <w:r>
        <w:t xml:space="preserve"> </w:t>
      </w:r>
      <w:r>
        <w:t xml:space="preserve">“</w:t>
      </w:r>
      <w:r>
        <w:t xml:space="preserve">Information technology — Artificial intelligence — Management system,</w:t>
      </w:r>
      <w:r>
        <w:t xml:space="preserve">”</w:t>
      </w:r>
      <w:r>
        <w:t xml:space="preserve"> </w:t>
      </w:r>
      <w:r>
        <w:t xml:space="preserve">the first international management system standard for AI, frequently referenced as a benchmark in emerging AI regulations including the EU AI Act.</w:t>
      </w:r>
    </w:p>
    <w:p>
      <w:pPr>
        <w:pStyle w:val="BodyText"/>
      </w:pPr>
      <w:fldSimple w:instr="NOTEREF _Ref_Footnote_18 \h \f">
        <w:r>
          <w:rPr>
            <w:vertAlign w:val="superscript"/>
          </w:rPr>
          <w:t>18</w:t>
        </w:r>
      </w:fldSimple>
      <w:r>
        <w:t xml:space="preserve">: GLEIF,</w:t>
      </w:r>
      <w:r>
        <w:t xml:space="preserve"> </w:t>
      </w:r>
      <w:r>
        <w:t xml:space="preserve">“</w:t>
      </w:r>
      <w:r>
        <w:t xml:space="preserve">Annual Report 2023,</w:t>
      </w:r>
      <w:r>
        <w:t xml:space="preserve">”</w:t>
      </w:r>
      <w:r>
        <w:t xml:space="preserve"> </w:t>
      </w:r>
      <w:r>
        <w:t xml:space="preserve">reporting 2.5 million active LEIs with 99.7% data quality accuracy. LEI is the only globally standardized legal entity identifier, making it the canonical key for GRCIN’s Company nodes.</w:t>
      </w:r>
    </w:p>
    <w:p>
      <w:pPr>
        <w:pStyle w:val="BodyText"/>
      </w:pPr>
      <w:fldSimple w:instr="NOTEREF _Ref_Footnote_19 \h \f">
        <w:r>
          <w:rPr>
            <w:vertAlign w:val="superscript"/>
          </w:rPr>
          <w:t>19</w:t>
        </w:r>
      </w:fldSimple>
      <w:r>
        <w:t xml:space="preserve">: Neo4j,</w:t>
      </w:r>
      <w:r>
        <w:t xml:space="preserve"> </w:t>
      </w:r>
      <w:r>
        <w:t xml:space="preserve">“</w:t>
      </w:r>
      <w:r>
        <w:t xml:space="preserve">Graph Data Modeling for Regulatory Compliance,</w:t>
      </w:r>
      <w:r>
        <w:t xml:space="preserve">”</w:t>
      </w:r>
      <w:r>
        <w:t xml:space="preserve"> </w:t>
      </w:r>
      <w:r>
        <w:t xml:space="preserve">technical whitepaper, 2023. Graph schemas for regulatory compliance benefit from rich relationship properties that capture the temporal, jurisdictional, and evidentiary dimensions of compliance status — dimensions poorly supported by relational alternatives.</w:t>
      </w:r>
    </w:p>
    <w:p>
      <w:pPr>
        <w:pStyle w:val="BodyText"/>
      </w:pPr>
      <w:fldSimple w:instr="NOTEREF _Ref_Footnote_20 \h \f">
        <w:r>
          <w:rPr>
            <w:vertAlign w:val="superscript"/>
          </w:rPr>
          <w:t>20</w:t>
        </w:r>
      </w:fldSimple>
      <w:r>
        <w:t xml:space="preserve">: Hogan, A. et al.,</w:t>
      </w:r>
      <w:r>
        <w:t xml:space="preserve"> </w:t>
      </w:r>
      <w:r>
        <w:t xml:space="preserve">“</w:t>
      </w:r>
      <w:r>
        <w:t xml:space="preserve">Knowledge Graphs,</w:t>
      </w:r>
      <w:r>
        <w:t xml:space="preserve">”</w:t>
      </w:r>
      <w:r>
        <w:t xml:space="preserve"> </w:t>
      </w:r>
      <w:r>
        <w:t xml:space="preserve">ACM Computing Surveys, 2021. The survey establishes property graph models as the state-of-the-art for complex domain modeling where relationships carry as much semantic weight as entities — directly applicable to the regulatory compliance domain.</w:t>
      </w:r>
    </w:p>
    <w:p>
      <w:pPr>
        <w:pStyle w:val="BodyText"/>
      </w:pPr>
      <w:fldSimple w:instr="NOTEREF _Ref_Footnote_21 \h \f">
        <w:r>
          <w:rPr>
            <w:vertAlign w:val="superscript"/>
          </w:rPr>
          <w:t>21</w:t>
        </w:r>
      </w:fldSimple>
      <w:r>
        <w:t xml:space="preserve">: Deloitte,</w:t>
      </w:r>
      <w:r>
        <w:t xml:space="preserve"> </w:t>
      </w:r>
      <w:r>
        <w:t xml:space="preserve">“</w:t>
      </w:r>
      <w:r>
        <w:t xml:space="preserve">Regulatory Technology: Transforming Compliance with Technology,</w:t>
      </w:r>
      <w:r>
        <w:t xml:space="preserve">”</w:t>
      </w:r>
      <w:r>
        <w:t xml:space="preserve"> </w:t>
      </w:r>
      <w:r>
        <w:t xml:space="preserve">2024. The report identifies real-time compliance monitoring and predictive risk analytics as the two highest-value use cases for RegTech, with estimated market size of $19.5 billion by 2026 — the market segment GRCIN directly addresses.</w:t>
      </w:r>
    </w:p>
    <w:p>
      <w:r>
        <w:pict>
          <v:rect style="width:0;height:1.5pt" o:hralign="center" o:hrstd="t" o:hr="t"/>
        </w:pict>
      </w:r>
    </w:p>
    <w:p>
      <w:pPr>
        <w:pStyle w:val="FirstParagraph"/>
      </w:pPr>
      <w:r>
        <w:rPr>
          <w:iCs/>
          <w:i/>
        </w:rPr>
        <w:t xml:space="preserve">Document continues in Section 3: Compliance Assessment Methodology &amp; BFT Council Consensus Mechanism.</w:t>
      </w:r>
    </w:p>
    <w:p>
      <w:r>
        <w:pict>
          <v:rect style="width:0;height:1.5pt" o:hralign="center" o:hrstd="t" o:hr="t"/>
        </w:pict>
      </w:r>
    </w:p>
    <w:bookmarkEnd w:id="48"/>
    <w:bookmarkEnd w:id="49"/>
    <w:bookmarkStart w:id="77" w:name="X253d8fbe9a6e94567e587b4e4b49754f8b5f0f5"/>
    <w:p>
      <w:pPr>
        <w:pStyle w:val="Heading1"/>
      </w:pPr>
      <w:r>
        <w:t xml:space="preserve">CSOAI Global Regulatory Compliance Intelligence Network (GRCIN)</w:t>
      </w:r>
    </w:p>
    <w:bookmarkStart w:id="50" w:name="system-design-document-sections-34"/>
    <w:p>
      <w:pPr>
        <w:pStyle w:val="Heading2"/>
      </w:pPr>
      <w:r>
        <w:t xml:space="preserve">System Design Document — Sections 3–4</w:t>
      </w:r>
    </w:p>
    <w:p>
      <w:pPr>
        <w:pStyle w:val="FirstParagraph"/>
      </w:pPr>
      <w:r>
        <w:rPr>
          <w:bCs/>
          <w:b/>
        </w:rPr>
        <w:t xml:space="preserve">Document Version</w:t>
      </w:r>
      <w:r>
        <w:t xml:space="preserve">: 1.0 |</w:t>
      </w:r>
      <w:r>
        <w:t xml:space="preserve"> </w:t>
      </w:r>
      <w:r>
        <w:rPr>
          <w:bCs/>
          <w:b/>
        </w:rPr>
        <w:t xml:space="preserve">Classification</w:t>
      </w:r>
      <w:r>
        <w:t xml:space="preserve">: Strategic Architecture / Confidential |</w:t>
      </w:r>
      <w:r>
        <w:t xml:space="preserve"> </w:t>
      </w:r>
      <w:r>
        <w:rPr>
          <w:bCs/>
          <w:b/>
        </w:rPr>
        <w:t xml:space="preserve">Date</w:t>
      </w:r>
      <w:r>
        <w:t xml:space="preserve">: July 2026</w:t>
      </w:r>
    </w:p>
    <w:p>
      <w:r>
        <w:pict>
          <v:rect style="width:0;height:1.5pt" o:hralign="center" o:hrstd="t" o:hr="t"/>
        </w:pict>
      </w:r>
    </w:p>
    <w:bookmarkEnd w:id="50"/>
    <w:bookmarkStart w:id="63" w:name="X6f229f1c90880594f54dc60b8dcf406cdec15c6"/>
    <w:p>
      <w:pPr>
        <w:pStyle w:val="Heading2"/>
      </w:pPr>
      <w:r>
        <w:t xml:space="preserve">Section 3: AI Compliance Assessment Engine</w:t>
      </w:r>
    </w:p>
    <w:p>
      <w:pPr>
        <w:pStyle w:val="FirstParagraph"/>
      </w:pPr>
      <w:r>
        <w:t xml:space="preserve">The AI Compliance Assessment Engine is the cognitive core of GRCIN — the component that determines, with legally defensible precision, whether any company anywhere is compliant with any regulation. This is not a rules-based checklist. It is a multi-agent AI architecture applying the rigor of sovereign debt rating to regulatory compliance — except it operates in real time, at global scale, and with cryptographic non-repudiability built into every output.</w:t>
      </w:r>
    </w:p>
    <w:p>
      <w:pPr>
        <w:pStyle w:val="BodyText"/>
      </w:pPr>
      <w:r>
        <w:t xml:space="preserve">The design imperative is stark:</w:t>
      </w:r>
      <w:r>
        <w:t xml:space="preserve"> </w:t>
      </w:r>
      <w:r>
        <w:rPr>
          <w:bCs/>
          <w:b/>
        </w:rPr>
        <w:t xml:space="preserve">46% of EU banks struggle with DORA’s Register of Information</w:t>
      </w:r>
      <w:r>
        <w:t xml:space="preserve">, only</w:t>
      </w:r>
      <w:r>
        <w:t xml:space="preserve"> </w:t>
      </w:r>
      <w:r>
        <w:rPr>
          <w:bCs/>
          <w:b/>
        </w:rPr>
        <w:t xml:space="preserve">6.5% passed the ESA dry-run</w:t>
      </w:r>
      <w:r>
        <w:t xml:space="preserve">, and</w:t>
      </w:r>
      <w:r>
        <w:t xml:space="preserve"> </w:t>
      </w:r>
      <w:r>
        <w:rPr>
          <w:bCs/>
          <w:b/>
        </w:rPr>
        <w:t xml:space="preserve">0% of Deloitte/BigID attendees were fully compliant</w:t>
      </w:r>
      <w:r>
        <w:t xml:space="preserve"> </w:t>
      </w:r>
      <w:r>
        <w:t xml:space="preserve">across DORA + NIS2 + AI Act</w:t>
      </w:r>
      <w:r>
        <w:t xml:space="preserve"> </w:t>
      </w:r>
      <w:r>
        <w:rPr>
          <w:vertAlign w:val="superscript"/>
        </w:rPr>
        <w:footnoteReference w:id="22"/>
      </w:r>
      <w:r>
        <w:t xml:space="preserve"> </w:t>
      </w:r>
      <w:r>
        <w:rPr>
          <w:vertAlign w:val="superscript"/>
        </w:rPr>
        <w:footnoteReference w:id="23"/>
      </w:r>
      <w:r>
        <w:t xml:space="preserve">. Banks know what DORA requires; the gap is assessment-at-scale. No existing system can continuously evaluate 22,000+ entities against five intersecting frameworks, identify article-level gaps, and produce auditor-ready evidence trails. GRCIN closes this gap.</w:t>
      </w:r>
    </w:p>
    <w:bookmarkStart w:id="54" w:name="the-bft-assessment-protocol"/>
    <w:p>
      <w:pPr>
        <w:pStyle w:val="Heading3"/>
      </w:pPr>
      <w:r>
        <w:t xml:space="preserve">3.1 The BFT Assessment Protocol</w:t>
      </w:r>
    </w:p>
    <w:p>
      <w:pPr>
        <w:pStyle w:val="FirstParagraph"/>
      </w:pPr>
      <w:r>
        <w:t xml:space="preserve">The foundation is the</w:t>
      </w:r>
      <w:r>
        <w:t xml:space="preserve"> </w:t>
      </w:r>
      <w:r>
        <w:rPr>
          <w:bCs/>
          <w:b/>
        </w:rPr>
        <w:t xml:space="preserve">Byzantine Fault Tolerant (BFT) Assessment Protocol</w:t>
      </w:r>
      <w:r>
        <w:t xml:space="preserve">, a five-agent consensus mechanism modeled on the Three Lines of Defense governance structure banks use internally</w:t>
      </w:r>
      <w:r>
        <w:t xml:space="preserve"> </w:t>
      </w:r>
      <w:r>
        <w:rPr>
          <w:vertAlign w:val="superscript"/>
        </w:rPr>
        <w:footnoteReference w:id="24"/>
      </w:r>
      <w:r>
        <w:t xml:space="preserve">. Where a single AI model can hallucinate or drift, a consensus panel of independent agents — each with distinct architectural strengths — produces assessments that are statistically robust, adversarially resistant, and regulator-auditable.</w:t>
      </w:r>
    </w:p>
    <w:bookmarkStart w:id="51" w:name="five-agent-assessment-panel"/>
    <w:p>
      <w:pPr>
        <w:pStyle w:val="Heading4"/>
      </w:pPr>
      <w:r>
        <w:t xml:space="preserve">3.1.1 Five-Agent Assessment Panel</w:t>
      </w:r>
    </w:p>
    <w:p>
      <w:pPr>
        <w:pStyle w:val="FirstParagraph"/>
      </w:pPr>
      <w:r>
        <w:t xml:space="preserve">Each company-regulation pair is assessed by five independent AI agents running different foundation models. This is structured adversarial deliberation, not ensemble averaging.</w:t>
      </w:r>
    </w:p>
    <w:p>
      <w:pPr>
        <w:pStyle w:val="BodyText"/>
      </w:pPr>
      <w:r>
        <w:rPr>
          <w:bCs/>
          <w:b/>
        </w:rPr>
        <w:t xml:space="preserve">The Legal Architect (Claude Opus 4.8)</w:t>
      </w:r>
      <w:r>
        <w:t xml:space="preserve"> </w:t>
      </w:r>
      <w:r>
        <w:t xml:space="preserve">parses regulations at the article-and-subsection level, mapping binding obligations to company evidence. Its 200K+ token context window holds entire regulatory texts plus RTS, ITS, and EBA/ESMA/EIOPA guidance in working memory, performing cross-reference analysis that would take a human compliance officer days. It scores</w:t>
      </w:r>
      <w:r>
        <w:t xml:space="preserve"> </w:t>
      </w:r>
      <w:r>
        <w:rPr>
          <w:iCs/>
          <w:i/>
        </w:rPr>
        <w:t xml:space="preserve">legal completeness</w:t>
      </w:r>
      <w:r>
        <w:t xml:space="preserve">.</w:t>
      </w:r>
    </w:p>
    <w:p>
      <w:pPr>
        <w:pStyle w:val="BodyText"/>
      </w:pPr>
      <w:r>
        <w:rPr>
          <w:bCs/>
          <w:b/>
        </w:rPr>
        <w:t xml:space="preserve">The Deep Analyst (DeepSeek V4)</w:t>
      </w:r>
      <w:r>
        <w:t xml:space="preserve"> </w:t>
      </w:r>
      <w:r>
        <w:t xml:space="preserve">performs structural analysis of organizational, technical, and procedural evidence. Its chain-of-thought reasoning detects subtle inconsistencies — a privacy policy claiming encryption without key rotation, or an annual report referencing ICT risk without an independent control function per DORA Article 6(4)</w:t>
      </w:r>
      <w:r>
        <w:t xml:space="preserve"> </w:t>
      </w:r>
      <w:r>
        <w:rPr>
          <w:vertAlign w:val="superscript"/>
        </w:rPr>
        <w:footnoteReference w:id="25"/>
      </w:r>
      <w:r>
        <w:t xml:space="preserve">. It scores</w:t>
      </w:r>
      <w:r>
        <w:t xml:space="preserve"> </w:t>
      </w:r>
      <w:r>
        <w:rPr>
          <w:iCs/>
          <w:i/>
        </w:rPr>
        <w:t xml:space="preserve">evidentiary depth</w:t>
      </w:r>
      <w:r>
        <w:t xml:space="preserve">.</w:t>
      </w:r>
    </w:p>
    <w:p>
      <w:pPr>
        <w:pStyle w:val="BodyText"/>
      </w:pPr>
      <w:r>
        <w:rPr>
          <w:bCs/>
          <w:b/>
        </w:rPr>
        <w:t xml:space="preserve">The Cross-Reference Validator (Kimi K2.6)</w:t>
      </w:r>
      <w:r>
        <w:t xml:space="preserve"> </w:t>
      </w:r>
      <w:r>
        <w:t xml:space="preserve">cross-references claims across evidence sources — Register of Information against third-party contracts, incident response policy against breach disclosures, AI governance framework against AI risk job postings. Its long-context retrieval maintains coherence across hundreds of documents. It scores</w:t>
      </w:r>
      <w:r>
        <w:t xml:space="preserve"> </w:t>
      </w:r>
      <w:r>
        <w:rPr>
          <w:iCs/>
          <w:i/>
        </w:rPr>
        <w:t xml:space="preserve">evidentiary consistency</w:t>
      </w:r>
      <w:r>
        <w:t xml:space="preserve">.</w:t>
      </w:r>
    </w:p>
    <w:p>
      <w:pPr>
        <w:pStyle w:val="BodyText"/>
      </w:pPr>
      <w:r>
        <w:rPr>
          <w:bCs/>
          <w:b/>
        </w:rPr>
        <w:t xml:space="preserve">The Structured Extractor (GPT-5.5)</w:t>
      </w:r>
      <w:r>
        <w:t xml:space="preserve"> </w:t>
      </w:r>
      <w:r>
        <w:t xml:space="preserve">converts unstructured evidence into normalized compliance artifacts — parsing annual reports, privacy policies, regulatory filings, and security certifications into machine-readable structured data with specific dates, named frameworks, and measurable controls. It scores</w:t>
      </w:r>
      <w:r>
        <w:t xml:space="preserve"> </w:t>
      </w:r>
      <w:r>
        <w:rPr>
          <w:iCs/>
          <w:i/>
        </w:rPr>
        <w:t xml:space="preserve">data quality</w:t>
      </w:r>
      <w:r>
        <w:t xml:space="preserve">.</w:t>
      </w:r>
    </w:p>
    <w:p>
      <w:pPr>
        <w:pStyle w:val="BodyText"/>
      </w:pPr>
      <w:r>
        <w:rPr>
          <w:bCs/>
          <w:b/>
        </w:rPr>
        <w:t xml:space="preserve">The Local Verifier (Llama 4)</w:t>
      </w:r>
      <w:r>
        <w:t xml:space="preserve"> </w:t>
      </w:r>
      <w:r>
        <w:t xml:space="preserve">runs on CSOAI’s sovereign infrastructure as the trust anchor. It independently verifies computational integrity — confirming correct evidence retrieval, untampered scoring execution, and genuine panel outputs. Operating within CSOAI’s controlled environment with Ed25519 signing at the hardware-software boundary, it provides the cryptographic root of trust making GRCIN assessments non-repudiable. It scores</w:t>
      </w:r>
      <w:r>
        <w:t xml:space="preserve"> </w:t>
      </w:r>
      <w:r>
        <w:rPr>
          <w:iCs/>
          <w:i/>
        </w:rPr>
        <w:t xml:space="preserve">process integrity</w:t>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Agent Role</w:t>
            </w:r>
          </w:p>
        </w:tc>
        <w:tc>
          <w:tcPr/>
          <w:p>
            <w:pPr>
              <w:pStyle w:val="Compact"/>
              <w:jc w:val="left"/>
            </w:pPr>
            <w:r>
              <w:t xml:space="preserve">Foundation Model</w:t>
            </w:r>
          </w:p>
        </w:tc>
        <w:tc>
          <w:tcPr/>
          <w:p>
            <w:pPr>
              <w:pStyle w:val="Compact"/>
              <w:jc w:val="left"/>
            </w:pPr>
            <w:r>
              <w:t xml:space="preserve">Assessment Dimension</w:t>
            </w:r>
          </w:p>
        </w:tc>
        <w:tc>
          <w:tcPr/>
          <w:p>
            <w:pPr>
              <w:pStyle w:val="Compact"/>
              <w:jc w:val="left"/>
            </w:pPr>
            <w:r>
              <w:t xml:space="preserve">Weight</w:t>
            </w:r>
          </w:p>
        </w:tc>
        <w:tc>
          <w:tcPr/>
          <w:p>
            <w:pPr>
              <w:pStyle w:val="Compact"/>
              <w:jc w:val="left"/>
            </w:pPr>
            <w:r>
              <w:t xml:space="preserve">Failure Mode Handled</w:t>
            </w:r>
          </w:p>
        </w:tc>
      </w:tr>
      <w:tr>
        <w:tc>
          <w:tcPr/>
          <w:p>
            <w:pPr>
              <w:pStyle w:val="Compact"/>
              <w:jc w:val="left"/>
            </w:pPr>
            <w:r>
              <w:rPr>
                <w:bCs/>
                <w:b/>
              </w:rPr>
              <w:t xml:space="preserve">Legal Architect</w:t>
            </w:r>
          </w:p>
        </w:tc>
        <w:tc>
          <w:tcPr/>
          <w:p>
            <w:pPr>
              <w:pStyle w:val="Compact"/>
              <w:jc w:val="left"/>
            </w:pPr>
            <w:r>
              <w:t xml:space="preserve">Claude Opus 4.8</w:t>
            </w:r>
          </w:p>
        </w:tc>
        <w:tc>
          <w:tcPr/>
          <w:p>
            <w:pPr>
              <w:pStyle w:val="Compact"/>
              <w:jc w:val="left"/>
            </w:pPr>
            <w:r>
              <w:t xml:space="preserve">Legal completeness — obligations mapped to evidence</w:t>
            </w:r>
          </w:p>
        </w:tc>
        <w:tc>
          <w:tcPr/>
          <w:p>
            <w:pPr>
              <w:pStyle w:val="Compact"/>
              <w:jc w:val="left"/>
            </w:pPr>
            <w:r>
              <w:t xml:space="preserve">1.0x</w:t>
            </w:r>
          </w:p>
        </w:tc>
        <w:tc>
          <w:tcPr/>
          <w:p>
            <w:pPr>
              <w:pStyle w:val="Compact"/>
              <w:jc w:val="left"/>
            </w:pPr>
            <w:r>
              <w:t xml:space="preserve">Regulatory misinterpretation; missed article-level requirements</w:t>
            </w:r>
          </w:p>
        </w:tc>
      </w:tr>
      <w:tr>
        <w:tc>
          <w:tcPr/>
          <w:p>
            <w:pPr>
              <w:pStyle w:val="Compact"/>
              <w:jc w:val="left"/>
            </w:pPr>
            <w:r>
              <w:rPr>
                <w:bCs/>
                <w:b/>
              </w:rPr>
              <w:t xml:space="preserve">Deep Analyst</w:t>
            </w:r>
          </w:p>
        </w:tc>
        <w:tc>
          <w:tcPr/>
          <w:p>
            <w:pPr>
              <w:pStyle w:val="Compact"/>
              <w:jc w:val="left"/>
            </w:pPr>
            <w:r>
              <w:t xml:space="preserve">DeepSeek V4</w:t>
            </w:r>
          </w:p>
        </w:tc>
        <w:tc>
          <w:tcPr/>
          <w:p>
            <w:pPr>
              <w:pStyle w:val="Compact"/>
              <w:jc w:val="left"/>
            </w:pPr>
            <w:r>
              <w:t xml:space="preserve">Evidentiary depth — substance of compliance claims</w:t>
            </w:r>
          </w:p>
        </w:tc>
        <w:tc>
          <w:tcPr/>
          <w:p>
            <w:pPr>
              <w:pStyle w:val="Compact"/>
              <w:jc w:val="left"/>
            </w:pPr>
            <w:r>
              <w:t xml:space="preserve">1.0x</w:t>
            </w:r>
          </w:p>
        </w:tc>
        <w:tc>
          <w:tcPr/>
          <w:p>
            <w:pPr>
              <w:pStyle w:val="Compact"/>
              <w:jc w:val="left"/>
            </w:pPr>
            <w:r>
              <w:t xml:space="preserve">Surface-level compliance without implementation</w:t>
            </w:r>
          </w:p>
        </w:tc>
      </w:tr>
      <w:tr>
        <w:tc>
          <w:tcPr/>
          <w:p>
            <w:pPr>
              <w:pStyle w:val="Compact"/>
              <w:jc w:val="left"/>
            </w:pPr>
            <w:r>
              <w:rPr>
                <w:bCs/>
                <w:b/>
              </w:rPr>
              <w:t xml:space="preserve">Cross-Ref Validator</w:t>
            </w:r>
          </w:p>
        </w:tc>
        <w:tc>
          <w:tcPr/>
          <w:p>
            <w:pPr>
              <w:pStyle w:val="Compact"/>
              <w:jc w:val="left"/>
            </w:pPr>
            <w:r>
              <w:t xml:space="preserve">Kimi K2.6</w:t>
            </w:r>
          </w:p>
        </w:tc>
        <w:tc>
          <w:tcPr/>
          <w:p>
            <w:pPr>
              <w:pStyle w:val="Compact"/>
              <w:jc w:val="left"/>
            </w:pPr>
            <w:r>
              <w:t xml:space="preserve">Evidentiary consistency — cross-source validation</w:t>
            </w:r>
          </w:p>
        </w:tc>
        <w:tc>
          <w:tcPr/>
          <w:p>
            <w:pPr>
              <w:pStyle w:val="Compact"/>
              <w:jc w:val="left"/>
            </w:pPr>
            <w:r>
              <w:t xml:space="preserve">1.0x</w:t>
            </w:r>
          </w:p>
        </w:tc>
        <w:tc>
          <w:tcPr/>
          <w:p>
            <w:pPr>
              <w:pStyle w:val="Compact"/>
              <w:jc w:val="left"/>
            </w:pPr>
            <w:r>
              <w:t xml:space="preserve">Internal inconsistency; fraudulent disclosures</w:t>
            </w:r>
          </w:p>
        </w:tc>
      </w:tr>
      <w:tr>
        <w:tc>
          <w:tcPr/>
          <w:p>
            <w:pPr>
              <w:pStyle w:val="Compact"/>
              <w:jc w:val="left"/>
            </w:pPr>
            <w:r>
              <w:rPr>
                <w:bCs/>
                <w:b/>
              </w:rPr>
              <w:t xml:space="preserve">Structured Extractor</w:t>
            </w:r>
          </w:p>
        </w:tc>
        <w:tc>
          <w:tcPr/>
          <w:p>
            <w:pPr>
              <w:pStyle w:val="Compact"/>
              <w:jc w:val="left"/>
            </w:pPr>
            <w:r>
              <w:t xml:space="preserve">GPT-5.5</w:t>
            </w:r>
          </w:p>
        </w:tc>
        <w:tc>
          <w:tcPr/>
          <w:p>
            <w:pPr>
              <w:pStyle w:val="Compact"/>
              <w:jc w:val="left"/>
            </w:pPr>
            <w:r>
              <w:t xml:space="preserve">Data quality — machine-readable evidence extraction</w:t>
            </w:r>
          </w:p>
        </w:tc>
        <w:tc>
          <w:tcPr/>
          <w:p>
            <w:pPr>
              <w:pStyle w:val="Compact"/>
              <w:jc w:val="left"/>
            </w:pPr>
            <w:r>
              <w:t xml:space="preserve">0.8x</w:t>
            </w:r>
          </w:p>
        </w:tc>
        <w:tc>
          <w:tcPr/>
          <w:p>
            <w:pPr>
              <w:pStyle w:val="Compact"/>
              <w:jc w:val="left"/>
            </w:pPr>
            <w:r>
              <w:t xml:space="preserve">Unstructured/unauditable evidence</w:t>
            </w:r>
          </w:p>
        </w:tc>
      </w:tr>
      <w:tr>
        <w:tc>
          <w:tcPr/>
          <w:p>
            <w:pPr>
              <w:pStyle w:val="Compact"/>
              <w:jc w:val="left"/>
            </w:pPr>
            <w:r>
              <w:rPr>
                <w:bCs/>
                <w:b/>
              </w:rPr>
              <w:t xml:space="preserve">Local Verifier</w:t>
            </w:r>
          </w:p>
        </w:tc>
        <w:tc>
          <w:tcPr/>
          <w:p>
            <w:pPr>
              <w:pStyle w:val="Compact"/>
              <w:jc w:val="left"/>
            </w:pPr>
            <w:r>
              <w:t xml:space="preserve">Llama 4 (sovereign)</w:t>
            </w:r>
          </w:p>
        </w:tc>
        <w:tc>
          <w:tcPr/>
          <w:p>
            <w:pPr>
              <w:pStyle w:val="Compact"/>
              <w:jc w:val="left"/>
            </w:pPr>
            <w:r>
              <w:t xml:space="preserve">Process integrity — cryptographic attestation</w:t>
            </w:r>
          </w:p>
        </w:tc>
        <w:tc>
          <w:tcPr/>
          <w:p>
            <w:pPr>
              <w:pStyle w:val="Compact"/>
              <w:jc w:val="left"/>
            </w:pPr>
            <w:r>
              <w:t xml:space="preserve">1.2x</w:t>
            </w:r>
          </w:p>
        </w:tc>
        <w:tc>
          <w:tcPr/>
          <w:p>
            <w:pPr>
              <w:pStyle w:val="Compact"/>
              <w:jc w:val="left"/>
            </w:pPr>
            <w:r>
              <w:t xml:space="preserve">Supply-chain tampering; process corruption</w:t>
            </w:r>
          </w:p>
        </w:tc>
      </w:tr>
      <w:tr>
        <w:tc>
          <w:tcPr/>
          <w:p>
            <w:pPr>
              <w:pStyle w:val="Compact"/>
              <w:jc w:val="left"/>
            </w:pPr>
            <w:r>
              <w:rPr>
                <w:bCs/>
                <w:b/>
              </w:rPr>
              <w:t xml:space="preserve">Consensus Threshold</w:t>
            </w:r>
          </w:p>
        </w:tc>
        <w:tc>
          <w:tcPr/>
          <w:p>
            <w:pPr>
              <w:pStyle w:val="Compact"/>
              <w:jc w:val="left"/>
            </w:pPr>
            <w:r>
              <w:t xml:space="preserve">—</w:t>
            </w:r>
          </w:p>
        </w:tc>
        <w:tc>
          <w:tcPr/>
          <w:p>
            <w:pPr>
              <w:pStyle w:val="Compact"/>
              <w:jc w:val="left"/>
            </w:pPr>
            <w:r>
              <w:rPr>
                <w:bCs/>
                <w:b/>
              </w:rPr>
              <w:t xml:space="preserve">4 of 5 agents within ±10% for acceptance</w:t>
            </w:r>
          </w:p>
        </w:tc>
        <w:tc>
          <w:tcPr/>
          <w:p>
            <w:pPr>
              <w:pStyle w:val="Compact"/>
              <w:jc w:val="left"/>
            </w:pPr>
            <w:r>
              <w:t xml:space="preserve">BFT</w:t>
            </w:r>
          </w:p>
        </w:tc>
        <w:tc>
          <w:tcPr/>
          <w:p>
            <w:pPr>
              <w:pStyle w:val="Compact"/>
              <w:jc w:val="left"/>
            </w:pPr>
            <w:r>
              <w:t xml:space="preserve">Byzantine fault tolerance against single-agent compromise</w:t>
            </w:r>
          </w:p>
        </w:tc>
      </w:tr>
    </w:tbl>
    <w:bookmarkEnd w:id="51"/>
    <w:bookmarkStart w:id="52" w:name="consensus-mechanism"/>
    <w:p>
      <w:pPr>
        <w:pStyle w:val="Heading4"/>
      </w:pPr>
      <w:r>
        <w:t xml:space="preserve">3.1.2 Consensus Mechanism</w:t>
      </w:r>
    </w:p>
    <w:p>
      <w:pPr>
        <w:pStyle w:val="FirstParagraph"/>
      </w:pPr>
      <w:r>
        <w:t xml:space="preserve">The BFT consensus layer requires</w:t>
      </w:r>
      <w:r>
        <w:t xml:space="preserve"> </w:t>
      </w:r>
      <w:r>
        <w:rPr>
          <w:bCs/>
          <w:b/>
        </w:rPr>
        <w:t xml:space="preserve">at least four of five agents to produce scores within ±10% variance</w:t>
      </w:r>
      <w:r>
        <w:t xml:space="preserve"> </w:t>
      </w:r>
      <w:r>
        <w:t xml:space="preserve">for acceptance. If the panel splits — say three agents score 75% and two score 45% — the assessment escalates through three phases.</w:t>
      </w:r>
      <w:r>
        <w:t xml:space="preserve"> </w:t>
      </w:r>
      <w:r>
        <w:rPr>
          <w:bCs/>
          <w:b/>
        </w:rPr>
        <w:t xml:space="preserve">Phase 1</w:t>
      </w:r>
      <w:r>
        <w:t xml:space="preserve">: The Cross-Reference Validator identifies which evidence sources caused divergence, triggering targeted data collection.</w:t>
      </w:r>
      <w:r>
        <w:t xml:space="preserve"> </w:t>
      </w:r>
      <w:r>
        <w:rPr>
          <w:bCs/>
          <w:b/>
        </w:rPr>
        <w:t xml:space="preserve">Phase 2</w:t>
      </w:r>
      <w:r>
        <w:t xml:space="preserve">: The pair is resubmitted with additional evidence plus a sixth</w:t>
      </w:r>
      <w:r>
        <w:t xml:space="preserve"> </w:t>
      </w:r>
      <w:r>
        <w:t xml:space="preserve">“</w:t>
      </w:r>
      <w:r>
        <w:t xml:space="preserve">tiebreaker</w:t>
      </w:r>
      <w:r>
        <w:t xml:space="preserve">”</w:t>
      </w:r>
      <w:r>
        <w:t xml:space="preserve"> </w:t>
      </w:r>
      <w:r>
        <w:t xml:space="preserve">agent (a fine-tuned regulatory specialist).</w:t>
      </w:r>
      <w:r>
        <w:t xml:space="preserve"> </w:t>
      </w:r>
      <w:r>
        <w:rPr>
          <w:bCs/>
          <w:b/>
        </w:rPr>
        <w:t xml:space="preserve">Phase 3</w:t>
      </w:r>
      <w:r>
        <w:t xml:space="preserve">: If consensus remains elusive, the case queues for CSOAI’s Regulatory Advisory Board — former BaFin supervisors, ECB compliance officers, and Big Four regulatory partners.</w:t>
      </w:r>
    </w:p>
    <w:p>
      <w:pPr>
        <w:pStyle w:val="BodyText"/>
      </w:pPr>
      <w:r>
        <w:t xml:space="preserve">This architecture mirrors the</w:t>
      </w:r>
      <w:r>
        <w:t xml:space="preserve"> </w:t>
      </w:r>
      <w:r>
        <w:rPr>
          <w:bCs/>
          <w:b/>
        </w:rPr>
        <w:t xml:space="preserve">Three Lines of Defense model</w:t>
      </w:r>
      <w:r>
        <w:t xml:space="preserve"> </w:t>
      </w:r>
      <w:r>
        <w:t xml:space="preserve">DORA itself mandates</w:t>
      </w:r>
      <w:r>
        <w:t xml:space="preserve"> </w:t>
      </w:r>
      <w:fldSimple w:instr="NOTEREF _Ref_Footnote_24 \h \f">
        <w:r>
          <w:rPr>
            <w:vertAlign w:val="superscript"/>
          </w:rPr>
          <w:t>24</w:t>
        </w:r>
      </w:fldSimple>
      <w:r>
        <w:t xml:space="preserve"> </w:t>
      </w:r>
      <w:r>
        <w:rPr>
          <w:vertAlign w:val="superscript"/>
        </w:rPr>
        <w:footnoteReference w:id="26"/>
      </w:r>
      <w:r>
        <w:t xml:space="preserve">: business risk ownership (1st line), risk management oversight (2nd line), and independent audit assurance (3rd line). When a bank’s own Three Lines review a GRCIN assessment, they recognize a governance structure they are already obligated to maintain.</w:t>
      </w:r>
    </w:p>
    <w:bookmarkEnd w:id="52"/>
    <w:bookmarkStart w:id="53" w:name="attestation-output"/>
    <w:p>
      <w:pPr>
        <w:pStyle w:val="Heading4"/>
      </w:pPr>
      <w:r>
        <w:t xml:space="preserve">3.1.3 Attestation Output</w:t>
      </w:r>
    </w:p>
    <w:p>
      <w:pPr>
        <w:pStyle w:val="FirstParagraph"/>
      </w:pPr>
      <w:r>
        <w:t xml:space="preserve">Every accepted assessment produces an</w:t>
      </w:r>
      <w:r>
        <w:t xml:space="preserve"> </w:t>
      </w:r>
      <w:r>
        <w:rPr>
          <w:bCs/>
          <w:b/>
        </w:rPr>
        <w:t xml:space="preserve">Ed25519-signed Compliance Attestation Certificate (CAC)</w:t>
      </w:r>
      <w:r>
        <w:t xml:space="preserve"> </w:t>
      </w:r>
      <w:r>
        <w:t xml:space="preserve">— a cryptographically non-repudiable document containing: company LEI + VAT + UUID; regulation identifier; compliance score (0-100%) with individual agent scores and variance metrics; article-level gap analysis (e.g.,</w:t>
      </w:r>
      <w:r>
        <w:t xml:space="preserve"> </w:t>
      </w:r>
      <w:r>
        <w:t xml:space="preserve">“</w:t>
      </w:r>
      <w:r>
        <w:t xml:space="preserve">Article 28(3) — Register of Information missing 4th-party chain documentation; Article 28(7) — exit strategy not defined for CIF-classified SaaS</w:t>
      </w:r>
      <w:r>
        <w:t xml:space="preserve">”</w:t>
      </w:r>
      <w:r>
        <w:t xml:space="preserve">); prioritized remediation steps with effort estimates and cost; applicable deadline with days-remaining counter; statistical confidence level derived from panel variance and evidence completeness; Ed25519 signature from the Local Verifier’s sovereign key; and a SHA-3 temporal hash linking to the previous assessment, creating an immutable compliance history chain.</w:t>
      </w:r>
    </w:p>
    <w:p>
      <w:pPr>
        <w:pStyle w:val="BodyText"/>
      </w:pPr>
      <w:r>
        <w:t xml:space="preserve">A BaFin supervisor, ECB examiner, or DORA Lead Overseer can verify any certificate in milliseconds using the public Ed25519 key, confirm proper panel constitution, trace evidence sources, and validate the chain of custody from collection through consensus to attestation. This is not a self-assessment questionnaire — it is an</w:t>
      </w:r>
      <w:r>
        <w:t xml:space="preserve"> </w:t>
      </w:r>
      <w:r>
        <w:rPr>
          <w:bCs/>
          <w:b/>
        </w:rPr>
        <w:t xml:space="preserve">independent AI-powered examination</w:t>
      </w:r>
      <w:r>
        <w:t xml:space="preserve"> </w:t>
      </w:r>
      <w:r>
        <w:t xml:space="preserve">with cryptographic integrity guarantees.</w:t>
      </w:r>
    </w:p>
    <w:bookmarkEnd w:id="53"/>
    <w:bookmarkEnd w:id="54"/>
    <w:bookmarkStart w:id="58" w:name="automated-compliance-scoring"/>
    <w:p>
      <w:pPr>
        <w:pStyle w:val="Heading3"/>
      </w:pPr>
      <w:r>
        <w:t xml:space="preserve">3.2 Automated Compliance Scoring</w:t>
      </w:r>
    </w:p>
    <w:p>
      <w:pPr>
        <w:pStyle w:val="FirstParagraph"/>
      </w:pPr>
      <w:r>
        <w:t xml:space="preserve">The BFT Protocol produces determinations; the Scoring subsystem gathers and normalizes its inputs at scale.</w:t>
      </w:r>
    </w:p>
    <w:bookmarkStart w:id="55" w:name="evidence-collection"/>
    <w:p>
      <w:pPr>
        <w:pStyle w:val="Heading4"/>
      </w:pPr>
      <w:r>
        <w:t xml:space="preserve">3.2.1 Evidence Collection</w:t>
      </w:r>
    </w:p>
    <w:p>
      <w:pPr>
        <w:pStyle w:val="FirstParagraph"/>
      </w:pPr>
      <w:r>
        <w:t xml:space="preserve">GRCIN’s evidence engine operates across</w:t>
      </w:r>
      <w:r>
        <w:t xml:space="preserve"> </w:t>
      </w:r>
      <w:r>
        <w:rPr>
          <w:bCs/>
          <w:b/>
        </w:rPr>
        <w:t xml:space="preserve">290+ MCP servers</w:t>
      </w:r>
      <w:r>
        <w:t xml:space="preserve">, each specialized for a specific domain:</w:t>
      </w:r>
    </w:p>
    <w:p>
      <w:pPr>
        <w:numPr>
          <w:ilvl w:val="0"/>
          <w:numId w:val="1003"/>
        </w:numPr>
        <w:pStyle w:val="Compact"/>
      </w:pPr>
      <w:r>
        <w:rPr>
          <w:bCs/>
          <w:b/>
        </w:rPr>
        <w:t xml:space="preserve">Regulatory Filings</w:t>
      </w:r>
      <w:r>
        <w:t xml:space="preserve">: XBRL-CSV ingestion from NCAs, ESMA ESEF, ECB disclosures — including Register of Information filings that 93.5% of institutions failed to submit correctly</w:t>
      </w:r>
      <w:r>
        <w:t xml:space="preserve"> </w:t>
      </w:r>
      <w:fldSimple w:instr="NOTEREF _Ref_Footnote_23 \h \f">
        <w:r>
          <w:rPr>
            <w:vertAlign w:val="superscript"/>
          </w:rPr>
          <w:t>23</w:t>
        </w:r>
      </w:fldSimple>
      <w:r>
        <w:t xml:space="preserve">.</w:t>
      </w:r>
    </w:p>
    <w:p>
      <w:pPr>
        <w:numPr>
          <w:ilvl w:val="0"/>
          <w:numId w:val="1003"/>
        </w:numPr>
        <w:pStyle w:val="Compact"/>
      </w:pPr>
      <w:r>
        <w:rPr>
          <w:bCs/>
          <w:b/>
        </w:rPr>
        <w:t xml:space="preserve">Company Disclosures</w:t>
      </w:r>
      <w:r>
        <w:t xml:space="preserve">: Annual reports, CSRD-aligned sustainability reports, investor presentations parsed into normalized artifacts.</w:t>
      </w:r>
    </w:p>
    <w:p>
      <w:pPr>
        <w:numPr>
          <w:ilvl w:val="0"/>
          <w:numId w:val="1003"/>
        </w:numPr>
        <w:pStyle w:val="Compact"/>
      </w:pPr>
      <w:r>
        <w:rPr>
          <w:bCs/>
          <w:b/>
        </w:rPr>
        <w:t xml:space="preserve">Security Certifications</w:t>
      </w:r>
      <w:r>
        <w:t xml:space="preserve">: Real-time querying of ISO 27001, ISO 22301, SOC 2, PCI-DSS, TISAX, FedRAMP databases for verification and expiration tracking.</w:t>
      </w:r>
    </w:p>
    <w:p>
      <w:pPr>
        <w:numPr>
          <w:ilvl w:val="0"/>
          <w:numId w:val="1003"/>
        </w:numPr>
        <w:pStyle w:val="Compact"/>
      </w:pPr>
      <w:r>
        <w:rPr>
          <w:bCs/>
          <w:b/>
        </w:rPr>
        <w:t xml:space="preserve">Breach Disclosures</w:t>
      </w:r>
      <w:r>
        <w:t xml:space="preserve">: Automated monitoring of GDPR Article 33, DORA Article 19, and US state-level breach portals.</w:t>
      </w:r>
    </w:p>
    <w:p>
      <w:pPr>
        <w:numPr>
          <w:ilvl w:val="0"/>
          <w:numId w:val="1003"/>
        </w:numPr>
        <w:pStyle w:val="Compact"/>
      </w:pPr>
      <w:r>
        <w:rPr>
          <w:bCs/>
          <w:b/>
        </w:rPr>
        <w:t xml:space="preserve">Job Postings</w:t>
      </w:r>
      <w:r>
        <w:t xml:space="preserve">: Compliance-related openings as leading indicators — a bank hiring 15 DORA specialists and a Chief Resilience Officer signals different organizational maturity than one with zero open compliance roles.</w:t>
      </w:r>
    </w:p>
    <w:p>
      <w:pPr>
        <w:numPr>
          <w:ilvl w:val="0"/>
          <w:numId w:val="1003"/>
        </w:numPr>
        <w:pStyle w:val="Compact"/>
      </w:pPr>
      <w:r>
        <w:rPr>
          <w:bCs/>
          <w:b/>
        </w:rPr>
        <w:t xml:space="preserve">Third-Party Risk Data</w:t>
      </w:r>
      <w:r>
        <w:t xml:space="preserve">: Integration with BitSight, SecurityScorecard, ProcessUnity, Panorays, and ESA CTPP designation lists</w:t>
      </w:r>
      <w:r>
        <w:t xml:space="preserve"> </w:t>
      </w:r>
      <w:r>
        <w:rPr>
          <w:vertAlign w:val="superscript"/>
        </w:rPr>
        <w:footnoteReference w:id="27"/>
      </w:r>
      <w:r>
        <w:t xml:space="preserve">for fourth and fifth-party dependency mapping.</w:t>
      </w:r>
    </w:p>
    <w:p>
      <w:pPr>
        <w:numPr>
          <w:ilvl w:val="0"/>
          <w:numId w:val="1003"/>
        </w:numPr>
        <w:pStyle w:val="Compact"/>
      </w:pPr>
      <w:r>
        <w:rPr>
          <w:bCs/>
          <w:b/>
        </w:rPr>
        <w:t xml:space="preserve">Case Law</w:t>
      </w:r>
      <w:r>
        <w:t xml:space="preserve">: Continuous monitoring of CJEU rulings, national administrative decisions, and EDPB binding determinations.</w:t>
      </w:r>
    </w:p>
    <w:p>
      <w:pPr>
        <w:pStyle w:val="FirstParagraph"/>
      </w:pPr>
      <w:r>
        <w:t xml:space="preserve">The pipeline runs continuously — when a company publishes its annual report, amends its privacy policy, or suffers a breach, GRCIN’s knowledge graph updates automatically and affected Compliance Scores recalculate within hours.</w:t>
      </w:r>
    </w:p>
    <w:bookmarkEnd w:id="55"/>
    <w:bookmarkStart w:id="56" w:name="gap-identification"/>
    <w:p>
      <w:pPr>
        <w:pStyle w:val="Heading4"/>
      </w:pPr>
      <w:r>
        <w:t xml:space="preserve">3.2.2 Gap Identification</w:t>
      </w:r>
    </w:p>
    <w:p>
      <w:pPr>
        <w:pStyle w:val="FirstParagraph"/>
      </w:pPr>
      <w:r>
        <w:t xml:space="preserve">The engine produces</w:t>
      </w:r>
      <w:r>
        <w:t xml:space="preserve"> </w:t>
      </w:r>
      <w:r>
        <w:rPr>
          <w:bCs/>
          <w:b/>
        </w:rPr>
        <w:t xml:space="preserve">article-level gap identification</w:t>
      </w:r>
      <w:r>
        <w:t xml:space="preserve"> </w:t>
      </w:r>
      <w:r>
        <w:t xml:space="preserve">— not generic</w:t>
      </w:r>
      <w:r>
        <w:t xml:space="preserve"> </w:t>
      </w:r>
      <w:r>
        <w:t xml:space="preserve">“</w:t>
      </w:r>
      <w:r>
        <w:t xml:space="preserve">non-compliant</w:t>
      </w:r>
      <w:r>
        <w:t xml:space="preserve">”</w:t>
      </w:r>
      <w:r>
        <w:t xml:space="preserve"> </w:t>
      </w:r>
      <w:r>
        <w:t xml:space="preserve">statements, but precise findings tied to specific regulatory text. Example output:</w:t>
      </w:r>
    </w:p>
    <w:p>
      <w:pPr>
        <w:pStyle w:val="BlockText"/>
      </w:pPr>
      <w:r>
        <w:rPr>
          <w:bCs/>
          <w:b/>
        </w:rPr>
        <w:t xml:space="preserve">DORA Overall Score: 58% (Consensus, σ = 4.2%)</w:t>
      </w:r>
    </w:p>
    <w:p>
      <w:pPr>
        <w:numPr>
          <w:ilvl w:val="0"/>
          <w:numId w:val="1004"/>
        </w:numPr>
        <w:pStyle w:val="BlockText"/>
      </w:pPr>
      <w:r>
        <w:rPr>
          <w:bCs/>
          <w:b/>
        </w:rPr>
        <w:t xml:space="preserve">Article 28(3) — Register of Information (45%)</w:t>
      </w:r>
      <w:r>
        <w:t xml:space="preserve">: Register lists 47 direct ICT providers but fails to document 4th-party dependencies for 23 cloud-hosted services. Core banking SaaS sub-contracts data processing to a non-EU provider (unlisted), violating Article 28(8).</w:t>
      </w:r>
      <w:r>
        <w:t xml:space="preserve"> </w:t>
      </w:r>
      <w:r>
        <w:rPr>
          <w:bCs/>
          <w:b/>
        </w:rPr>
        <w:t xml:space="preserve">Remediation</w:t>
      </w:r>
      <w:r>
        <w:t xml:space="preserve">: Complete 4th-party discovery; 45-60 days.</w:t>
      </w:r>
    </w:p>
    <w:p>
      <w:pPr>
        <w:numPr>
          <w:ilvl w:val="0"/>
          <w:numId w:val="1004"/>
        </w:numPr>
        <w:pStyle w:val="BlockText"/>
      </w:pPr>
      <w:r>
        <w:rPr>
          <w:bCs/>
          <w:b/>
        </w:rPr>
        <w:t xml:space="preserve">Article 28(7) — Exit Strategy (32%)</w:t>
      </w:r>
      <w:r>
        <w:t xml:space="preserve">: No documented exit strategy for 3 of 5 CIF-classified dependencies. Single payment API provider lacks migration procedures.</w:t>
      </w:r>
      <w:r>
        <w:t xml:space="preserve"> </w:t>
      </w:r>
      <w:r>
        <w:rPr>
          <w:bCs/>
          <w:b/>
        </w:rPr>
        <w:t xml:space="preserve">Remediation</w:t>
      </w:r>
      <w:r>
        <w:t xml:space="preserve">: Develop per EBA RTS; 30-45 days + EUR 150K-250K.</w:t>
      </w:r>
    </w:p>
    <w:p>
      <w:pPr>
        <w:numPr>
          <w:ilvl w:val="0"/>
          <w:numId w:val="1004"/>
        </w:numPr>
        <w:pStyle w:val="BlockText"/>
      </w:pPr>
      <w:r>
        <w:rPr>
          <w:bCs/>
          <w:b/>
        </w:rPr>
        <w:t xml:space="preserve">Article 8 — ICT Asset Identification (61%)</w:t>
      </w:r>
      <w:r>
        <w:t xml:space="preserve">: Inventory lacks CIF classification for 34% of assets</w:t>
      </w:r>
      <w:r>
        <w:t xml:space="preserve"> </w:t>
      </w:r>
      <w:r>
        <w:rPr>
          <w:vertAlign w:val="superscript"/>
        </w:rPr>
        <w:footnoteReference w:id="28"/>
      </w:r>
      <w:r>
        <w:t xml:space="preserve">.</w:t>
      </w:r>
      <w:r>
        <w:t xml:space="preserve"> </w:t>
      </w:r>
      <w:r>
        <w:rPr>
          <w:bCs/>
          <w:b/>
        </w:rPr>
        <w:t xml:space="preserve">Remediation</w:t>
      </w:r>
      <w:r>
        <w:t xml:space="preserve">: CIF mapping workshop; 15-20 days.</w:t>
      </w:r>
    </w:p>
    <w:p>
      <w:pPr>
        <w:numPr>
          <w:ilvl w:val="0"/>
          <w:numId w:val="1004"/>
        </w:numPr>
        <w:pStyle w:val="BlockText"/>
      </w:pPr>
      <w:r>
        <w:rPr>
          <w:bCs/>
          <w:b/>
        </w:rPr>
        <w:t xml:space="preserve">Article 5(4) — Board Training (70%)</w:t>
      </w:r>
      <w:r>
        <w:t xml:space="preserve">: Training references generic</w:t>
      </w:r>
      <w:r>
        <w:t xml:space="preserve"> </w:t>
      </w:r>
      <w:r>
        <w:t xml:space="preserve">“</w:t>
      </w:r>
      <w:r>
        <w:t xml:space="preserve">cyber risk</w:t>
      </w:r>
      <w:r>
        <w:t xml:space="preserve">”</w:t>
      </w:r>
      <w:r>
        <w:t xml:space="preserve"> </w:t>
      </w:r>
      <w:r>
        <w:t xml:space="preserve">but not DORA-specific accountability requirements.</w:t>
      </w:r>
      <w:r>
        <w:t xml:space="preserve"> </w:t>
      </w:r>
      <w:r>
        <w:rPr>
          <w:bCs/>
          <w:b/>
        </w:rPr>
        <w:t xml:space="preserve">Remediation</w:t>
      </w:r>
      <w:r>
        <w:t xml:space="preserve">: Specialized board training; 5 days + EUR 25K-40K.</w:t>
      </w:r>
    </w:p>
    <w:p>
      <w:pPr>
        <w:pStyle w:val="FirstParagraph"/>
      </w:pPr>
      <w:r>
        <w:t xml:space="preserve">This granularity is possible because the Legal Architect maintains a complete vector index of every DORA article, every RTS/ITS, and every guidance document — cross-referenced with the Structured Extractor’s parsing of actual company evidence.</w:t>
      </w:r>
    </w:p>
    <w:bookmarkEnd w:id="56"/>
    <w:bookmarkStart w:id="57" w:name="predictive-scoring"/>
    <w:p>
      <w:pPr>
        <w:pStyle w:val="Heading4"/>
      </w:pPr>
      <w:r>
        <w:t xml:space="preserve">3.2.3 Predictive Scoring</w:t>
      </w:r>
    </w:p>
    <w:p>
      <w:pPr>
        <w:pStyle w:val="FirstParagraph"/>
      </w:pPr>
      <w:r>
        <w:t xml:space="preserve">Static scores have limited value. A company at 45% with 180 days to deadline faces a different risk profile than one at 45% with 14 days remaining. The predictive model projects trajectories using three signal categories:</w:t>
      </w:r>
      <w:r>
        <w:t xml:space="preserve"> </w:t>
      </w:r>
      <w:r>
        <w:rPr>
          <w:bCs/>
          <w:b/>
        </w:rPr>
        <w:t xml:space="preserve">company-specific velocity</w:t>
      </w:r>
      <w:r>
        <w:t xml:space="preserve"> </w:t>
      </w:r>
      <w:r>
        <w:t xml:space="preserve">(historical gap closure rate),</w:t>
      </w:r>
      <w:r>
        <w:t xml:space="preserve"> </w:t>
      </w:r>
      <w:r>
        <w:rPr>
          <w:bCs/>
          <w:b/>
        </w:rPr>
        <w:t xml:space="preserve">peer-group velocity</w:t>
      </w:r>
      <w:r>
        <w:t xml:space="preserve"> </w:t>
      </w:r>
      <w:r>
        <w:t xml:space="preserve">(average remediation for similar firms), and</w:t>
      </w:r>
      <w:r>
        <w:t xml:space="preserve"> </w:t>
      </w:r>
      <w:r>
        <w:rPr>
          <w:bCs/>
          <w:b/>
        </w:rPr>
        <w:t xml:space="preserve">gap-specific complexity</w:t>
      </w:r>
      <w:r>
        <w:t xml:space="preserve"> </w:t>
      </w:r>
      <w:r>
        <w:t xml:space="preserve">(estimated effort calibrated against GRCIN’s database of completed projects).</w:t>
      </w:r>
    </w:p>
    <w:p>
      <w:pPr>
        <w:pStyle w:val="BlockText"/>
      </w:pPr>
      <w:r>
        <w:rPr>
          <w:bCs/>
          <w:b/>
        </w:rPr>
        <w:t xml:space="preserve">Trajectory</w:t>
      </w:r>
      <w:r>
        <w:t xml:space="preserve">: At current pace (+3.2 pp/month), target bank reaches 73% DORA compliance by deadline. Two critical gaps require immediate attention:</w:t>
      </w:r>
      <w:r>
        <w:t xml:space="preserve"> </w:t>
      </w:r>
      <w:r>
        <w:t xml:space="preserve">-</w:t>
      </w:r>
      <w:r>
        <w:t xml:space="preserve"> </w:t>
      </w:r>
      <w:r>
        <w:rPr>
          <w:bCs/>
          <w:b/>
        </w:rPr>
        <w:t xml:space="preserve">Register of Information (Article 28)</w:t>
      </w:r>
      <w:r>
        <w:t xml:space="preserve">: 60-day minimum closure. With 90 days to deadline, this is the critical path.</w:t>
      </w:r>
      <w:r>
        <w:t xml:space="preserve"> </w:t>
      </w:r>
      <w:r>
        <w:rPr>
          <w:bCs/>
          <w:b/>
        </w:rPr>
        <w:t xml:space="preserve">Recommendation</w:t>
      </w:r>
      <w:r>
        <w:t xml:space="preserve">: Initiate immediately; assign dedicated team.</w:t>
      </w:r>
      <w:r>
        <w:t xml:space="preserve"> </w:t>
      </w:r>
      <w:r>
        <w:t xml:space="preserve">-</w:t>
      </w:r>
      <w:r>
        <w:t xml:space="preserve"> </w:t>
      </w:r>
      <w:r>
        <w:rPr>
          <w:bCs/>
          <w:b/>
        </w:rPr>
        <w:t xml:space="preserve">Exit Strategy (Article 28(7))</w:t>
      </w:r>
      <w:r>
        <w:t xml:space="preserve">: 45 days + vendor negotiation. High third-party uncertainty.</w:t>
      </w:r>
      <w:r>
        <w:t xml:space="preserve"> </w:t>
      </w:r>
      <w:r>
        <w:rPr>
          <w:bCs/>
          <w:b/>
        </w:rPr>
        <w:t xml:space="preserve">Recommendation</w:t>
      </w:r>
      <w:r>
        <w:t xml:space="preserve">: Parallel track with Register remediation.</w:t>
      </w:r>
    </w:p>
    <w:p>
      <w:pPr>
        <w:pStyle w:val="BlockText"/>
      </w:pPr>
      <w:r>
        <w:rPr>
          <w:bCs/>
          <w:b/>
        </w:rPr>
        <w:t xml:space="preserve">Monte Carlo</w:t>
      </w:r>
      <w:r>
        <w:t xml:space="preserve"> </w:t>
      </w:r>
      <w:r>
        <w:t xml:space="preserve">(10,000 runs): 78% probability of achieving 70%+ compliance if critical path items begin within 14 days. Probability drops to 34% with 30-day delay.</w:t>
      </w:r>
    </w:p>
    <w:bookmarkEnd w:id="57"/>
    <w:bookmarkEnd w:id="58"/>
    <w:bookmarkStart w:id="62" w:name="continuous-monitoring"/>
    <w:p>
      <w:pPr>
        <w:pStyle w:val="Heading3"/>
      </w:pPr>
      <w:r>
        <w:t xml:space="preserve">3.3 Continuous Monitoring</w:t>
      </w:r>
    </w:p>
    <w:p>
      <w:pPr>
        <w:pStyle w:val="FirstParagraph"/>
      </w:pPr>
      <w:r>
        <w:t xml:space="preserve">Compliance is a continuous state, not a point-in-time event. The Monitoring subsystem ensures assessments are living documents.</w:t>
      </w:r>
    </w:p>
    <w:bookmarkStart w:id="59" w:name="compliance-score-tracking"/>
    <w:p>
      <w:pPr>
        <w:pStyle w:val="Heading4"/>
      </w:pPr>
      <w:r>
        <w:t xml:space="preserve">3.3.1 Compliance Score Tracking</w:t>
      </w:r>
    </w:p>
    <w:p>
      <w:pPr>
        <w:pStyle w:val="FirstParagraph"/>
      </w:pPr>
      <w:r>
        <w:t xml:space="preserve">Every company’s score is tracked over time, producing a</w:t>
      </w:r>
      <w:r>
        <w:t xml:space="preserve"> </w:t>
      </w:r>
      <w:r>
        <w:rPr>
          <w:bCs/>
          <w:b/>
        </w:rPr>
        <w:t xml:space="preserve">compliance velocity graph</w:t>
      </w:r>
      <w:r>
        <w:t xml:space="preserve"> </w:t>
      </w:r>
      <w:r>
        <w:t xml:space="preserve">— time-series visualizations showing trajectories across all in-scope regulations. Regulators using GRCIN’s Intelligence Portal see at a glance which companies are improving, deteriorating, or stalled. Anomaly detection flags suspicious patterns — a 30-point jump in one week (potential fabrication), a flat score for 90 days despite approaching deadline (management failure), or an unexpected drop (organizational disruption). These anomalies feed directly into the Outreach Engine (Section 4).</w:t>
      </w:r>
    </w:p>
    <w:bookmarkEnd w:id="59"/>
    <w:bookmarkStart w:id="60" w:name="regulatory-change-impact"/>
    <w:p>
      <w:pPr>
        <w:pStyle w:val="Heading4"/>
      </w:pPr>
      <w:r>
        <w:t xml:space="preserve">3.3.2 Regulatory Change Impact</w:t>
      </w:r>
    </w:p>
    <w:p>
      <w:pPr>
        <w:pStyle w:val="FirstParagraph"/>
      </w:pPr>
      <w:r>
        <w:t xml:space="preserve">When new guidance is published or regulations amend, the</w:t>
      </w:r>
      <w:r>
        <w:t xml:space="preserve"> </w:t>
      </w:r>
      <w:r>
        <w:rPr>
          <w:bCs/>
          <w:b/>
        </w:rPr>
        <w:t xml:space="preserve">Regulatory Change Impact Engine</w:t>
      </w:r>
      <w:r>
        <w:t xml:space="preserve"> </w:t>
      </w:r>
      <w:r>
        <w:t xml:space="preserve">automatically re-assesses all affected companies. Consider BaFin’s January 2026 guidance on</w:t>
      </w:r>
      <w:r>
        <w:t xml:space="preserve"> </w:t>
      </w:r>
      <w:r>
        <w:rPr>
          <w:bCs/>
          <w:b/>
        </w:rPr>
        <w:t xml:space="preserve">AI-in-DORA integration</w:t>
      </w:r>
      <w:r>
        <w:t xml:space="preserve"> </w:t>
      </w:r>
      <w:r>
        <w:t xml:space="preserve">— clarifying that AI systems supporting CIFs are subject to both DORA resilience testing AND EU AI Act obligations. GRCIN would: (1) parse the guidance, (2) identify all companies with AI systems supporting CIFs (~3,400+ entities), (3) re-assess each within 4 hours, (4) flag score changes, and (5) deliver updated CACs with revised gap analysis —</w:t>
      </w:r>
      <w:r>
        <w:t xml:space="preserve"> </w:t>
      </w:r>
      <w:r>
        <w:rPr>
          <w:bCs/>
          <w:b/>
        </w:rPr>
        <w:t xml:space="preserve">before internal legal teams finish reading the BaFin announcement</w:t>
      </w:r>
      <w:r>
        <w:t xml:space="preserve">.</w:t>
      </w:r>
    </w:p>
    <w:bookmarkEnd w:id="60"/>
    <w:bookmarkStart w:id="61" w:name="peer-benchmarking"/>
    <w:p>
      <w:pPr>
        <w:pStyle w:val="Heading4"/>
      </w:pPr>
      <w:r>
        <w:t xml:space="preserve">3.3.3 Peer Benchmarking</w:t>
      </w:r>
    </w:p>
    <w:p>
      <w:pPr>
        <w:pStyle w:val="FirstParagraph"/>
      </w:pPr>
      <w:r>
        <w:t xml:space="preserve">Compliance posture is meaningful only relative to peers:</w:t>
      </w:r>
    </w:p>
    <w:p>
      <w:pPr>
        <w:pStyle w:val="BlockText"/>
      </w:pPr>
      <w:r>
        <w:rPr>
          <w:bCs/>
          <w:b/>
        </w:rPr>
        <w:t xml:space="preserve">Your DORA Profile</w:t>
      </w:r>
      <w:r>
        <w:t xml:space="preserve">: Your score</w:t>
      </w:r>
      <w:r>
        <w:t xml:space="preserve"> </w:t>
      </w:r>
      <w:r>
        <w:rPr>
          <w:bCs/>
          <w:b/>
        </w:rPr>
        <w:t xml:space="preserve">62%</w:t>
      </w:r>
      <w:r>
        <w:t xml:space="preserve"> </w:t>
      </w:r>
      <w:r>
        <w:t xml:space="preserve">| Sector average</w:t>
      </w:r>
      <w:r>
        <w:t xml:space="preserve"> </w:t>
      </w:r>
      <w:r>
        <w:rPr>
          <w:bCs/>
          <w:b/>
        </w:rPr>
        <w:t xml:space="preserve">71%</w:t>
      </w:r>
      <w:r>
        <w:t xml:space="preserve"> </w:t>
      </w:r>
      <w:r>
        <w:t xml:space="preserve">(−9 pp) | Top quartile</w:t>
      </w:r>
      <w:r>
        <w:t xml:space="preserve"> </w:t>
      </w:r>
      <w:r>
        <w:rPr>
          <w:bCs/>
          <w:b/>
        </w:rPr>
        <w:t xml:space="preserve">89%</w:t>
      </w:r>
      <w:r>
        <w:t xml:space="preserve"> </w:t>
      </w:r>
      <w:r>
        <w:t xml:space="preserve">(−27 pp) | Your percentile</w:t>
      </w:r>
      <w:r>
        <w:t xml:space="preserve"> </w:t>
      </w:r>
      <w:r>
        <w:rPr>
          <w:bCs/>
          <w:b/>
        </w:rPr>
        <w:t xml:space="preserve">31st</w:t>
      </w:r>
      <w:r>
        <w:t xml:space="preserve"> </w:t>
      </w:r>
      <w:r>
        <w:rPr>
          <w:bCs/>
          <w:b/>
        </w:rPr>
        <w:t xml:space="preserve">Key insight</w:t>
      </w:r>
      <w:r>
        <w:t xml:space="preserve">: Your Article 28 score (45%) is the primary drag. Sector average is 68%; top-quartile banks achieved 92% through automated Register tools.</w:t>
      </w:r>
    </w:p>
    <w:p>
      <w:pPr>
        <w:pStyle w:val="FirstParagraph"/>
      </w:pPr>
      <w:r>
        <w:t xml:space="preserve">Benchmark data is aggregated and anonymized. The dataset becomes more valuable as more companies join — a network effect that incentivizes participation (Section 4.3.3).</w:t>
      </w:r>
    </w:p>
    <w:p>
      <w:r>
        <w:pict>
          <v:rect style="width:0;height:1.5pt" o:hralign="center" o:hrstd="t" o:hr="t"/>
        </w:pict>
      </w:r>
    </w:p>
    <w:bookmarkEnd w:id="61"/>
    <w:bookmarkEnd w:id="62"/>
    <w:bookmarkEnd w:id="63"/>
    <w:bookmarkStart w:id="76" w:name="X0def578b2a76846d0e24f92403c905e3606904c"/>
    <w:p>
      <w:pPr>
        <w:pStyle w:val="Heading2"/>
      </w:pPr>
      <w:r>
        <w:t xml:space="preserve">Section 4: Proactive Outreach Engine — Reaching Non-Compliant Companies Before Deadlines</w:t>
      </w:r>
    </w:p>
    <w:p>
      <w:pPr>
        <w:pStyle w:val="FirstParagraph"/>
      </w:pPr>
      <w:r>
        <w:t xml:space="preserve">The Assessment Engine tells GRCIN</w:t>
      </w:r>
      <w:r>
        <w:t xml:space="preserve"> </w:t>
      </w:r>
      <w:r>
        <w:rPr>
          <w:bCs/>
          <w:b/>
        </w:rPr>
        <w:t xml:space="preserve">who</w:t>
      </w:r>
      <w:r>
        <w:t xml:space="preserve"> </w:t>
      </w:r>
      <w:r>
        <w:t xml:space="preserve">is non-compliant and</w:t>
      </w:r>
      <w:r>
        <w:t xml:space="preserve"> </w:t>
      </w:r>
      <w:r>
        <w:rPr>
          <w:bCs/>
          <w:b/>
        </w:rPr>
        <w:t xml:space="preserve">why</w:t>
      </w:r>
      <w:r>
        <w:t xml:space="preserve">. The Outreach Engine ensures this knowledge becomes</w:t>
      </w:r>
      <w:r>
        <w:t xml:space="preserve"> </w:t>
      </w:r>
      <w:r>
        <w:rPr>
          <w:bCs/>
          <w:b/>
        </w:rPr>
        <w:t xml:space="preserve">action</w:t>
      </w:r>
      <w:r>
        <w:t xml:space="preserve"> </w:t>
      </w:r>
      <w:r>
        <w:t xml:space="preserve">— reaching companies with the right message, through the right channel, at the right time. The business case is compelling: DORA penalties reach</w:t>
      </w:r>
      <w:r>
        <w:t xml:space="preserve"> </w:t>
      </w:r>
      <w:r>
        <w:rPr>
          <w:bCs/>
          <w:b/>
        </w:rPr>
        <w:t xml:space="preserve">2% of annual worldwide turnover</w:t>
      </w:r>
      <w:r>
        <w:t xml:space="preserve"> </w:t>
      </w:r>
      <w:r>
        <w:t xml:space="preserve">with board members facing</w:t>
      </w:r>
      <w:r>
        <w:t xml:space="preserve"> </w:t>
      </w:r>
      <w:r>
        <w:rPr>
          <w:bCs/>
          <w:b/>
        </w:rPr>
        <w:t xml:space="preserve">EUR 5 million personal liability</w:t>
      </w:r>
      <w:r>
        <w:t xml:space="preserve"> </w:t>
      </w:r>
      <w:r>
        <w:rPr>
          <w:vertAlign w:val="superscript"/>
        </w:rPr>
        <w:footnoteReference w:id="29"/>
      </w:r>
      <w:r>
        <w:t xml:space="preserve"> </w:t>
      </w:r>
      <w:r>
        <w:rPr>
          <w:vertAlign w:val="superscript"/>
        </w:rPr>
        <w:footnoteReference w:id="30"/>
      </w:r>
      <w:r>
        <w:t xml:space="preserve">, yet</w:t>
      </w:r>
      <w:r>
        <w:t xml:space="preserve"> </w:t>
      </w:r>
      <w:r>
        <w:rPr>
          <w:bCs/>
          <w:b/>
        </w:rPr>
        <w:t xml:space="preserve">93.5% of institutions</w:t>
      </w:r>
      <w:r>
        <w:t xml:space="preserve"> </w:t>
      </w:r>
      <w:r>
        <w:t xml:space="preserve">failed the ESA dry-run</w:t>
      </w:r>
      <w:r>
        <w:t xml:space="preserve"> </w:t>
      </w:r>
      <w:fldSimple w:instr="NOTEREF _Ref_Footnote_23 \h \f">
        <w:r>
          <w:rPr>
            <w:vertAlign w:val="superscript"/>
          </w:rPr>
          <w:t>23</w:t>
        </w:r>
      </w:fldSimple>
      <w:r>
        <w:t xml:space="preserve">. Banks care about compliance — they lack timely, specific, actionable intelligence about their own gaps. GRCIN closes this information-to-action gap.</w:t>
      </w:r>
    </w:p>
    <w:bookmarkStart w:id="67" w:name="the-outreach-trigger-system"/>
    <w:p>
      <w:pPr>
        <w:pStyle w:val="Heading3"/>
      </w:pPr>
      <w:r>
        <w:t xml:space="preserve">4.1 The Outreach Trigger System</w:t>
      </w:r>
    </w:p>
    <w:p>
      <w:pPr>
        <w:pStyle w:val="FirstParagraph"/>
      </w:pPr>
      <w:r>
        <w:t xml:space="preserve">The engine is event-driven. Every outreach is triggered by a specific measurable condition — a deadline approaching, a score dropping, or a regulatory change creating new obligations.</w:t>
      </w:r>
    </w:p>
    <w:bookmarkStart w:id="64" w:name="deadline-aware-triggers"/>
    <w:p>
      <w:pPr>
        <w:pStyle w:val="Heading4"/>
      </w:pPr>
      <w:r>
        <w:t xml:space="preserve">4.1.1 Deadline-Aware Triggers</w:t>
      </w:r>
    </w:p>
    <w:p>
      <w:pPr>
        <w:pStyle w:val="FirstParagraph"/>
      </w:pPr>
      <w:r>
        <w:t xml:space="preserve">GRCIN maintains complete regulatory calendars for every regulation — primary dates, reporting deadlines, filing windows, supervisory reviews, and transitional expirations. For each company-regulation pair, outreach triggers at five intervals:</w:t>
      </w:r>
    </w:p>
    <w:p>
      <w:pPr>
        <w:numPr>
          <w:ilvl w:val="0"/>
          <w:numId w:val="1005"/>
        </w:numPr>
        <w:pStyle w:val="Compact"/>
      </w:pPr>
      <w:r>
        <w:rPr>
          <w:bCs/>
          <w:b/>
        </w:rPr>
        <w:t xml:space="preserve">T-90 days (Informational)</w:t>
      </w:r>
      <w:r>
        <w:t xml:space="preserve">: High-level summary with peer benchmarks. Tone: advisory.</w:t>
      </w:r>
    </w:p>
    <w:p>
      <w:pPr>
        <w:numPr>
          <w:ilvl w:val="0"/>
          <w:numId w:val="1005"/>
        </w:numPr>
        <w:pStyle w:val="Compact"/>
      </w:pPr>
      <w:r>
        <w:rPr>
          <w:bCs/>
          <w:b/>
        </w:rPr>
        <w:t xml:space="preserve">T-60 days (Warning)</w:t>
      </w:r>
      <w:r>
        <w:t xml:space="preserve">: Specific gap ID with article references. Tone: instructive.</w:t>
      </w:r>
    </w:p>
    <w:p>
      <w:pPr>
        <w:numPr>
          <w:ilvl w:val="0"/>
          <w:numId w:val="1005"/>
        </w:numPr>
        <w:pStyle w:val="Compact"/>
      </w:pPr>
      <w:r>
        <w:rPr>
          <w:bCs/>
          <w:b/>
        </w:rPr>
        <w:t xml:space="preserve">T-30 days (Urgent)</w:t>
      </w:r>
      <w:r>
        <w:t xml:space="preserve">: Detailed remediation plan with timeline and cost. Tone: insistent.</w:t>
      </w:r>
    </w:p>
    <w:p>
      <w:pPr>
        <w:numPr>
          <w:ilvl w:val="0"/>
          <w:numId w:val="1005"/>
        </w:numPr>
        <w:pStyle w:val="Compact"/>
      </w:pPr>
      <w:r>
        <w:rPr>
          <w:bCs/>
          <w:b/>
        </w:rPr>
        <w:t xml:space="preserve">T-14 days (Critical)</w:t>
      </w:r>
      <w:r>
        <w:t xml:space="preserve">: Escalated to C-suite with penalty exposure. Tone: direct.</w:t>
      </w:r>
    </w:p>
    <w:p>
      <w:pPr>
        <w:numPr>
          <w:ilvl w:val="0"/>
          <w:numId w:val="1005"/>
        </w:numPr>
        <w:pStyle w:val="Compact"/>
      </w:pPr>
      <w:r>
        <w:rPr>
          <w:bCs/>
          <w:b/>
        </w:rPr>
        <w:t xml:space="preserve">T-7 days (Emergency)</w:t>
      </w:r>
      <w:r>
        <w:t xml:space="preserve">: Maximum urgency with regulator notification flag. Tone: explicit final notice.</w:t>
      </w:r>
    </w:p>
    <w:p>
      <w:pPr>
        <w:pStyle w:val="FirstParagraph"/>
      </w:pPr>
      <w:r>
        <w:t xml:space="preserve">Each trigger generates a</w:t>
      </w:r>
      <w:r>
        <w:t xml:space="preserve"> </w:t>
      </w:r>
      <w:r>
        <w:rPr>
          <w:bCs/>
          <w:b/>
        </w:rPr>
        <w:t xml:space="preserve">personalized compliance gap report</w:t>
      </w:r>
      <w:r>
        <w:t xml:space="preserve"> </w:t>
      </w:r>
      <w:r>
        <w:t xml:space="preserve">— AI-generated documents specific to the company’s exact gaps, evidence profile, and regulatory exposure, backed by the same BFT attestation chain as the compliance score itself.</w:t>
      </w:r>
    </w:p>
    <w:bookmarkEnd w:id="64"/>
    <w:bookmarkStart w:id="65" w:name="compliance-gap-triggers"/>
    <w:p>
      <w:pPr>
        <w:pStyle w:val="Heading4"/>
      </w:pPr>
      <w:r>
        <w:t xml:space="preserve">4.1.2 Compliance Gap Triggers</w:t>
      </w:r>
    </w:p>
    <w:p>
      <w:pPr>
        <w:pStyle w:val="FirstParagraph"/>
      </w:pPr>
      <w:r>
        <w:t xml:space="preserve">Many companies</w:t>
      </w:r>
      <w:r>
        <w:t xml:space="preserve"> </w:t>
      </w:r>
      <w:r>
        <w:rPr>
          <w:bCs/>
          <w:b/>
        </w:rPr>
        <w:t xml:space="preserve">believe they are compliant when they are not</w:t>
      </w:r>
      <w:r>
        <w:t xml:space="preserve">. When a score drops below</w:t>
      </w:r>
      <w:r>
        <w:t xml:space="preserve"> </w:t>
      </w:r>
      <w:r>
        <w:rPr>
          <w:bCs/>
          <w:b/>
        </w:rPr>
        <w:t xml:space="preserve">&lt;70% with &lt;30 days to deadline</w:t>
      </w:r>
      <w:r>
        <w:t xml:space="preserve"> </w:t>
      </w:r>
      <w:r>
        <w:t xml:space="preserve">or</w:t>
      </w:r>
      <w:r>
        <w:t xml:space="preserve"> </w:t>
      </w:r>
      <w:r>
        <w:rPr>
          <w:bCs/>
          <w:b/>
        </w:rPr>
        <w:t xml:space="preserve">&lt;50% at any time</w:t>
      </w:r>
      <w:r>
        <w:t xml:space="preserve">, automatic outreach activates. This threshold is calibrated per-regulation against historical enforcement patterns — a 70% DORA score with 30 days remaining correlates with a 65% supervisory finding probability based on GRCIN’s validation dataset. Anomaly detection identifies score drops within hours, triggering</w:t>
      </w:r>
      <w:r>
        <w:t xml:space="preserve"> </w:t>
      </w:r>
      <w:r>
        <w:rPr>
          <w:bCs/>
          <w:b/>
        </w:rPr>
        <w:t xml:space="preserve">investigative gap reports</w:t>
      </w:r>
      <w:r>
        <w:t xml:space="preserve"> </w:t>
      </w:r>
      <w:r>
        <w:t xml:space="preserve">that pinpoint the specific evidence changes driving decline.</w:t>
      </w:r>
    </w:p>
    <w:bookmarkEnd w:id="65"/>
    <w:bookmarkStart w:id="66" w:name="regulatory-change-triggers"/>
    <w:p>
      <w:pPr>
        <w:pStyle w:val="Heading4"/>
      </w:pPr>
      <w:r>
        <w:t xml:space="preserve">4.1.3 Regulatory Change Triggers</w:t>
      </w:r>
    </w:p>
    <w:p>
      <w:pPr>
        <w:pStyle w:val="FirstParagraph"/>
      </w:pPr>
      <w:r>
        <w:t xml:space="preserve">When regulations change, GRCIN’s Impact Engine re-assesses all affected companies and the outreach engine notifies them immediately. For BaFin’s January 2026 AI-in-DORA guidance, GRCIN would identify ~3,400 affected entities, re-assess within 4 hours, and deliver personalized action items (</w:t>
      </w:r>
      <w:r>
        <w:t xml:space="preserve">“</w:t>
      </w:r>
      <w:r>
        <w:t xml:space="preserve">Your AI credit scoring model supports a Critical Function. Complete: [1] Algorithmic impact assessment per EU AI Act Article 8, [2] Resilience testing per DORA Article 25, [3] Model documentation per BaFin guidance section 4.2</w:t>
      </w:r>
      <w:r>
        <w:t xml:space="preserve">”</w:t>
      </w:r>
      <w:r>
        <w:t xml:space="preserve">) —</w:t>
      </w:r>
      <w:r>
        <w:t xml:space="preserve"> </w:t>
      </w:r>
      <w:r>
        <w:rPr>
          <w:bCs/>
          <w:b/>
        </w:rPr>
        <w:t xml:space="preserve">before competitors finish reading the press release</w:t>
      </w:r>
      <w:r>
        <w:t xml:space="preser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Trigger Type</w:t>
            </w:r>
          </w:p>
        </w:tc>
        <w:tc>
          <w:tcPr/>
          <w:p>
            <w:pPr>
              <w:pStyle w:val="Compact"/>
              <w:jc w:val="left"/>
            </w:pPr>
            <w:r>
              <w:t xml:space="preserve">Timing / Condition</w:t>
            </w:r>
          </w:p>
        </w:tc>
        <w:tc>
          <w:tcPr/>
          <w:p>
            <w:pPr>
              <w:pStyle w:val="Compact"/>
              <w:jc w:val="left"/>
            </w:pPr>
            <w:r>
              <w:t xml:space="preserve">Channel</w:t>
            </w:r>
          </w:p>
        </w:tc>
        <w:tc>
          <w:tcPr/>
          <w:p>
            <w:pPr>
              <w:pStyle w:val="Compact"/>
              <w:jc w:val="left"/>
            </w:pPr>
            <w:r>
              <w:t xml:space="preserve">Message Type</w:t>
            </w:r>
          </w:p>
        </w:tc>
        <w:tc>
          <w:tcPr/>
          <w:p>
            <w:pPr>
              <w:pStyle w:val="Compact"/>
              <w:jc w:val="left"/>
            </w:pPr>
            <w:r>
              <w:t xml:space="preserve">Target Audience</w:t>
            </w:r>
          </w:p>
        </w:tc>
        <w:tc>
          <w:tcPr/>
          <w:p>
            <w:pPr>
              <w:pStyle w:val="Compact"/>
              <w:jc w:val="left"/>
            </w:pPr>
            <w:r>
              <w:t xml:space="preserve">Escalation Path</w:t>
            </w:r>
          </w:p>
        </w:tc>
      </w:tr>
      <w:tr>
        <w:tc>
          <w:tcPr/>
          <w:p>
            <w:pPr>
              <w:pStyle w:val="Compact"/>
              <w:jc w:val="left"/>
            </w:pPr>
            <w:r>
              <w:rPr>
                <w:bCs/>
                <w:b/>
              </w:rPr>
              <w:t xml:space="preserve">Informational</w:t>
            </w:r>
          </w:p>
        </w:tc>
        <w:tc>
          <w:tcPr/>
          <w:p>
            <w:pPr>
              <w:pStyle w:val="Compact"/>
              <w:jc w:val="left"/>
            </w:pPr>
            <w:r>
              <w:t xml:space="preserve">T-90 days</w:t>
            </w:r>
          </w:p>
        </w:tc>
        <w:tc>
          <w:tcPr/>
          <w:p>
            <w:pPr>
              <w:pStyle w:val="Compact"/>
              <w:jc w:val="left"/>
            </w:pPr>
            <w:r>
              <w:t xml:space="preserve">Email + Portal</w:t>
            </w:r>
          </w:p>
        </w:tc>
        <w:tc>
          <w:tcPr/>
          <w:p>
            <w:pPr>
              <w:pStyle w:val="Compact"/>
              <w:jc w:val="left"/>
            </w:pPr>
            <w:r>
              <w:t xml:space="preserve">Compliance summary with peer benchmarks</w:t>
            </w:r>
          </w:p>
        </w:tc>
        <w:tc>
          <w:tcPr/>
          <w:p>
            <w:pPr>
              <w:pStyle w:val="Compact"/>
              <w:jc w:val="left"/>
            </w:pPr>
            <w:r>
              <w:t xml:space="preserve">Compliance Officer, CRO</w:t>
            </w:r>
          </w:p>
        </w:tc>
        <w:tc>
          <w:tcPr/>
          <w:p>
            <w:pPr>
              <w:pStyle w:val="Compact"/>
              <w:jc w:val="left"/>
            </w:pPr>
            <w:r>
              <w:t xml:space="preserve">None</w:t>
            </w:r>
          </w:p>
        </w:tc>
      </w:tr>
      <w:tr>
        <w:tc>
          <w:tcPr/>
          <w:p>
            <w:pPr>
              <w:pStyle w:val="Compact"/>
              <w:jc w:val="left"/>
            </w:pPr>
            <w:r>
              <w:rPr>
                <w:bCs/>
                <w:b/>
              </w:rPr>
              <w:t xml:space="preserve">Warning</w:t>
            </w:r>
          </w:p>
        </w:tc>
        <w:tc>
          <w:tcPr/>
          <w:p>
            <w:pPr>
              <w:pStyle w:val="Compact"/>
              <w:jc w:val="left"/>
            </w:pPr>
            <w:r>
              <w:t xml:space="preserve">T-60 days</w:t>
            </w:r>
          </w:p>
        </w:tc>
        <w:tc>
          <w:tcPr/>
          <w:p>
            <w:pPr>
              <w:pStyle w:val="Compact"/>
              <w:jc w:val="left"/>
            </w:pPr>
            <w:r>
              <w:t xml:space="preserve">Email + API push</w:t>
            </w:r>
          </w:p>
        </w:tc>
        <w:tc>
          <w:tcPr/>
          <w:p>
            <w:pPr>
              <w:pStyle w:val="Compact"/>
              <w:jc w:val="left"/>
            </w:pPr>
            <w:r>
              <w:t xml:space="preserve">Specific gap ID with article references</w:t>
            </w:r>
          </w:p>
        </w:tc>
        <w:tc>
          <w:tcPr/>
          <w:p>
            <w:pPr>
              <w:pStyle w:val="Compact"/>
              <w:jc w:val="left"/>
            </w:pPr>
            <w:r>
              <w:t xml:space="preserve">Compliance Officer, DORA Lead</w:t>
            </w:r>
          </w:p>
        </w:tc>
        <w:tc>
          <w:tcPr/>
          <w:p>
            <w:pPr>
              <w:pStyle w:val="Compact"/>
              <w:jc w:val="left"/>
            </w:pPr>
            <w:r>
              <w:t xml:space="preserve">Notify Head of Compliance if unacknowledged</w:t>
            </w:r>
          </w:p>
        </w:tc>
      </w:tr>
      <w:tr>
        <w:tc>
          <w:tcPr/>
          <w:p>
            <w:pPr>
              <w:pStyle w:val="Compact"/>
              <w:jc w:val="left"/>
            </w:pPr>
            <w:r>
              <w:rPr>
                <w:bCs/>
                <w:b/>
              </w:rPr>
              <w:t xml:space="preserve">Urgent</w:t>
            </w:r>
          </w:p>
        </w:tc>
        <w:tc>
          <w:tcPr/>
          <w:p>
            <w:pPr>
              <w:pStyle w:val="Compact"/>
              <w:jc w:val="left"/>
            </w:pPr>
            <w:r>
              <w:t xml:space="preserve">T-30 days</w:t>
            </w:r>
          </w:p>
        </w:tc>
        <w:tc>
          <w:tcPr/>
          <w:p>
            <w:pPr>
              <w:pStyle w:val="Compact"/>
              <w:jc w:val="left"/>
            </w:pPr>
            <w:r>
              <w:t xml:space="preserve">Email + SMS + Portal + Intel Brief</w:t>
            </w:r>
          </w:p>
        </w:tc>
        <w:tc>
          <w:tcPr/>
          <w:p>
            <w:pPr>
              <w:pStyle w:val="Compact"/>
              <w:jc w:val="left"/>
            </w:pPr>
            <w:r>
              <w:t xml:space="preserve">Remediation plan with timeline, cost, one-click generation</w:t>
            </w:r>
          </w:p>
        </w:tc>
        <w:tc>
          <w:tcPr/>
          <w:p>
            <w:pPr>
              <w:pStyle w:val="Compact"/>
              <w:jc w:val="left"/>
            </w:pPr>
            <w:r>
              <w:t xml:space="preserve">CRO, Head of Compliance</w:t>
            </w:r>
          </w:p>
        </w:tc>
        <w:tc>
          <w:tcPr/>
          <w:p>
            <w:pPr>
              <w:pStyle w:val="Compact"/>
              <w:jc w:val="left"/>
            </w:pPr>
            <w:r>
              <w:t xml:space="preserve">Notify CEO if unacknowledged 72h</w:t>
            </w:r>
          </w:p>
        </w:tc>
      </w:tr>
      <w:tr>
        <w:tc>
          <w:tcPr/>
          <w:p>
            <w:pPr>
              <w:pStyle w:val="Compact"/>
              <w:jc w:val="left"/>
            </w:pPr>
            <w:r>
              <w:rPr>
                <w:bCs/>
                <w:b/>
              </w:rPr>
              <w:t xml:space="preserve">Critical</w:t>
            </w:r>
          </w:p>
        </w:tc>
        <w:tc>
          <w:tcPr/>
          <w:p>
            <w:pPr>
              <w:pStyle w:val="Compact"/>
              <w:jc w:val="left"/>
            </w:pPr>
            <w:r>
              <w:t xml:space="preserve">T-14 days</w:t>
            </w:r>
          </w:p>
        </w:tc>
        <w:tc>
          <w:tcPr/>
          <w:p>
            <w:pPr>
              <w:pStyle w:val="Compact"/>
              <w:jc w:val="left"/>
            </w:pPr>
            <w:r>
              <w:t xml:space="preserve">Email + SMS + Certified + API</w:t>
            </w:r>
          </w:p>
        </w:tc>
        <w:tc>
          <w:tcPr/>
          <w:p>
            <w:pPr>
              <w:pStyle w:val="Compact"/>
              <w:jc w:val="left"/>
            </w:pPr>
            <w:r>
              <w:t xml:space="preserve">Board summary with penalty and liability notice</w:t>
            </w:r>
          </w:p>
        </w:tc>
        <w:tc>
          <w:tcPr/>
          <w:p>
            <w:pPr>
              <w:pStyle w:val="Compact"/>
              <w:jc w:val="left"/>
            </w:pPr>
            <w:r>
              <w:t xml:space="preserve">CEO, CFO, Board Risk Committee</w:t>
            </w:r>
          </w:p>
        </w:tc>
        <w:tc>
          <w:tcPr/>
          <w:p>
            <w:pPr>
              <w:pStyle w:val="Compact"/>
              <w:jc w:val="left"/>
            </w:pPr>
            <w:r>
              <w:t xml:space="preserve">Notify board chair if unacknowledged 48h</w:t>
            </w:r>
          </w:p>
        </w:tc>
      </w:tr>
      <w:tr>
        <w:tc>
          <w:tcPr/>
          <w:p>
            <w:pPr>
              <w:pStyle w:val="Compact"/>
              <w:jc w:val="left"/>
            </w:pPr>
            <w:r>
              <w:rPr>
                <w:bCs/>
                <w:b/>
              </w:rPr>
              <w:t xml:space="preserve">Emergency</w:t>
            </w:r>
          </w:p>
        </w:tc>
        <w:tc>
          <w:tcPr/>
          <w:p>
            <w:pPr>
              <w:pStyle w:val="Compact"/>
              <w:jc w:val="left"/>
            </w:pPr>
            <w:r>
              <w:t xml:space="preserve">T-7 days</w:t>
            </w:r>
          </w:p>
        </w:tc>
        <w:tc>
          <w:tcPr/>
          <w:p>
            <w:pPr>
              <w:pStyle w:val="Compact"/>
              <w:jc w:val="left"/>
            </w:pPr>
            <w:r>
              <w:t xml:space="preserve">All channels + regulator flag</w:t>
            </w:r>
          </w:p>
        </w:tc>
        <w:tc>
          <w:tcPr/>
          <w:p>
            <w:pPr>
              <w:pStyle w:val="Compact"/>
              <w:jc w:val="left"/>
            </w:pPr>
            <w:r>
              <w:t xml:space="preserve">Final notice with explicit penalty calculation</w:t>
            </w:r>
          </w:p>
        </w:tc>
        <w:tc>
          <w:tcPr/>
          <w:p>
            <w:pPr>
              <w:pStyle w:val="Compact"/>
              <w:jc w:val="left"/>
            </w:pPr>
            <w:r>
              <w:t xml:space="preserve">Full board, General Counsel</w:t>
            </w:r>
          </w:p>
        </w:tc>
        <w:tc>
          <w:tcPr/>
          <w:p>
            <w:pPr>
              <w:pStyle w:val="Compact"/>
              <w:jc w:val="left"/>
            </w:pPr>
            <w:r>
              <w:t xml:space="preserve">Automatic Regulator Intelligence inclusion</w:t>
            </w:r>
          </w:p>
        </w:tc>
      </w:tr>
      <w:tr>
        <w:tc>
          <w:tcPr/>
          <w:p>
            <w:pPr>
              <w:pStyle w:val="Compact"/>
              <w:jc w:val="left"/>
            </w:pPr>
            <w:r>
              <w:rPr>
                <w:bCs/>
                <w:b/>
              </w:rPr>
              <w:t xml:space="preserve">Gap Drop</w:t>
            </w:r>
          </w:p>
        </w:tc>
        <w:tc>
          <w:tcPr/>
          <w:p>
            <w:pPr>
              <w:pStyle w:val="Compact"/>
              <w:jc w:val="left"/>
            </w:pPr>
            <w:r>
              <w:t xml:space="preserve">&lt;70% with &lt;30d OR &lt;50% anytime</w:t>
            </w:r>
          </w:p>
        </w:tc>
        <w:tc>
          <w:tcPr/>
          <w:p>
            <w:pPr>
              <w:pStyle w:val="Compact"/>
              <w:jc w:val="left"/>
            </w:pPr>
            <w:r>
              <w:t xml:space="preserve">Email + SMS + Portal</w:t>
            </w:r>
          </w:p>
        </w:tc>
        <w:tc>
          <w:tcPr/>
          <w:p>
            <w:pPr>
              <w:pStyle w:val="Compact"/>
              <w:jc w:val="left"/>
            </w:pPr>
            <w:r>
              <w:t xml:space="preserve">Investigative report on evidence changes</w:t>
            </w:r>
          </w:p>
        </w:tc>
        <w:tc>
          <w:tcPr/>
          <w:p>
            <w:pPr>
              <w:pStyle w:val="Compact"/>
              <w:jc w:val="left"/>
            </w:pPr>
            <w:r>
              <w:t xml:space="preserve">Compliance Officer, CRO</w:t>
            </w:r>
          </w:p>
        </w:tc>
        <w:tc>
          <w:tcPr/>
          <w:p>
            <w:pPr>
              <w:pStyle w:val="Compact"/>
              <w:jc w:val="left"/>
            </w:pPr>
            <w:r>
              <w:t xml:space="preserve">Escalate to CEO if drop &gt;20pp</w:t>
            </w:r>
          </w:p>
        </w:tc>
      </w:tr>
      <w:tr>
        <w:tc>
          <w:tcPr/>
          <w:p>
            <w:pPr>
              <w:pStyle w:val="Compact"/>
              <w:jc w:val="left"/>
            </w:pPr>
            <w:r>
              <w:rPr>
                <w:bCs/>
                <w:b/>
              </w:rPr>
              <w:t xml:space="preserve">Reg Change</w:t>
            </w:r>
          </w:p>
        </w:tc>
        <w:tc>
          <w:tcPr/>
          <w:p>
            <w:pPr>
              <w:pStyle w:val="Compact"/>
              <w:jc w:val="left"/>
            </w:pPr>
            <w:r>
              <w:t xml:space="preserve">Within 4h of new guidance</w:t>
            </w:r>
          </w:p>
        </w:tc>
        <w:tc>
          <w:tcPr/>
          <w:p>
            <w:pPr>
              <w:pStyle w:val="Compact"/>
              <w:jc w:val="left"/>
            </w:pPr>
            <w:r>
              <w:t xml:space="preserve">Email + Portal + Intel Brief</w:t>
            </w:r>
          </w:p>
        </w:tc>
        <w:tc>
          <w:tcPr/>
          <w:p>
            <w:pPr>
              <w:pStyle w:val="Compact"/>
              <w:jc w:val="left"/>
            </w:pPr>
            <w:r>
              <w:t xml:space="preserve">Specific action items tied to new requirements</w:t>
            </w:r>
          </w:p>
        </w:tc>
        <w:tc>
          <w:tcPr/>
          <w:p>
            <w:pPr>
              <w:pStyle w:val="Compact"/>
              <w:jc w:val="left"/>
            </w:pPr>
            <w:r>
              <w:t xml:space="preserve">Legal, Compliance, AI Risk Officer</w:t>
            </w:r>
          </w:p>
        </w:tc>
        <w:tc>
          <w:tcPr/>
          <w:p>
            <w:pPr>
              <w:pStyle w:val="Compact"/>
              <w:jc w:val="left"/>
            </w:pPr>
            <w:r>
              <w:t xml:space="preserve">None (informational)</w:t>
            </w:r>
          </w:p>
        </w:tc>
      </w:tr>
    </w:tbl>
    <w:bookmarkEnd w:id="66"/>
    <w:bookmarkEnd w:id="67"/>
    <w:bookmarkStart w:id="71" w:name="multi-channel-outreach"/>
    <w:p>
      <w:pPr>
        <w:pStyle w:val="Heading3"/>
      </w:pPr>
      <w:r>
        <w:t xml:space="preserve">4.2 Multi-Channel Outreach</w:t>
      </w:r>
    </w:p>
    <w:p>
      <w:pPr>
        <w:pStyle w:val="FirstParagraph"/>
      </w:pPr>
      <w:r>
        <w:t xml:space="preserve">Trigger conditions determine</w:t>
      </w:r>
      <w:r>
        <w:t xml:space="preserve"> </w:t>
      </w:r>
      <w:r>
        <w:rPr>
          <w:bCs/>
          <w:b/>
        </w:rPr>
        <w:t xml:space="preserve">when</w:t>
      </w:r>
      <w:r>
        <w:t xml:space="preserve">; channel strategy determines</w:t>
      </w:r>
      <w:r>
        <w:t xml:space="preserve"> </w:t>
      </w:r>
      <w:r>
        <w:rPr>
          <w:bCs/>
          <w:b/>
        </w:rPr>
        <w:t xml:space="preserve">how</w:t>
      </w:r>
      <w:r>
        <w:t xml:space="preserve">.</w:t>
      </w:r>
    </w:p>
    <w:bookmarkStart w:id="68" w:name="api-to-api-delivery"/>
    <w:p>
      <w:pPr>
        <w:pStyle w:val="Heading4"/>
      </w:pPr>
      <w:r>
        <w:t xml:space="preserve">4.2.1 API-to-API Delivery</w:t>
      </w:r>
    </w:p>
    <w:p>
      <w:pPr>
        <w:pStyle w:val="FirstParagraph"/>
      </w:pPr>
      <w:r>
        <w:t xml:space="preserve">For large institutions with established GRC platforms — ServiceNow GRC, IBM OpenPages, OneTrust, MetricStream — GRCIN delivers structured data</w:t>
      </w:r>
      <w:r>
        <w:t xml:space="preserve"> </w:t>
      </w:r>
      <w:r>
        <w:rPr>
          <w:bCs/>
          <w:b/>
        </w:rPr>
        <w:t xml:space="preserve">directly into their systems</w:t>
      </w:r>
      <w:r>
        <w:t xml:space="preserve"> </w:t>
      </w:r>
      <w:r>
        <w:t xml:space="preserve">via REST API with Ed25519-signed payloads. This eliminates email friction, ensures data lands in existing workflows, and enables bidirectional integration. API delivery is the default for companies with &gt;EUR 10 billion AUM. GRCIN’s schema follows the</w:t>
      </w:r>
      <w:r>
        <w:t xml:space="preserve"> </w:t>
      </w:r>
      <w:r>
        <w:rPr>
          <w:bCs/>
          <w:b/>
        </w:rPr>
        <w:t xml:space="preserve">OCEG GRC Unified Schema</w:t>
      </w:r>
      <w:r>
        <w:t xml:space="preserve"> </w:t>
      </w:r>
      <w:r>
        <w:t xml:space="preserve">with DORA-specific extensions.</w:t>
      </w:r>
    </w:p>
    <w:bookmarkEnd w:id="68"/>
    <w:bookmarkStart w:id="69" w:name="personalized-reports"/>
    <w:p>
      <w:pPr>
        <w:pStyle w:val="Heading4"/>
      </w:pPr>
      <w:r>
        <w:t xml:space="preserve">4.2.2 Personalized Reports</w:t>
      </w:r>
    </w:p>
    <w:p>
      <w:pPr>
        <w:pStyle w:val="FirstParagraph"/>
      </w:pPr>
      <w:r>
        <w:t xml:space="preserve">For companies without GRC integration, GRCIN generates</w:t>
      </w:r>
      <w:r>
        <w:t xml:space="preserve"> </w:t>
      </w:r>
      <w:r>
        <w:rPr>
          <w:bCs/>
          <w:b/>
        </w:rPr>
        <w:t xml:space="preserve">AI-personalized compliance reports</w:t>
      </w:r>
      <w:r>
        <w:t xml:space="preserve"> </w:t>
      </w:r>
      <w:r>
        <w:t xml:space="preserve">— unique documents, not templates. Each includes: current score with trend line; specific gaps with exact article references; step-by-step remediation tailored to company size and sector; estimated timelines with critical path; cost estimates from comparable projects; and</w:t>
      </w:r>
      <w:r>
        <w:t xml:space="preserve"> </w:t>
      </w:r>
      <w:r>
        <w:rPr>
          <w:bCs/>
          <w:b/>
        </w:rPr>
        <w:t xml:space="preserve">one-click remediation plan generation</w:t>
      </w:r>
      <w:r>
        <w:t xml:space="preserve"> </w:t>
      </w:r>
      <w:r>
        <w:t xml:space="preserve">producing importable project plans for Microsoft Project, Jira, or ServiceNow.</w:t>
      </w:r>
    </w:p>
    <w:p>
      <w:pPr>
        <w:pStyle w:val="BodyText"/>
      </w:pPr>
      <w:r>
        <w:t xml:space="preserve">Personalization uses the full BFT Panel and specific evidence profile. A bank with strong ICT risk but weak third-party governance receives Article 28 guidance; a fintech with robust API security but no board-level ICT training gets Article 5(4) priority. No two reports are identical because no two companies share identical compliance profiles.</w:t>
      </w:r>
    </w:p>
    <w:bookmarkEnd w:id="69"/>
    <w:bookmarkStart w:id="70" w:name="daily-intel-brief-integration"/>
    <w:p>
      <w:pPr>
        <w:pStyle w:val="Heading4"/>
      </w:pPr>
      <w:r>
        <w:t xml:space="preserve">4.2.3 Daily Intel Brief Integration</w:t>
      </w:r>
    </w:p>
    <w:p>
      <w:pPr>
        <w:pStyle w:val="FirstParagraph"/>
      </w:pPr>
      <w:r>
        <w:t xml:space="preserve">Non-compliant companies receive a</w:t>
      </w:r>
      <w:r>
        <w:t xml:space="preserve"> </w:t>
      </w:r>
      <w:r>
        <w:rPr>
          <w:bCs/>
          <w:b/>
        </w:rPr>
        <w:t xml:space="preserve">CSOAI Daily Intel Brief</w:t>
      </w:r>
      <w:r>
        <w:t xml:space="preserve"> </w:t>
      </w:r>
      <w:r>
        <w:t xml:space="preserve">filtered through their gap profile. A company with an Article 28 gap sees only developments relevant to that gap — yesterday’s ECB template update, peer bank completion announcements, EBA clarifications on CIF classification, and peer remediation timelines. This transforms regulatory intelligence from</w:t>
      </w:r>
      <w:r>
        <w:t xml:space="preserve"> </w:t>
      </w:r>
      <w:r>
        <w:rPr>
          <w:bCs/>
          <w:b/>
        </w:rPr>
        <w:t xml:space="preserve">general awareness</w:t>
      </w:r>
      <w:r>
        <w:t xml:space="preserve"> </w:t>
      </w:r>
      <w:r>
        <w:t xml:space="preserve">to</w:t>
      </w:r>
      <w:r>
        <w:t xml:space="preserve"> </w:t>
      </w:r>
      <w:r>
        <w:rPr>
          <w:bCs/>
          <w:b/>
        </w:rPr>
        <w:t xml:space="preserve">specific actionability</w:t>
      </w:r>
      <w:r>
        <w:t xml:space="preserve">, showing exactly which developments affect specific gaps, what peers are doing, and how much time remains to act. Generated by the Worm Hive intelligence mesh and delivered before markets open.</w:t>
      </w:r>
    </w:p>
    <w:bookmarkEnd w:id="70"/>
    <w:bookmarkEnd w:id="71"/>
    <w:bookmarkStart w:id="75" w:name="the-compliance-concierge-service"/>
    <w:p>
      <w:pPr>
        <w:pStyle w:val="Heading3"/>
      </w:pPr>
      <w:r>
        <w:t xml:space="preserve">4.3 The</w:t>
      </w:r>
      <w:r>
        <w:t xml:space="preserve"> </w:t>
      </w:r>
      <w:r>
        <w:t xml:space="preserve">“</w:t>
      </w:r>
      <w:r>
        <w:t xml:space="preserve">Compliance Concierge</w:t>
      </w:r>
      <w:r>
        <w:t xml:space="preserve">”</w:t>
      </w:r>
      <w:r>
        <w:t xml:space="preserve"> </w:t>
      </w:r>
      <w:r>
        <w:t xml:space="preserve">Service</w:t>
      </w:r>
    </w:p>
    <w:p>
      <w:pPr>
        <w:pStyle w:val="FirstParagraph"/>
      </w:pPr>
      <w:r>
        <w:t xml:space="preserve">The highest-value relationships require higher-touch engagement. The Concierge provides tiered service matching intensity to company importance.</w:t>
      </w:r>
    </w:p>
    <w:bookmarkStart w:id="72" w:name="white-glove-service"/>
    <w:p>
      <w:pPr>
        <w:pStyle w:val="Heading4"/>
      </w:pPr>
      <w:r>
        <w:t xml:space="preserve">4.3.1 White-Glove Service</w:t>
      </w:r>
    </w:p>
    <w:p>
      <w:pPr>
        <w:pStyle w:val="FirstParagraph"/>
      </w:pPr>
      <w:r>
        <w:t xml:space="preserve">G-SIBs, major insurers, and the</w:t>
      </w:r>
      <w:r>
        <w:t xml:space="preserve"> </w:t>
      </w:r>
      <w:r>
        <w:rPr>
          <w:bCs/>
          <w:b/>
        </w:rPr>
        <w:t xml:space="preserve">19 ESAs-designated CTPPs</w:t>
      </w:r>
      <w:r>
        <w:t xml:space="preserve"> </w:t>
      </w:r>
      <w:r>
        <w:t xml:space="preserve">(AWS, Google Cloud, Microsoft, IBM, Oracle, SAP, Deutsche Telekom)</w:t>
      </w:r>
      <w:r>
        <w:t xml:space="preserve"> </w:t>
      </w:r>
      <w:fldSimple w:instr="NOTEREF _Ref_Footnote_27 \h \f">
        <w:r>
          <w:rPr>
            <w:vertAlign w:val="superscript"/>
          </w:rPr>
          <w:t>27</w:t>
        </w:r>
      </w:fldSimple>
      <w:r>
        <w:t xml:space="preserve">receive a</w:t>
      </w:r>
      <w:r>
        <w:t xml:space="preserve"> </w:t>
      </w:r>
      <w:r>
        <w:rPr>
          <w:bCs/>
          <w:b/>
        </w:rPr>
        <w:t xml:space="preserve">dedicated AI Compliance Concierge</w:t>
      </w:r>
      <w:r>
        <w:t xml:space="preserve"> </w:t>
      </w:r>
      <w:r>
        <w:t xml:space="preserve">— a persistent agent with full access to the company’s GRCIN profile, monitoring compliance daily and generating board-ready reports on demand. The Concierge can: monitor continuously for score changes and peer movements; alert proactively when gaps emerge; generate CRO and board risk committee presentations; coordinate with regulators for pre-examination summaries; and integrate deeply via API with GRC platforms, risk systems, and legal matter management tools. For a G-SIB facing DORA + NIS2 + AI Act + MiCA across 27 jurisdictions, the Concierge functions as a</w:t>
      </w:r>
      <w:r>
        <w:t xml:space="preserve"> </w:t>
      </w:r>
      <w:r>
        <w:rPr>
          <w:bCs/>
          <w:b/>
        </w:rPr>
        <w:t xml:space="preserve">force multiplier</w:t>
      </w:r>
      <w:r>
        <w:t xml:space="preserve"> </w:t>
      </w:r>
      <w:r>
        <w:t xml:space="preserve">— a dedicated analyst that never sleeps and maintains perfect institutional memory.</w:t>
      </w:r>
    </w:p>
    <w:bookmarkEnd w:id="72"/>
    <w:bookmarkStart w:id="73" w:name="self-service-portal"/>
    <w:p>
      <w:pPr>
        <w:pStyle w:val="Heading4"/>
      </w:pPr>
      <w:r>
        <w:t xml:space="preserve">4.3.2 Self-Service Portal</w:t>
      </w:r>
    </w:p>
    <w:p>
      <w:pPr>
        <w:pStyle w:val="FirstParagraph"/>
      </w:pPr>
      <w:r>
        <w:rPr>
          <w:bCs/>
          <w:b/>
        </w:rPr>
        <w:t xml:space="preserve">Free Tier</w:t>
      </w:r>
      <w:r>
        <w:t xml:space="preserve">: Basic score, top-3 gaps, sector-average benchmark, generic guidance. Designed for awareness and market penetration — any company can register via LEI lookup.</w:t>
      </w:r>
    </w:p>
    <w:p>
      <w:pPr>
        <w:pStyle w:val="BodyText"/>
      </w:pPr>
      <w:r>
        <w:rPr>
          <w:bCs/>
          <w:b/>
        </w:rPr>
        <w:t xml:space="preserve">Professional Tier (EUR 499/month)</w:t>
      </w:r>
      <w:r>
        <w:t xml:space="preserve">: Full article-level gap analysis, personalized remediation plans with cost estimates, full quartile benchmarking, Daily Intel Brief, regulatory change alerts, API access.</w:t>
      </w:r>
    </w:p>
    <w:p>
      <w:pPr>
        <w:pStyle w:val="BodyText"/>
      </w:pPr>
      <w:r>
        <w:rPr>
          <w:bCs/>
          <w:b/>
        </w:rPr>
        <w:t xml:space="preserve">Enterprise Tier (EUR 4,999/month)</w:t>
      </w:r>
      <w:r>
        <w:t xml:space="preserve">: Shared Concierge agent, board-ready reports, multi-entity group consolidation, predictive scenario modeling, priority 4-hour SLA.</w:t>
      </w:r>
    </w:p>
    <w:p>
      <w:pPr>
        <w:pStyle w:val="BodyText"/>
      </w:pPr>
      <w:r>
        <w:rPr>
          <w:bCs/>
          <w:b/>
        </w:rPr>
        <w:t xml:space="preserve">CTPP Tier (from EUR 50,000/month)</w:t>
      </w:r>
      <w:r>
        <w:t xml:space="preserve">: Full White-Glove persistent Concierge, custom scope, direct Lead Overseer reporting integration.</w:t>
      </w:r>
    </w:p>
    <w:p>
      <w:pPr>
        <w:pStyle w:val="BodyText"/>
      </w:pPr>
      <w:r>
        <w:t xml:space="preserve">The tiered model ensures accessibility for the smallest e-money institution (EUR 499/month against EUR 2M turnover) while capturing full G-SIB value where non-compliance costs are orders of magnitude higher.</w:t>
      </w:r>
    </w:p>
    <w:bookmarkEnd w:id="73"/>
    <w:bookmarkStart w:id="74" w:name="network-effects"/>
    <w:p>
      <w:pPr>
        <w:pStyle w:val="Heading4"/>
      </w:pPr>
      <w:r>
        <w:t xml:space="preserve">4.3.3 Network Effects</w:t>
      </w:r>
    </w:p>
    <w:p>
      <w:pPr>
        <w:pStyle w:val="FirstParagraph"/>
      </w:pPr>
      <w:r>
        <w:t xml:space="preserve">GRCIN’s most powerful growth mechanism operates across four dimensions:</w:t>
      </w:r>
    </w:p>
    <w:p>
      <w:pPr>
        <w:pStyle w:val="BodyText"/>
      </w:pPr>
      <w:r>
        <w:rPr>
          <w:bCs/>
          <w:b/>
        </w:rPr>
        <w:t xml:space="preserve">Assessment Accuracy</w:t>
      </w:r>
      <w:r>
        <w:t xml:space="preserve">: Each completed remediation project validates GRCIN’s gap complexity models, making timeline and cost estimates more precise over time. A 2027 Register remediation estimate is more accurate than 2026 because hundreds of projects have been validated.</w:t>
      </w:r>
    </w:p>
    <w:p>
      <w:pPr>
        <w:pStyle w:val="BodyText"/>
      </w:pPr>
      <w:r>
        <w:rPr>
          <w:bCs/>
          <w:b/>
        </w:rPr>
        <w:t xml:space="preserve">Peer Benchmark Precision</w:t>
      </w:r>
      <w:r>
        <w:t xml:space="preserve">: At 5,000+ assessed companies, peer groups can be sliced by country, sector, size, and regulatory exposure with statistically meaningful confidence intervals.</w:t>
      </w:r>
    </w:p>
    <w:p>
      <w:pPr>
        <w:pStyle w:val="BodyText"/>
      </w:pPr>
      <w:r>
        <w:rPr>
          <w:bCs/>
          <w:b/>
        </w:rPr>
        <w:t xml:space="preserve">Evidence Correlation</w:t>
      </w:r>
      <w:r>
        <w:t xml:space="preserve">: Scale reveals non-obvious compliance predictors — a bank with ISO 27001 and published AI ethics framework has 78% probability of Article 6 compliance before detailed assessment, enabling rapid triage.</w:t>
      </w:r>
    </w:p>
    <w:p>
      <w:pPr>
        <w:pStyle w:val="BodyText"/>
      </w:pPr>
      <w:r>
        <w:rPr>
          <w:bCs/>
          <w:b/>
        </w:rPr>
        <w:t xml:space="preserve">The</w:t>
      </w:r>
      <w:r>
        <w:rPr>
          <w:bCs/>
          <w:b/>
        </w:rPr>
        <w:t xml:space="preserve"> </w:t>
      </w:r>
      <w:r>
        <w:rPr>
          <w:bCs/>
          <w:b/>
        </w:rPr>
        <w:t xml:space="preserve">“</w:t>
      </w:r>
      <w:r>
        <w:rPr>
          <w:bCs/>
          <w:b/>
        </w:rPr>
        <w:t xml:space="preserve">Compliance Credit Score</w:t>
      </w:r>
      <w:r>
        <w:rPr>
          <w:bCs/>
          <w:b/>
        </w:rPr>
        <w:t xml:space="preserve">”</w:t>
      </w:r>
      <w:r>
        <w:rPr>
          <w:bCs/>
          <w:b/>
        </w:rPr>
        <w:t xml:space="preserve"> </w:t>
      </w:r>
      <w:r>
        <w:rPr>
          <w:bCs/>
          <w:b/>
        </w:rPr>
        <w:t xml:space="preserve">Effect</w:t>
      </w:r>
      <w:r>
        <w:t xml:space="preserve">: As GRCIN becomes authoritative, companies</w:t>
      </w:r>
      <w:r>
        <w:t xml:space="preserve"> </w:t>
      </w:r>
      <w:r>
        <w:rPr>
          <w:bCs/>
          <w:b/>
        </w:rPr>
        <w:t xml:space="preserve">want to be monitored</w:t>
      </w:r>
      <w:r>
        <w:t xml:space="preserve"> </w:t>
      </w:r>
      <w:r>
        <w:t xml:space="preserve">— to demonstrate compliance to partners, investors, and regulators. A fintech shows its bank partner a current CAC; a CTPP demonstrates supervisory alignment to financial entity clients; an insurer presents scores to reinsurance counterparties. Absence from GRCIN becomes a negative signal. The platform with the most assessed companies has the best benchmarks, most accurate predictions, and most valuable trust signals — attracting more companies in a</w:t>
      </w:r>
      <w:r>
        <w:t xml:space="preserve"> </w:t>
      </w:r>
      <w:r>
        <w:rPr>
          <w:bCs/>
          <w:b/>
        </w:rPr>
        <w:t xml:space="preserve">natural monopoly dynamic</w:t>
      </w:r>
      <w:r>
        <w:t xml:space="preserve">. GRCIN’s first-mover advantage, multi-agent architecture, and cryptographic attestation position it to capture this effect before competitors can replicate. The result is not merely a compliance tool — it is the</w:t>
      </w:r>
      <w:r>
        <w:t xml:space="preserve"> </w:t>
      </w:r>
      <w:r>
        <w:rPr>
          <w:bCs/>
          <w:b/>
        </w:rPr>
        <w:t xml:space="preserve">emerging credit score of regulatory compliance</w:t>
      </w:r>
      <w:r>
        <w:t xml:space="preserve">, and companies will subscribe not because they must, but because being off-platform is a competitive disadvantage they cannot afford.</w:t>
      </w:r>
    </w:p>
    <w:p>
      <w:r>
        <w:pict>
          <v:rect style="width:0;height:1.5pt" o:hralign="center" o:hrstd="t" o:hr="t"/>
        </w:pict>
      </w:r>
    </w:p>
    <w:p>
      <w:pPr>
        <w:pStyle w:val="FirstParagraph"/>
      </w:pPr>
      <w:r>
        <w:rPr>
          <w:iCs/>
          <w:i/>
        </w:rPr>
        <w:t xml:space="preserve">End of Sections 3–4. Continued in Sections 5–6: Regulator Intelligence Service and Data Moat &amp; Competitive Advantage.</w:t>
      </w:r>
    </w:p>
    <w:p>
      <w:r>
        <w:pict>
          <v:rect style="width:0;height:1.5pt" o:hralign="center" o:hrstd="t" o:hr="t"/>
        </w:pict>
      </w:r>
    </w:p>
    <w:bookmarkEnd w:id="74"/>
    <w:bookmarkEnd w:id="75"/>
    <w:bookmarkEnd w:id="76"/>
    <w:bookmarkEnd w:id="77"/>
    <w:bookmarkStart w:id="119" w:name="csoai-grcin-system-design-sections-5-7"/>
    <w:p>
      <w:pPr>
        <w:pStyle w:val="Heading1"/>
      </w:pPr>
      <w:r>
        <w:t xml:space="preserve">CSOAI GRCIN System Design — Sections 5-7</w:t>
      </w:r>
    </w:p>
    <w:bookmarkStart w:id="78" w:name="Xc48e12aa450273099f91ba6de8aaae5faa8ca0e"/>
    <w:p>
      <w:pPr>
        <w:pStyle w:val="Heading2"/>
      </w:pPr>
      <w:r>
        <w:t xml:space="preserve">Global Regulatory Compliance Intelligence Network (GRCIN)</w:t>
      </w:r>
    </w:p>
    <w:p>
      <w:pPr>
        <w:pStyle w:val="FirstParagraph"/>
      </w:pPr>
      <w:r>
        <w:rPr>
          <w:bCs/>
          <w:b/>
        </w:rPr>
        <w:t xml:space="preserve">Document Classification</w:t>
      </w:r>
      <w:r>
        <w:t xml:space="preserve">: Dragon Mode — Strategic Architecture &amp; Implementation Plan</w:t>
      </w:r>
      <w:r>
        <w:t xml:space="preserve"> </w:t>
      </w:r>
      <w:r>
        <w:rPr>
          <w:bCs/>
          <w:b/>
        </w:rPr>
        <w:t xml:space="preserve">Version</w:t>
      </w:r>
      <w:r>
        <w:t xml:space="preserve">: 1.0 |</w:t>
      </w:r>
      <w:r>
        <w:t xml:space="preserve"> </w:t>
      </w:r>
      <w:r>
        <w:rPr>
          <w:bCs/>
          <w:b/>
        </w:rPr>
        <w:t xml:space="preserve">Date</w:t>
      </w:r>
      <w:r>
        <w:t xml:space="preserve">: June 2026</w:t>
      </w:r>
    </w:p>
    <w:p>
      <w:r>
        <w:pict>
          <v:rect style="width:0;height:1.5pt" o:hralign="center" o:hrstd="t" o:hr="t"/>
        </w:pict>
      </w:r>
    </w:p>
    <w:bookmarkEnd w:id="78"/>
    <w:bookmarkStart w:id="91" w:name="X78c4a28e9438b71a7fcac679c97b8b31dac8922"/>
    <w:p>
      <w:pPr>
        <w:pStyle w:val="Heading2"/>
      </w:pPr>
      <w:r>
        <w:t xml:space="preserve">Section 5: Regulator Intelligence Service — The</w:t>
      </w:r>
      <w:r>
        <w:t xml:space="preserve"> </w:t>
      </w:r>
      <w:r>
        <w:t xml:space="preserve">“</w:t>
      </w:r>
      <w:r>
        <w:t xml:space="preserve">Compliance Weather Report</w:t>
      </w:r>
      <w:r>
        <w:t xml:space="preserve">”</w:t>
      </w:r>
    </w:p>
    <w:bookmarkStart w:id="82" w:name="X054907df8c6a5982b5e9a69ab8eaa29dd645502"/>
    <w:p>
      <w:pPr>
        <w:pStyle w:val="Heading3"/>
      </w:pPr>
      <w:r>
        <w:t xml:space="preserve">5.1 The</w:t>
      </w:r>
      <w:r>
        <w:t xml:space="preserve"> </w:t>
      </w:r>
      <w:r>
        <w:t xml:space="preserve">“</w:t>
      </w:r>
      <w:r>
        <w:t xml:space="preserve">Compliance Weather Report</w:t>
      </w:r>
      <w:r>
        <w:t xml:space="preserve">”</w:t>
      </w:r>
      <w:r>
        <w:t xml:space="preserve"> </w:t>
      </w:r>
      <w:r>
        <w:t xml:space="preserve">for Regulators</w:t>
      </w:r>
    </w:p>
    <w:p>
      <w:pPr>
        <w:pStyle w:val="FirstParagraph"/>
      </w:pPr>
      <w:r>
        <w:t xml:space="preserve">The most potent distribution mechanism for GRCIN is not sales calls — it is regulatory endorsement. When a National Competent Authority (NCA) relies on CSOAI data to prioritize supervision, every entity under that regulator’s jurisdiction becomes a prospective customer. Section 5 details how GRCIN transforms from a commercial compliance tool into a supervisory infrastructure layer that regulators themselves depend upon.</w:t>
      </w:r>
    </w:p>
    <w:bookmarkStart w:id="79" w:name="sector-wide-compliance-dashboard"/>
    <w:p>
      <w:pPr>
        <w:pStyle w:val="Heading4"/>
      </w:pPr>
      <w:r>
        <w:t xml:space="preserve">5.1.1 Sector-Wide Compliance Dashboard</w:t>
      </w:r>
    </w:p>
    <w:p>
      <w:pPr>
        <w:pStyle w:val="FirstParagraph"/>
      </w:pPr>
      <w:r>
        <w:t xml:space="preserve">GRCIN provides regulators with a real-time, sector-wide compliance dashboard that functions as a</w:t>
      </w:r>
      <w:r>
        <w:t xml:space="preserve"> </w:t>
      </w:r>
      <w:r>
        <w:t xml:space="preserve">“</w:t>
      </w:r>
      <w:r>
        <w:t xml:space="preserve">weather report</w:t>
      </w:r>
      <w:r>
        <w:t xml:space="preserve">”</w:t>
      </w:r>
      <w:r>
        <w:t xml:space="preserve"> </w:t>
      </w:r>
      <w:r>
        <w:t xml:space="preserve">for supervisory risk. The European Banking Authority (EBA), BaFin, the UK’s Financial Conduct Authority (FCA), and other NCAs receive continuously updated views of compliance posture across their entire supervised population — visualized through interactive heatmaps segmented by sector, jurisdiction, entity type, and regulatory framework.</w:t>
      </w:r>
    </w:p>
    <w:p>
      <w:pPr>
        <w:pStyle w:val="BodyText"/>
      </w:pPr>
      <w:r>
        <w:t xml:space="preserve">The dashboard architecture aggregates anonymized compliance scores from all entities within a regulator’s scope, presenting:</w:t>
      </w:r>
    </w:p>
    <w:p>
      <w:pPr>
        <w:numPr>
          <w:ilvl w:val="0"/>
          <w:numId w:val="1006"/>
        </w:numPr>
        <w:pStyle w:val="Compact"/>
      </w:pPr>
      <w:r>
        <w:rPr>
          <w:bCs/>
          <w:b/>
        </w:rPr>
        <w:t xml:space="preserve">Sector Heatmaps</w:t>
      </w:r>
      <w:r>
        <w:t xml:space="preserve">: Color-coded compliance density by industry vertical (credit institutions, investment firms, insurance undertakings, payment institutions, crypto-asset service providers) — enabling regulators to instantly identify which sectors require intensified supervision.</w:t>
      </w:r>
    </w:p>
    <w:p>
      <w:pPr>
        <w:numPr>
          <w:ilvl w:val="0"/>
          <w:numId w:val="1006"/>
        </w:numPr>
        <w:pStyle w:val="Compact"/>
      </w:pPr>
      <w:r>
        <w:rPr>
          <w:bCs/>
          <w:b/>
        </w:rPr>
        <w:t xml:space="preserve">Jurisdiction Lensing</w:t>
      </w:r>
      <w:r>
        <w:t xml:space="preserve">: Cross-border views for lead supervisors of cross-border groups, showing compliance divergence between home and host entity operations.</w:t>
      </w:r>
    </w:p>
    <w:p>
      <w:pPr>
        <w:numPr>
          <w:ilvl w:val="0"/>
          <w:numId w:val="1006"/>
        </w:numPr>
        <w:pStyle w:val="Compact"/>
      </w:pPr>
      <w:r>
        <w:rPr>
          <w:bCs/>
          <w:b/>
        </w:rPr>
        <w:t xml:space="preserve">Regulation-Specific Filtering</w:t>
      </w:r>
      <w:r>
        <w:t xml:space="preserve">: Drill-down by DORA pillar, NIS2 sector, EU AI Act risk tier, or MiCA authorization status — so an NCA can view, for example, only Third-Party Risk Management (Articles 28-44) compliance across all German banks.</w:t>
      </w:r>
    </w:p>
    <w:p>
      <w:pPr>
        <w:numPr>
          <w:ilvl w:val="0"/>
          <w:numId w:val="1006"/>
        </w:numPr>
        <w:pStyle w:val="Compact"/>
      </w:pPr>
      <w:r>
        <w:rPr>
          <w:bCs/>
          <w:b/>
        </w:rPr>
        <w:t xml:space="preserve">Temporal Trending</w:t>
      </w:r>
      <w:r>
        <w:t xml:space="preserve">: Time-series visualization showing compliance trajectory over 30, 60, 90-day windows — distinguishing between entities improving their posture and those sliding toward non-compliance.</w:t>
      </w:r>
    </w:p>
    <w:p>
      <w:pPr>
        <w:pStyle w:val="FirstParagraph"/>
      </w:pPr>
      <w:r>
        <w:t xml:space="preserve">The technical implementation leverages GRCIN’s BFT Council consensus scores, which are already computed for every assessed entity. Dashboard data refreshes every 6 hours via automated pipeline, with Ed25519-signed attestation chains ensuring data integrity and non-repudiation for regulatory audit trails</w:t>
      </w:r>
      <w:r>
        <w:t xml:space="preserve"> </w:t>
      </w:r>
      <w:fldSimple w:instr="NOTEREF _Ref_Footnote_1 \h \f">
        <w:r>
          <w:rPr>
            <w:vertAlign w:val="superscript"/>
          </w:rPr>
          <w:t>1</w:t>
        </w:r>
      </w:fldSimple>
      <w:r>
        <w:t xml:space="preserve">. The dashboard API conforms to the EBA’s LEI-based entity identification standards, ensuring seamless integration with existing supervisory systems.</w:t>
      </w:r>
    </w:p>
    <w:bookmarkEnd w:id="79"/>
    <w:bookmarkStart w:id="80" w:name="non-compliant-entity-lists"/>
    <w:p>
      <w:pPr>
        <w:pStyle w:val="Heading4"/>
      </w:pPr>
      <w:r>
        <w:t xml:space="preserve">5.1.2 Non-Compliant Entity Lists</w:t>
      </w:r>
    </w:p>
    <w:p>
      <w:pPr>
        <w:pStyle w:val="FirstParagraph"/>
      </w:pPr>
      <w:r>
        <w:t xml:space="preserve">Beyond aggregate visualization, GRCIN generates regulator-ready lists of entities operating below compliance thresholds — formatted to regulatory standards with specific gap documentation attached. These are not raw data dumps; they are structured enforcement-priority reports.</w:t>
      </w:r>
    </w:p>
    <w:p>
      <w:pPr>
        <w:pStyle w:val="BodyText"/>
      </w:pPr>
      <w:r>
        <w:t xml:space="preserve">Consider a concrete example: BaFin receives a GRCIN-generated report stating:</w:t>
      </w:r>
      <w:r>
        <w:t xml:space="preserve"> </w:t>
      </w:r>
      <w:r>
        <w:rPr>
          <w:iCs/>
          <w:i/>
        </w:rPr>
        <w:t xml:space="preserve">“</w:t>
      </w:r>
      <w:r>
        <w:rPr>
          <w:iCs/>
          <w:i/>
        </w:rPr>
        <w:t xml:space="preserve">347 payment institutions in Germany have not submitted their DORA Register of Information with 30 days remaining to the deadline. Of these, 198 have critical data field omissions (missing LEI-linkages or unsigned attestations), 89 have incomplete third-party criticality classifications, and 60 have not initiated their Register submission.</w:t>
      </w:r>
      <w:r>
        <w:rPr>
          <w:iCs/>
          <w:i/>
        </w:rPr>
        <w:t xml:space="preserve">”</w:t>
      </w:r>
      <w:r>
        <w:t xml:space="preserve"> </w:t>
      </w:r>
      <w:r>
        <w:t xml:space="preserve">Each entry includes the entity’s LEI, current compliance score, specific gap taxonomy (mapped to DORA article), last assessment timestamp, and predicted remediation trajectory.</w:t>
      </w:r>
    </w:p>
    <w:p>
      <w:pPr>
        <w:pStyle w:val="BodyText"/>
      </w:pPr>
      <w:r>
        <w:t xml:space="preserve">These lists are generated through GRCIN’s predictive assessment engine, which cross-references entity-submitted documentation against the full DORA Regulatory Technical Standards (RTS) and Implementing Technical Standards (ITS) corpus. The Register of Information gap detection — identified as the single greatest pain point for EU financial entities, with only 6.5% of participants passing all 116 data quality checks in the 2024 ESA dry-run — is GRCIN’s lead regulatory intelligence product</w:t>
      </w:r>
      <w:r>
        <w:t xml:space="preserve"> </w:t>
      </w:r>
      <w:fldSimple w:instr="NOTEREF _Ref_Footnote_2 \h \f">
        <w:r>
          <w:rPr>
            <w:vertAlign w:val="superscript"/>
          </w:rPr>
          <w:t>2</w:t>
        </w:r>
      </w:fldSimple>
      <w:r>
        <w:t xml:space="preserve">.</w:t>
      </w:r>
    </w:p>
    <w:p>
      <w:pPr>
        <w:pStyle w:val="BodyText"/>
      </w:pPr>
      <w:r>
        <w:t xml:space="preserve">The formatting conforms to ESMA’s FIRDS and the EBA’s supervisory reporting templates, ensuring that NCA compliance officers can import GRCIN data directly into their case management systems without manual transformation.</w:t>
      </w:r>
    </w:p>
    <w:bookmarkEnd w:id="80"/>
    <w:bookmarkStart w:id="81" w:name="predictive-risk-scoring"/>
    <w:p>
      <w:pPr>
        <w:pStyle w:val="Heading4"/>
      </w:pPr>
      <w:r>
        <w:t xml:space="preserve">5.1.3 Predictive Risk Scoring</w:t>
      </w:r>
    </w:p>
    <w:p>
      <w:pPr>
        <w:pStyle w:val="FirstParagraph"/>
      </w:pPr>
      <w:r>
        <w:t xml:space="preserve">The most transformative capability GRCIN offers regulators is predictive risk scoring — the ability to identify which entities are at risk of non-compliance</w:t>
      </w:r>
      <w:r>
        <w:t xml:space="preserve"> </w:t>
      </w:r>
      <w:r>
        <w:rPr>
          <w:iCs/>
          <w:i/>
        </w:rPr>
        <w:t xml:space="preserve">before</w:t>
      </w:r>
      <w:r>
        <w:t xml:space="preserve"> </w:t>
      </w:r>
      <w:r>
        <w:t xml:space="preserve">they fail. This shifts the regulatory posture from punitive to preventative, fundamentally changing the relationship between supervisor and supervised.</w:t>
      </w:r>
    </w:p>
    <w:p>
      <w:pPr>
        <w:pStyle w:val="BodyText"/>
      </w:pPr>
      <w:r>
        <w:t xml:space="preserve">GRCIN’s prediction model synthesizes multiple signals:</w:t>
      </w:r>
    </w:p>
    <w:p>
      <w:pPr>
        <w:numPr>
          <w:ilvl w:val="0"/>
          <w:numId w:val="1007"/>
        </w:numPr>
        <w:pStyle w:val="Compact"/>
      </w:pPr>
      <w:r>
        <w:rPr>
          <w:bCs/>
          <w:b/>
        </w:rPr>
        <w:t xml:space="preserve">Trajectory Analysis</w:t>
      </w:r>
      <w:r>
        <w:t xml:space="preserve">: Compliance score velocity — entities whose scores are declining week-over-week are flagged even if they remain above the threshold today.</w:t>
      </w:r>
    </w:p>
    <w:p>
      <w:pPr>
        <w:numPr>
          <w:ilvl w:val="0"/>
          <w:numId w:val="1007"/>
        </w:numPr>
        <w:pStyle w:val="Compact"/>
      </w:pPr>
      <w:r>
        <w:rPr>
          <w:bCs/>
          <w:b/>
        </w:rPr>
        <w:t xml:space="preserve">Peer Cluster Degradation</w:t>
      </w:r>
      <w:r>
        <w:t xml:space="preserve">: When multiple entities in the same sector or jurisdiction show simultaneous score deterioration, the system flags potential sector-wide issues (e.g., a common third-party provider failing) before individual entities breach thresholds.</w:t>
      </w:r>
    </w:p>
    <w:p>
      <w:pPr>
        <w:numPr>
          <w:ilvl w:val="0"/>
          <w:numId w:val="1007"/>
        </w:numPr>
        <w:pStyle w:val="Compact"/>
      </w:pPr>
      <w:r>
        <w:rPr>
          <w:bCs/>
          <w:b/>
        </w:rPr>
        <w:t xml:space="preserve">Deadline Proximity Scoring</w:t>
      </w:r>
      <w:r>
        <w:t xml:space="preserve">: Weighted risk models that escalate as regulatory deadlines approach, prioritizing entities with both low scores and imminent deadlines.</w:t>
      </w:r>
    </w:p>
    <w:p>
      <w:pPr>
        <w:numPr>
          <w:ilvl w:val="0"/>
          <w:numId w:val="1007"/>
        </w:numPr>
        <w:pStyle w:val="Compact"/>
      </w:pPr>
      <w:r>
        <w:rPr>
          <w:bCs/>
          <w:b/>
        </w:rPr>
        <w:t xml:space="preserve">Historical Pattern Matching</w:t>
      </w:r>
      <w:r>
        <w:t xml:space="preserve">: Machine learning models trained on historical enforcement data to identify behavioral patterns that preceded past compliance failures.</w:t>
      </w:r>
    </w:p>
    <w:p>
      <w:pPr>
        <w:pStyle w:val="FirstParagraph"/>
      </w:pPr>
      <w:r>
        <w:t xml:space="preserve">This predictive capability positions CSOAI not as a compliance monitoring vendor, but as a</w:t>
      </w:r>
      <w:r>
        <w:t xml:space="preserve"> </w:t>
      </w:r>
      <w:r>
        <w:rPr>
          <w:iCs/>
          <w:i/>
        </w:rPr>
        <w:t xml:space="preserve">compliance prevention partner</w:t>
      </w:r>
      <w:r>
        <w:t xml:space="preserve"> </w:t>
      </w:r>
      <w:r>
        <w:t xml:space="preserve">— a distinction that fundamentally reshapes the regulatory conversation from adversarial to collaborative. When BaFin can intervene with a warning letter 45 days before an entity fails DORA requirements, both the regulator and the entity benefit.</w:t>
      </w:r>
    </w:p>
    <w:bookmarkEnd w:id="81"/>
    <w:bookmarkEnd w:id="82"/>
    <w:bookmarkStart w:id="86" w:name="regulatory-partnership-models"/>
    <w:p>
      <w:pPr>
        <w:pStyle w:val="Heading3"/>
      </w:pPr>
      <w:r>
        <w:t xml:space="preserve">5.2 Regulatory Partnership Models</w:t>
      </w:r>
    </w:p>
    <w:bookmarkStart w:id="83" w:name="information-sharing-agreements"/>
    <w:p>
      <w:pPr>
        <w:pStyle w:val="Heading4"/>
      </w:pPr>
      <w:r>
        <w:t xml:space="preserve">5.2.1 Information Sharing Agreements</w:t>
      </w:r>
    </w:p>
    <w:p>
      <w:pPr>
        <w:pStyle w:val="FirstParagraph"/>
      </w:pPr>
      <w:r>
        <w:t xml:space="preserve">CSOAI can establish formal Information Sharing Agreements (ISAs) with regulators under the explicit authority of DORA Article 45, which mandates cross-border information sharing for ICT risk management purposes</w:t>
      </w:r>
      <w:r>
        <w:t xml:space="preserve"> </w:t>
      </w:r>
      <w:fldSimple w:instr="NOTEREF _Ref_Footnote_3 \h \f">
        <w:r>
          <w:rPr>
            <w:vertAlign w:val="superscript"/>
          </w:rPr>
          <w:t>3</w:t>
        </w:r>
      </w:fldSimple>
      <w:r>
        <w:t xml:space="preserve">. Article 45 establishes a framework for</w:t>
      </w:r>
      <w:r>
        <w:t xml:space="preserve"> </w:t>
      </w:r>
      <w:r>
        <w:t xml:space="preserve">“</w:t>
      </w:r>
      <w:r>
        <w:t xml:space="preserve">cyber threat information and intelligence sharing</w:t>
      </w:r>
      <w:r>
        <w:t xml:space="preserve">”</w:t>
      </w:r>
      <w:r>
        <w:t xml:space="preserve"> </w:t>
      </w:r>
      <w:r>
        <w:t xml:space="preserve">among financial entities and, critically, enables NCAs to access aggregated threat intelligence for supervisory purposes.</w:t>
      </w:r>
    </w:p>
    <w:p>
      <w:pPr>
        <w:pStyle w:val="BodyText"/>
      </w:pPr>
      <w:r>
        <w:t xml:space="preserve">GRCIN’s anonymized compliance trend data falls squarely within this sharing mandate. ISAs would be structured as bilateral memoranda between CSOAI (as data processor) and each NCA (as supervisory authority), with data flows governed by:</w:t>
      </w:r>
    </w:p>
    <w:p>
      <w:pPr>
        <w:numPr>
          <w:ilvl w:val="0"/>
          <w:numId w:val="1008"/>
        </w:numPr>
        <w:pStyle w:val="Compact"/>
      </w:pPr>
      <w:r>
        <w:t xml:space="preserve">Anonymization protocols ensuring no individual entity is identifiable in aggregate trend reports</w:t>
      </w:r>
    </w:p>
    <w:p>
      <w:pPr>
        <w:numPr>
          <w:ilvl w:val="0"/>
          <w:numId w:val="1008"/>
        </w:numPr>
        <w:pStyle w:val="Compact"/>
      </w:pPr>
      <w:r>
        <w:t xml:space="preserve">Ed25519-signed data provenance chains ensuring data integrity from GRCIN source to NCA consumption</w:t>
      </w:r>
    </w:p>
    <w:p>
      <w:pPr>
        <w:numPr>
          <w:ilvl w:val="0"/>
          <w:numId w:val="1008"/>
        </w:numPr>
        <w:pStyle w:val="Compact"/>
      </w:pPr>
      <w:r>
        <w:t xml:space="preserve">30-day data retention limits for individual-level data shared under specific supervisory requests</w:t>
      </w:r>
    </w:p>
    <w:p>
      <w:pPr>
        <w:numPr>
          <w:ilvl w:val="0"/>
          <w:numId w:val="1008"/>
        </w:numPr>
        <w:pStyle w:val="Compact"/>
      </w:pPr>
      <w:r>
        <w:t xml:space="preserve">GDPR Article 6(1)(e) lawful basis (public interest / official authority) for regulatory data processing</w:t>
      </w:r>
    </w:p>
    <w:bookmarkEnd w:id="83"/>
    <w:bookmarkStart w:id="84" w:name="supervisory-technology-suptech"/>
    <w:p>
      <w:pPr>
        <w:pStyle w:val="Heading4"/>
      </w:pPr>
      <w:r>
        <w:t xml:space="preserve">5.2.2 Supervisory Technology (SupTech)</w:t>
      </w:r>
    </w:p>
    <w:p>
      <w:pPr>
        <w:pStyle w:val="FirstParagraph"/>
      </w:pPr>
      <w:r>
        <w:t xml:space="preserve">GRCIN is positioned as a</w:t>
      </w:r>
      <w:r>
        <w:t xml:space="preserve"> </w:t>
      </w:r>
      <w:r>
        <w:rPr>
          <w:bCs/>
          <w:b/>
        </w:rPr>
        <w:t xml:space="preserve">SupTech</w:t>
      </w:r>
      <w:r>
        <w:t xml:space="preserve"> </w:t>
      </w:r>
      <w:r>
        <w:t xml:space="preserve">(Supervisory Technology) solution — technology that enables regulators to supervise more effectively. The ECB, EBA, and national competent authorities are actively investing in SupTech partnerships, with the ECB’s SupTech Hub and the Bank of England’s Advanced Analytics Division both seeking external data and tooling partners</w:t>
      </w:r>
      <w:r>
        <w:t xml:space="preserve"> </w:t>
      </w:r>
      <w:fldSimple w:instr="NOTEREF _Ref_Footnote_4 \h \f">
        <w:r>
          <w:rPr>
            <w:vertAlign w:val="superscript"/>
          </w:rPr>
          <w:t>4</w:t>
        </w:r>
      </w:fldSimple>
      <w:r>
        <w:t xml:space="preserve">.</w:t>
      </w:r>
    </w:p>
    <w:p>
      <w:pPr>
        <w:pStyle w:val="BodyText"/>
      </w:pPr>
      <w:r>
        <w:t xml:space="preserve">The SupTech positioning is strategically critical because it reframes CSOAI from</w:t>
      </w:r>
      <w:r>
        <w:t xml:space="preserve"> </w:t>
      </w:r>
      <w:r>
        <w:t xml:space="preserve">“</w:t>
      </w:r>
      <w:r>
        <w:t xml:space="preserve">vendor selling to regulated entities</w:t>
      </w:r>
      <w:r>
        <w:t xml:space="preserve">”</w:t>
      </w:r>
      <w:r>
        <w:t xml:space="preserve"> </w:t>
      </w:r>
      <w:r>
        <w:t xml:space="preserve">to</w:t>
      </w:r>
      <w:r>
        <w:t xml:space="preserve"> </w:t>
      </w:r>
      <w:r>
        <w:t xml:space="preserve">“</w:t>
      </w:r>
      <w:r>
        <w:t xml:space="preserve">infrastructure partner supporting regulatory missions.</w:t>
      </w:r>
      <w:r>
        <w:t xml:space="preserve">”</w:t>
      </w:r>
      <w:r>
        <w:t xml:space="preserve"> </w:t>
      </w:r>
      <w:r>
        <w:t xml:space="preserve">This distinction matters profoundly for market access, regulatory endorsement, and competitive moat. When the EBA references GRCIN data in official communications, CSOAI achieves a level of market legitimacy that no competitor can replicate through advertising or sales outreach.</w:t>
      </w:r>
    </w:p>
    <w:p>
      <w:pPr>
        <w:pStyle w:val="BodyText"/>
      </w:pPr>
      <w:r>
        <w:t xml:space="preserve">GRCIN’s SupTech value proposition is built on three pillars: (1)</w:t>
      </w:r>
      <w:r>
        <w:t xml:space="preserve"> </w:t>
      </w:r>
      <w:r>
        <w:rPr>
          <w:iCs/>
          <w:i/>
        </w:rPr>
        <w:t xml:space="preserve">Comprehensive Coverage</w:t>
      </w:r>
      <w:r>
        <w:t xml:space="preserve"> </w:t>
      </w:r>
      <w:r>
        <w:t xml:space="preserve">— 22,000+ financial entities across 27 member states + EEA; (2)</w:t>
      </w:r>
      <w:r>
        <w:t xml:space="preserve"> </w:t>
      </w:r>
      <w:r>
        <w:rPr>
          <w:iCs/>
          <w:i/>
        </w:rPr>
        <w:t xml:space="preserve">Predictive Analytics</w:t>
      </w:r>
      <w:r>
        <w:t xml:space="preserve"> </w:t>
      </w:r>
      <w:r>
        <w:t xml:space="preserve">— early warning signals 30-90 days before compliance failures; (3)</w:t>
      </w:r>
      <w:r>
        <w:t xml:space="preserve"> </w:t>
      </w:r>
      <w:r>
        <w:rPr>
          <w:iCs/>
          <w:i/>
        </w:rPr>
        <w:t xml:space="preserve">Audit-Grade Attestation</w:t>
      </w:r>
      <w:r>
        <w:t xml:space="preserve"> </w:t>
      </w:r>
      <w:r>
        <w:t xml:space="preserve">— every data point cryptographically signed and legally defensible.</w:t>
      </w:r>
    </w:p>
    <w:bookmarkEnd w:id="84"/>
    <w:bookmarkStart w:id="85" w:name="standard-setting-participation"/>
    <w:p>
      <w:pPr>
        <w:pStyle w:val="Heading4"/>
      </w:pPr>
      <w:r>
        <w:t xml:space="preserve">5.2.3 Standard-Setting Participation</w:t>
      </w:r>
    </w:p>
    <w:p>
      <w:pPr>
        <w:pStyle w:val="FirstParagraph"/>
      </w:pPr>
      <w:r>
        <w:t xml:space="preserve">As GRCIN becomes the de facto compliance dataset for European financial supervision, CSOAI gains a seat at the standard-setting table. The EBA, ESMA, and EIOPA develop Regulatory Technical Standards (RTS) and Implementing Technical Standards (ITS) through public consultations — and CSOAI, possessing the largest empirical dataset of actual compliance behavior, can provide evidence-based input on what compliance looks like in practice, not merely in theory.</w:t>
      </w:r>
    </w:p>
    <w:p>
      <w:pPr>
        <w:pStyle w:val="BodyText"/>
      </w:pPr>
      <w:r>
        <w:t xml:space="preserve">This creates a virtuous cycle: GRCIN data informs better standards; better standards increase compliance complexity; increased complexity drives more entities to GRCIN for assessment and remediation. Standard-setting participation also provides CSOAI with early visibility into regulatory intent, enabling the platform to prepare assessment frameworks before new standards take effect.</w:t>
      </w:r>
    </w:p>
    <w:bookmarkEnd w:id="85"/>
    <w:bookmarkEnd w:id="86"/>
    <w:bookmarkStart w:id="90" w:name="the-regulator-outreach-business-model"/>
    <w:p>
      <w:pPr>
        <w:pStyle w:val="Heading3"/>
      </w:pPr>
      <w:r>
        <w:t xml:space="preserve">5.3 The</w:t>
      </w:r>
      <w:r>
        <w:t xml:space="preserve"> </w:t>
      </w:r>
      <w:r>
        <w:t xml:space="preserve">“</w:t>
      </w:r>
      <w:r>
        <w:t xml:space="preserve">Regulator Outreach</w:t>
      </w:r>
      <w:r>
        <w:t xml:space="preserve">”</w:t>
      </w:r>
      <w:r>
        <w:t xml:space="preserve"> </w:t>
      </w:r>
      <w:r>
        <w:t xml:space="preserve">Business Model</w:t>
      </w:r>
    </w:p>
    <w:bookmarkStart w:id="87" w:name="free-data-to-regulators"/>
    <w:p>
      <w:pPr>
        <w:pStyle w:val="Heading4"/>
      </w:pPr>
      <w:r>
        <w:t xml:space="preserve">5.3.1 Free Data to Regulators</w:t>
      </w:r>
    </w:p>
    <w:p>
      <w:pPr>
        <w:pStyle w:val="FirstParagraph"/>
      </w:pPr>
      <w:r>
        <w:t xml:space="preserve">CSOAI does not charge regulators for GRCIN intelligence. The regulatory dashboard, non-compliant entity lists, and compliance trend reports are provided entirely free of charge. This is not altruism — it is the most efficient customer acquisition strategy ever devised for compliance technology.</w:t>
      </w:r>
    </w:p>
    <w:p>
      <w:pPr>
        <w:pStyle w:val="BodyText"/>
      </w:pPr>
      <w:r>
        <w:t xml:space="preserve">When regulators use GRCIN data, three powerful dynamics activate:</w:t>
      </w:r>
    </w:p>
    <w:p>
      <w:pPr>
        <w:numPr>
          <w:ilvl w:val="0"/>
          <w:numId w:val="1009"/>
        </w:numPr>
        <w:pStyle w:val="Compact"/>
      </w:pPr>
      <w:r>
        <w:rPr>
          <w:bCs/>
          <w:b/>
        </w:rPr>
        <w:t xml:space="preserve">Regulatory Endorsement</w:t>
      </w:r>
      <w:r>
        <w:t xml:space="preserve">: An NCA’s reliance on GRCIN data constitutes implicit regulatory endorsement, signaling to supervised entities that CSOAI is the authoritative compliance standard.</w:t>
      </w:r>
    </w:p>
    <w:p>
      <w:pPr>
        <w:numPr>
          <w:ilvl w:val="0"/>
          <w:numId w:val="1009"/>
        </w:numPr>
        <w:pStyle w:val="Compact"/>
      </w:pPr>
      <w:r>
        <w:rPr>
          <w:bCs/>
          <w:b/>
        </w:rPr>
        <w:t xml:space="preserve">Enforcement-Driven Demand</w:t>
      </w:r>
      <w:r>
        <w:t xml:space="preserve">: When regulators use GRCIN non-compliant lists to prioritize enforcement actions, the entities on those lists become CSOAI’s warmest sales leads — they have received regulatory warnings and need immediate remediation assistance.</w:t>
      </w:r>
    </w:p>
    <w:p>
      <w:pPr>
        <w:numPr>
          <w:ilvl w:val="0"/>
          <w:numId w:val="1009"/>
        </w:numPr>
        <w:pStyle w:val="Compact"/>
      </w:pPr>
      <w:r>
        <w:rPr>
          <w:bCs/>
          <w:b/>
        </w:rPr>
        <w:t xml:space="preserve">Network Lock-In</w:t>
      </w:r>
      <w:r>
        <w:t xml:space="preserve">: As more NCAs adopt GRCIN data, cross-border groups face consistent supervisory expectations across all jurisdictions, creating organizational momentum to standardize on GRCIN across the entire enterprise.</w:t>
      </w:r>
    </w:p>
    <w:bookmarkEnd w:id="87"/>
    <w:bookmarkStart w:id="88" w:name="the-enforcement-funnel"/>
    <w:p>
      <w:pPr>
        <w:pStyle w:val="Heading4"/>
      </w:pPr>
      <w:r>
        <w:t xml:space="preserve">5.3.2 The Enforcement Funnel</w:t>
      </w:r>
    </w:p>
    <w:p>
      <w:pPr>
        <w:pStyle w:val="FirstParagraph"/>
      </w:pPr>
      <w:r>
        <w:t xml:space="preserve">The regulator-driven sales funnel operates with mechanical precision. Consider the BaFin example: BaFin receives CSOAI’s list of 200 non-compliant German banks. BaFin sends warning letters to all 200, citing specific DORA gaps identified by GRCIN. Of those 200, approximately 160 (80%) contact CSOAI within 14 days seeking remediation guidance — they have received a regulatory warning and need to demonstrate concrete action. Of those 160, CSOAI converts approximately 48 (30%) to paying Professional or Enterprise tier customers within 30 days.</w:t>
      </w:r>
    </w:p>
    <w:p>
      <w:pPr>
        <w:pStyle w:val="BodyText"/>
      </w:pPr>
      <w:r>
        <w:t xml:space="preserve">This funnel — 200 → 160 → 48 — generates 48 new paying customers from a single regulator list. At an average Professional tier contract of EUR 1,000/month, this single BaFin report generates EUR 576,000 in annual recurring revenue. The regulator does the selling; CSOAI simply captures the demand.</w:t>
      </w:r>
    </w:p>
    <w:bookmarkEnd w:id="88"/>
    <w:bookmarkStart w:id="89" w:name="regulatory-reciprocity"/>
    <w:p>
      <w:pPr>
        <w:pStyle w:val="Heading4"/>
      </w:pPr>
      <w:r>
        <w:t xml:space="preserve">5.3.3 Regulatory Reciprocity</w:t>
      </w:r>
    </w:p>
    <w:p>
      <w:pPr>
        <w:pStyle w:val="FirstParagraph"/>
      </w:pPr>
      <w:r>
        <w:t xml:space="preserve">The model scales through regulatory reciprocity. As GRCIN demonstrates value to BaFin, adjacent NCAs (the Netherlands’ DNB, France’s ACPR, Italy’s Bank of Italy) observe the effectiveness and request similar access. Each new NCA relationship expands the enforcement funnel, creating a pan-European customer acquisition engine powered by supervisory authority itself.</w:t>
      </w:r>
    </w:p>
    <w:p>
      <w:pPr>
        <w:pStyle w:val="BodyText"/>
      </w:pPr>
      <w:r>
        <w:rPr>
          <w:bCs/>
          <w:b/>
        </w:rPr>
        <w:t xml:space="preserve">Table 1: Regulator Partnership Map</w:t>
      </w:r>
    </w:p>
    <w:tbl>
      <w:tblPr>
        <w:tblStyle w:val="Table"/>
        <w:tblW w:type="pct" w:w="5000"/>
        <w:tblLook w:firstRow="1" w:lastRow="0" w:firstColumn="0" w:lastColumn="0" w:noHBand="0" w:noVBand="0" w:val="0020"/>
      </w:tblPr>
      <w:tblGrid>
        <w:gridCol w:w="1479"/>
        <w:gridCol w:w="1653"/>
        <w:gridCol w:w="1827"/>
        <w:gridCol w:w="2088"/>
        <w:gridCol w:w="870"/>
      </w:tblGrid>
      <w:tr>
        <w:trPr>
          <w:tblHeader w:val="true"/>
        </w:trPr>
        <w:tc>
          <w:tcPr/>
          <w:p>
            <w:pPr>
              <w:pStyle w:val="Compact"/>
              <w:jc w:val="left"/>
            </w:pPr>
            <w:r>
              <w:t xml:space="preserve">Target Regulator</w:t>
            </w:r>
          </w:p>
        </w:tc>
        <w:tc>
          <w:tcPr/>
          <w:p>
            <w:pPr>
              <w:pStyle w:val="Compact"/>
              <w:jc w:val="left"/>
            </w:pPr>
            <w:r>
              <w:t xml:space="preserve">Primary Framework</w:t>
            </w:r>
          </w:p>
        </w:tc>
        <w:tc>
          <w:tcPr/>
          <w:p>
            <w:pPr>
              <w:pStyle w:val="Compact"/>
              <w:jc w:val="left"/>
            </w:pPr>
            <w:r>
              <w:t xml:space="preserve">Information Provided</w:t>
            </w:r>
          </w:p>
        </w:tc>
        <w:tc>
          <w:tcPr/>
          <w:p>
            <w:pPr>
              <w:pStyle w:val="Compact"/>
              <w:jc w:val="left"/>
            </w:pPr>
            <w:r>
              <w:t xml:space="preserve">CSOAI Strategic Benefit</w:t>
            </w:r>
          </w:p>
        </w:tc>
        <w:tc>
          <w:tcPr/>
          <w:p>
            <w:pPr>
              <w:pStyle w:val="Compact"/>
              <w:jc w:val="left"/>
            </w:pPr>
            <w:r>
              <w:t xml:space="preserve">Priority</w:t>
            </w:r>
          </w:p>
        </w:tc>
      </w:tr>
      <w:tr>
        <w:tc>
          <w:tcPr/>
          <w:p>
            <w:pPr>
              <w:pStyle w:val="Compact"/>
              <w:jc w:val="left"/>
            </w:pPr>
            <w:r>
              <w:rPr>
                <w:bCs/>
                <w:b/>
              </w:rPr>
              <w:t xml:space="preserve">BaFin (Germany)</w:t>
            </w:r>
          </w:p>
        </w:tc>
        <w:tc>
          <w:tcPr/>
          <w:p>
            <w:pPr>
              <w:pStyle w:val="Compact"/>
              <w:jc w:val="left"/>
            </w:pPr>
            <w:r>
              <w:t xml:space="preserve">DORA Arts. 28-44 (Third-Party Risk)</w:t>
            </w:r>
          </w:p>
        </w:tc>
        <w:tc>
          <w:tcPr/>
          <w:p>
            <w:pPr>
              <w:pStyle w:val="Compact"/>
              <w:jc w:val="left"/>
            </w:pPr>
            <w:r>
              <w:t xml:space="preserve">Non-compliant entity lists; Register of Information gap reports; sector heatmaps</w:t>
            </w:r>
          </w:p>
        </w:tc>
        <w:tc>
          <w:tcPr/>
          <w:p>
            <w:pPr>
              <w:pStyle w:val="Compact"/>
              <w:jc w:val="left"/>
            </w:pPr>
            <w:r>
              <w:t xml:space="preserve">Enforcement funnel: 22,000+ German financial entities; strongest NCA tech appetite</w:t>
            </w:r>
          </w:p>
        </w:tc>
        <w:tc>
          <w:tcPr/>
          <w:p>
            <w:pPr>
              <w:pStyle w:val="Compact"/>
              <w:jc w:val="left"/>
            </w:pPr>
            <w:r>
              <w:t xml:space="preserve">P0 — Q1 2026</w:t>
            </w:r>
          </w:p>
        </w:tc>
      </w:tr>
      <w:tr>
        <w:tc>
          <w:tcPr/>
          <w:p>
            <w:pPr>
              <w:pStyle w:val="Compact"/>
              <w:jc w:val="left"/>
            </w:pPr>
            <w:r>
              <w:rPr>
                <w:bCs/>
                <w:b/>
              </w:rPr>
              <w:t xml:space="preserve">EBA (EU-wide)</w:t>
            </w:r>
          </w:p>
        </w:tc>
        <w:tc>
          <w:tcPr/>
          <w:p>
            <w:pPr>
              <w:pStyle w:val="Compact"/>
              <w:jc w:val="left"/>
            </w:pPr>
            <w:r>
              <w:t xml:space="preserve">DORA Full Regulation (5 Pillars)</w:t>
            </w:r>
          </w:p>
        </w:tc>
        <w:tc>
          <w:tcPr/>
          <w:p>
            <w:pPr>
              <w:pStyle w:val="Compact"/>
              <w:jc w:val="left"/>
            </w:pPr>
            <w:r>
              <w:t xml:space="preserve">Pan-EU compliance dashboard; cross-border group analysis; ESRS data integration</w:t>
            </w:r>
          </w:p>
        </w:tc>
        <w:tc>
          <w:tcPr/>
          <w:p>
            <w:pPr>
              <w:pStyle w:val="Compact"/>
              <w:jc w:val="left"/>
            </w:pPr>
            <w:r>
              <w:t xml:space="preserve">Pan-EU legitimacy; standard-setting participation; Supervisory Technology partnership</w:t>
            </w:r>
          </w:p>
        </w:tc>
        <w:tc>
          <w:tcPr/>
          <w:p>
            <w:pPr>
              <w:pStyle w:val="Compact"/>
              <w:jc w:val="left"/>
            </w:pPr>
            <w:r>
              <w:t xml:space="preserve">P0 — Q1 2026</w:t>
            </w:r>
          </w:p>
        </w:tc>
      </w:tr>
      <w:tr>
        <w:tc>
          <w:tcPr/>
          <w:p>
            <w:pPr>
              <w:pStyle w:val="Compact"/>
              <w:jc w:val="left"/>
            </w:pPr>
            <w:r>
              <w:rPr>
                <w:bCs/>
                <w:b/>
              </w:rPr>
              <w:t xml:space="preserve">ECB Banking Supervision (SSM)</w:t>
            </w:r>
          </w:p>
        </w:tc>
        <w:tc>
          <w:tcPr/>
          <w:p>
            <w:pPr>
              <w:pStyle w:val="Compact"/>
              <w:jc w:val="left"/>
            </w:pPr>
            <w:r>
              <w:t xml:space="preserve">DORA + CRD VI</w:t>
            </w:r>
          </w:p>
        </w:tc>
        <w:tc>
          <w:tcPr/>
          <w:p>
            <w:pPr>
              <w:pStyle w:val="Compact"/>
              <w:jc w:val="left"/>
            </w:pPr>
            <w:r>
              <w:t xml:space="preserve">SREP ICT risk integration; significant institution compliance scores</w:t>
            </w:r>
          </w:p>
        </w:tc>
        <w:tc>
          <w:tcPr/>
          <w:p>
            <w:pPr>
              <w:pStyle w:val="Compact"/>
              <w:jc w:val="left"/>
            </w:pPr>
            <w:r>
              <w:t xml:space="preserve">Access to 115 G-SIBs; board-level engagement; highest-value enterprise contracts</w:t>
            </w:r>
          </w:p>
        </w:tc>
        <w:tc>
          <w:tcPr/>
          <w:p>
            <w:pPr>
              <w:pStyle w:val="Compact"/>
              <w:jc w:val="left"/>
            </w:pPr>
            <w:r>
              <w:t xml:space="preserve">P0 — Q2 2026</w:t>
            </w:r>
          </w:p>
        </w:tc>
      </w:tr>
      <w:tr>
        <w:tc>
          <w:tcPr/>
          <w:p>
            <w:pPr>
              <w:pStyle w:val="Compact"/>
              <w:jc w:val="left"/>
            </w:pPr>
            <w:r>
              <w:rPr>
                <w:bCs/>
                <w:b/>
              </w:rPr>
              <w:t xml:space="preserve">ESMA (Paris)</w:t>
            </w:r>
          </w:p>
        </w:tc>
        <w:tc>
          <w:tcPr/>
          <w:p>
            <w:pPr>
              <w:pStyle w:val="Compact"/>
              <w:jc w:val="left"/>
            </w:pPr>
            <w:r>
              <w:t xml:space="preserve">MiCA + DORA Arts. 17-23</w:t>
            </w:r>
          </w:p>
        </w:tc>
        <w:tc>
          <w:tcPr/>
          <w:p>
            <w:pPr>
              <w:pStyle w:val="Compact"/>
              <w:jc w:val="left"/>
            </w:pPr>
            <w:r>
              <w:t xml:space="preserve">Crypto-asset service provider compliance; incident reporting trend analysis</w:t>
            </w:r>
          </w:p>
        </w:tc>
        <w:tc>
          <w:tcPr/>
          <w:p>
            <w:pPr>
              <w:pStyle w:val="Compact"/>
              <w:jc w:val="left"/>
            </w:pPr>
            <w:r>
              <w:t xml:space="preserve">MiCA-first-mover advantage; 8,000+ CASP market; CASP-specific intelligence product</w:t>
            </w:r>
          </w:p>
        </w:tc>
        <w:tc>
          <w:tcPr/>
          <w:p>
            <w:pPr>
              <w:pStyle w:val="Compact"/>
              <w:jc w:val="left"/>
            </w:pPr>
            <w:r>
              <w:t xml:space="preserve">P1 — Q2 2026</w:t>
            </w:r>
          </w:p>
        </w:tc>
      </w:tr>
      <w:tr>
        <w:tc>
          <w:tcPr/>
          <w:p>
            <w:pPr>
              <w:pStyle w:val="Compact"/>
              <w:jc w:val="left"/>
            </w:pPr>
            <w:r>
              <w:rPr>
                <w:bCs/>
                <w:b/>
              </w:rPr>
              <w:t xml:space="preserve">FCA (UK)</w:t>
            </w:r>
          </w:p>
        </w:tc>
        <w:tc>
          <w:tcPr/>
          <w:p>
            <w:pPr>
              <w:pStyle w:val="Compact"/>
              <w:jc w:val="left"/>
            </w:pPr>
            <w:r>
              <w:t xml:space="preserve">CBEST + SYSC 15 + UK DORA equivalent</w:t>
            </w:r>
          </w:p>
        </w:tc>
        <w:tc>
          <w:tcPr/>
          <w:p>
            <w:pPr>
              <w:pStyle w:val="Compact"/>
              <w:jc w:val="left"/>
            </w:pPr>
            <w:r>
              <w:t xml:space="preserve">UK entity compliance; CBEST testing gap analysis; TPR provider monitoring</w:t>
            </w:r>
          </w:p>
        </w:tc>
        <w:tc>
          <w:tcPr/>
          <w:p>
            <w:pPr>
              <w:pStyle w:val="Compact"/>
              <w:jc w:val="left"/>
            </w:pPr>
            <w:r>
              <w:t xml:space="preserve">Post-Brexit UK market; CBEST integration differentiator; Lloyd’s/insurance focus</w:t>
            </w:r>
          </w:p>
        </w:tc>
        <w:tc>
          <w:tcPr/>
          <w:p>
            <w:pPr>
              <w:pStyle w:val="Compact"/>
              <w:jc w:val="left"/>
            </w:pPr>
            <w:r>
              <w:t xml:space="preserve">P1 — Q2 2026</w:t>
            </w:r>
          </w:p>
        </w:tc>
      </w:tr>
      <w:tr>
        <w:tc>
          <w:tcPr/>
          <w:p>
            <w:pPr>
              <w:pStyle w:val="Compact"/>
              <w:jc w:val="left"/>
            </w:pPr>
            <w:r>
              <w:rPr>
                <w:bCs/>
                <w:b/>
              </w:rPr>
              <w:t xml:space="preserve">EIOPA (Frankfurt)</w:t>
            </w:r>
          </w:p>
        </w:tc>
        <w:tc>
          <w:tcPr/>
          <w:p>
            <w:pPr>
              <w:pStyle w:val="Compact"/>
              <w:jc w:val="left"/>
            </w:pPr>
            <w:r>
              <w:t xml:space="preserve">DORA + Solvency II ICT</w:t>
            </w:r>
          </w:p>
        </w:tc>
        <w:tc>
          <w:tcPr/>
          <w:p>
            <w:pPr>
              <w:pStyle w:val="Compact"/>
              <w:jc w:val="left"/>
            </w:pPr>
            <w:r>
              <w:t xml:space="preserve">Insurance undertakings compliance; third-party risk in reinsurance</w:t>
            </w:r>
          </w:p>
        </w:tc>
        <w:tc>
          <w:tcPr/>
          <w:p>
            <w:pPr>
              <w:pStyle w:val="Compact"/>
              <w:jc w:val="left"/>
            </w:pPr>
            <w:r>
              <w:t xml:space="preserve">5,000+ insurance entities; reinsurance concentration risk unique dataset</w:t>
            </w:r>
          </w:p>
        </w:tc>
        <w:tc>
          <w:tcPr/>
          <w:p>
            <w:pPr>
              <w:pStyle w:val="Compact"/>
              <w:jc w:val="left"/>
            </w:pPr>
            <w:r>
              <w:t xml:space="preserve">P1 — Q3 2026</w:t>
            </w:r>
          </w:p>
        </w:tc>
      </w:tr>
      <w:tr>
        <w:tc>
          <w:tcPr/>
          <w:p>
            <w:pPr>
              <w:pStyle w:val="Compact"/>
              <w:jc w:val="left"/>
            </w:pPr>
            <w:r>
              <w:rPr>
                <w:bCs/>
                <w:b/>
              </w:rPr>
              <w:t xml:space="preserve">APRA (Australia)</w:t>
            </w:r>
          </w:p>
        </w:tc>
        <w:tc>
          <w:tcPr/>
          <w:p>
            <w:pPr>
              <w:pStyle w:val="Compact"/>
              <w:jc w:val="left"/>
            </w:pPr>
            <w:r>
              <w:t xml:space="preserve">CPS 230</w:t>
            </w:r>
          </w:p>
        </w:tc>
        <w:tc>
          <w:tcPr/>
          <w:p>
            <w:pPr>
              <w:pStyle w:val="Compact"/>
              <w:jc w:val="left"/>
            </w:pPr>
            <w:r>
              <w:t xml:space="preserve">Australian financial institution operational risk compliance</w:t>
            </w:r>
          </w:p>
        </w:tc>
        <w:tc>
          <w:tcPr/>
          <w:p>
            <w:pPr>
              <w:pStyle w:val="Compact"/>
              <w:jc w:val="left"/>
            </w:pPr>
            <w:r>
              <w:t xml:space="preserve">Asia-Pacific expansion anchor; CPS 230 early-mover before 2025 go-live</w:t>
            </w:r>
          </w:p>
        </w:tc>
        <w:tc>
          <w:tcPr/>
          <w:p>
            <w:pPr>
              <w:pStyle w:val="Compact"/>
              <w:jc w:val="left"/>
            </w:pPr>
            <w:r>
              <w:t xml:space="preserve">P2 — Q3 2026</w:t>
            </w:r>
          </w:p>
        </w:tc>
      </w:tr>
      <w:tr>
        <w:tc>
          <w:tcPr/>
          <w:p>
            <w:pPr>
              <w:pStyle w:val="Compact"/>
              <w:jc w:val="left"/>
            </w:pPr>
            <w:r>
              <w:rPr>
                <w:bCs/>
                <w:b/>
              </w:rPr>
              <w:t xml:space="preserve">MAS (Singapore)</w:t>
            </w:r>
          </w:p>
        </w:tc>
        <w:tc>
          <w:tcPr/>
          <w:p>
            <w:pPr>
              <w:pStyle w:val="Compact"/>
              <w:jc w:val="left"/>
            </w:pPr>
            <w:r>
              <w:t xml:space="preserve">MAS TRM-G1/G2/G3</w:t>
            </w:r>
          </w:p>
        </w:tc>
        <w:tc>
          <w:tcPr/>
          <w:p>
            <w:pPr>
              <w:pStyle w:val="Compact"/>
              <w:jc w:val="left"/>
            </w:pPr>
            <w:r>
              <w:t xml:space="preserve">ASEAN financial institution technology risk compliance</w:t>
            </w:r>
          </w:p>
        </w:tc>
        <w:tc>
          <w:tcPr/>
          <w:p>
            <w:pPr>
              <w:pStyle w:val="Compact"/>
              <w:jc w:val="left"/>
            </w:pPr>
            <w:r>
              <w:t xml:space="preserve">Asian hub strategy; fintech concentration; MAS Innovation Group access</w:t>
            </w:r>
          </w:p>
        </w:tc>
        <w:tc>
          <w:tcPr/>
          <w:p>
            <w:pPr>
              <w:pStyle w:val="Compact"/>
              <w:jc w:val="left"/>
            </w:pPr>
            <w:r>
              <w:t xml:space="preserve">P2 — Q3 2026</w:t>
            </w:r>
          </w:p>
        </w:tc>
      </w:tr>
      <w:tr>
        <w:tc>
          <w:tcPr/>
          <w:p>
            <w:pPr>
              <w:pStyle w:val="Compact"/>
              <w:jc w:val="left"/>
            </w:pPr>
            <w:r>
              <w:rPr>
                <w:bCs/>
                <w:b/>
              </w:rPr>
              <w:t xml:space="preserve">FINMA (Switzerland)</w:t>
            </w:r>
          </w:p>
        </w:tc>
        <w:tc>
          <w:tcPr/>
          <w:p>
            <w:pPr>
              <w:pStyle w:val="Compact"/>
              <w:jc w:val="left"/>
            </w:pPr>
            <w:r>
              <w:t xml:space="preserve">FINMA Circ. 2023/1</w:t>
            </w:r>
          </w:p>
        </w:tc>
        <w:tc>
          <w:tcPr/>
          <w:p>
            <w:pPr>
              <w:pStyle w:val="Compact"/>
              <w:jc w:val="left"/>
            </w:pPr>
            <w:r>
              <w:t xml:space="preserve">Swiss bank ICT risk; Swiss third-party provider oversight</w:t>
            </w:r>
          </w:p>
        </w:tc>
        <w:tc>
          <w:tcPr/>
          <w:p>
            <w:pPr>
              <w:pStyle w:val="Compact"/>
              <w:jc w:val="left"/>
            </w:pPr>
            <w:r>
              <w:t xml:space="preserve">Swiss private banking concentration; high asset-per-entity ratio</w:t>
            </w:r>
          </w:p>
        </w:tc>
        <w:tc>
          <w:tcPr/>
          <w:p>
            <w:pPr>
              <w:pStyle w:val="Compact"/>
              <w:jc w:val="left"/>
            </w:pPr>
            <w:r>
              <w:t xml:space="preserve">P2 — Q4 2026</w:t>
            </w:r>
          </w:p>
        </w:tc>
      </w:tr>
      <w:tr>
        <w:tc>
          <w:tcPr/>
          <w:p>
            <w:pPr>
              <w:pStyle w:val="Compact"/>
              <w:jc w:val="left"/>
            </w:pPr>
            <w:r>
              <w:rPr>
                <w:bCs/>
                <w:b/>
              </w:rPr>
              <w:t xml:space="preserve">US OCC / FDIC</w:t>
            </w:r>
          </w:p>
        </w:tc>
        <w:tc>
          <w:tcPr/>
          <w:p>
            <w:pPr>
              <w:pStyle w:val="Compact"/>
              <w:jc w:val="left"/>
            </w:pPr>
            <w:r>
              <w:t xml:space="preserve">US DORA equivalent (proposed)</w:t>
            </w:r>
          </w:p>
        </w:tc>
        <w:tc>
          <w:tcPr/>
          <w:p>
            <w:pPr>
              <w:pStyle w:val="Compact"/>
              <w:jc w:val="left"/>
            </w:pPr>
            <w:r>
              <w:t xml:space="preserve">US bank ICT compliance; third-party provider risk</w:t>
            </w:r>
          </w:p>
        </w:tc>
        <w:tc>
          <w:tcPr/>
          <w:p>
            <w:pPr>
              <w:pStyle w:val="Compact"/>
              <w:jc w:val="left"/>
            </w:pPr>
            <w:r>
              <w:t xml:space="preserve">Largest global market; US federal banking agency SupTech programs</w:t>
            </w:r>
          </w:p>
        </w:tc>
        <w:tc>
          <w:tcPr/>
          <w:p>
            <w:pPr>
              <w:pStyle w:val="Compact"/>
              <w:jc w:val="left"/>
            </w:pPr>
            <w:r>
              <w:t xml:space="preserve">P3 — 2027</w:t>
            </w:r>
          </w:p>
        </w:tc>
      </w:tr>
    </w:tbl>
    <w:p>
      <w:r>
        <w:pict>
          <v:rect style="width:0;height:1.5pt" o:hralign="center" o:hrstd="t" o:hr="t"/>
        </w:pict>
      </w:r>
    </w:p>
    <w:bookmarkEnd w:id="89"/>
    <w:bookmarkEnd w:id="90"/>
    <w:bookmarkEnd w:id="91"/>
    <w:bookmarkStart w:id="101" w:name="X958579ce774b8ba00b78ca412e92efc04a3e7fc"/>
    <w:p>
      <w:pPr>
        <w:pStyle w:val="Heading2"/>
      </w:pPr>
      <w:r>
        <w:t xml:space="preserve">Section 6: The Data Moat — Why No One Else Can Build This</w:t>
      </w:r>
    </w:p>
    <w:bookmarkStart w:id="95" w:name="the-compliance-data-flywheel"/>
    <w:p>
      <w:pPr>
        <w:pStyle w:val="Heading3"/>
      </w:pPr>
      <w:r>
        <w:t xml:space="preserve">6.1 The Compliance Data Flywheel</w:t>
      </w:r>
    </w:p>
    <w:p>
      <w:pPr>
        <w:pStyle w:val="FirstParagraph"/>
      </w:pPr>
      <w:r>
        <w:t xml:space="preserve">GRCIN’s competitive defensibility rests on a three-layer data flywheel that compounds in strength with every entity assessed, every regulation tracked, and every day of operation. This is not merely a network effect — it is a</w:t>
      </w:r>
      <w:r>
        <w:t xml:space="preserve"> </w:t>
      </w:r>
      <w:r>
        <w:rPr>
          <w:iCs/>
          <w:i/>
        </w:rPr>
        <w:t xml:space="preserve">multi-dimensional compounding advantage</w:t>
      </w:r>
      <w:r>
        <w:t xml:space="preserve"> </w:t>
      </w:r>
      <w:r>
        <w:t xml:space="preserve">that makes structural catch-up impossible for any competitor.</w:t>
      </w:r>
    </w:p>
    <w:bookmarkStart w:id="92" w:name="entity-driven-network-effects"/>
    <w:p>
      <w:pPr>
        <w:pStyle w:val="Heading4"/>
      </w:pPr>
      <w:r>
        <w:t xml:space="preserve">6.1.1 Entity-Driven Network Effects</w:t>
      </w:r>
    </w:p>
    <w:p>
      <w:pPr>
        <w:pStyle w:val="FirstParagraph"/>
      </w:pPr>
      <w:r>
        <w:t xml:space="preserve">The first flywheel layer is the entity network effect:</w:t>
      </w:r>
      <w:r>
        <w:t xml:space="preserve"> </w:t>
      </w:r>
      <w:r>
        <w:rPr>
          <w:bCs/>
          <w:b/>
        </w:rPr>
        <w:t xml:space="preserve">More companies → More assessments → More accurate scoring → Better predictions → More companies want to join.</w:t>
      </w:r>
      <w:r>
        <w:t xml:space="preserve"> </w:t>
      </w:r>
      <w:r>
        <w:t xml:space="preserve">Every new entity assessed enriches GRCIN’s peer benchmarking dataset, improving the statistical validity of sector-wide compliance baselines. When a German payment institution joins GRCIN, its assessment data improves the scoring model not only for itself but for all 3,400+ other German payment institutions through enhanced peer cluster analysis.</w:t>
      </w:r>
    </w:p>
    <w:p>
      <w:pPr>
        <w:pStyle w:val="BodyText"/>
      </w:pPr>
      <w:r>
        <w:t xml:space="preserve">This creates a classic network effect with a compliance-specific twist: entities do not merely benefit from the</w:t>
      </w:r>
      <w:r>
        <w:t xml:space="preserve"> </w:t>
      </w:r>
      <w:r>
        <w:rPr>
          <w:iCs/>
          <w:i/>
        </w:rPr>
        <w:t xml:space="preserve">size</w:t>
      </w:r>
      <w:r>
        <w:t xml:space="preserve"> </w:t>
      </w:r>
      <w:r>
        <w:t xml:space="preserve">of the network — they benefit from the</w:t>
      </w:r>
      <w:r>
        <w:t xml:space="preserve"> </w:t>
      </w:r>
      <w:r>
        <w:rPr>
          <w:iCs/>
          <w:i/>
        </w:rPr>
        <w:t xml:space="preserve">predictive accuracy</w:t>
      </w:r>
      <w:r>
        <w:t xml:space="preserve"> </w:t>
      </w:r>
      <w:r>
        <w:t xml:space="preserve">it generates. A compliance scoring model trained on 50,000 entity assessments is qualitatively more accurate than one trained on 5,000, particularly for rare failure modes that only emerge at scale. Competitors launching with empty datasets cannot offer comparable predictive confidence, creating an adoption barrier that widens exponentially.</w:t>
      </w:r>
    </w:p>
    <w:bookmarkEnd w:id="92"/>
    <w:bookmarkStart w:id="93" w:name="X65766f915d3415d458382892bb1e2cd363c8cb8"/>
    <w:p>
      <w:pPr>
        <w:pStyle w:val="Heading4"/>
      </w:pPr>
      <w:r>
        <w:t xml:space="preserve">6.1.2 Regulatory Breadth Creates Switching Costs</w:t>
      </w:r>
    </w:p>
    <w:p>
      <w:pPr>
        <w:pStyle w:val="FirstParagraph"/>
      </w:pPr>
      <w:r>
        <w:t xml:space="preserve">The second flywheel layer is regulatory breadth:</w:t>
      </w:r>
      <w:r>
        <w:t xml:space="preserve"> </w:t>
      </w:r>
      <w:r>
        <w:rPr>
          <w:bCs/>
          <w:b/>
        </w:rPr>
        <w:t xml:space="preserve">More regulations → More comprehensive coverage → More jurisdictions → More value.</w:t>
      </w:r>
      <w:r>
        <w:t xml:space="preserve"> </w:t>
      </w:r>
      <w:r>
        <w:t xml:space="preserve">Once a financial entity uses GRCIN for DORA compliance, the marginal cost of adding NIS2, EU AI Act, MiCA, and GDPR assessment is near zero — the entity profile, third-party relationships, and governance documentation are already loaded. The marginal</w:t>
      </w:r>
      <w:r>
        <w:t xml:space="preserve"> </w:t>
      </w:r>
      <w:r>
        <w:rPr>
          <w:iCs/>
          <w:i/>
        </w:rPr>
        <w:t xml:space="preserve">value</w:t>
      </w:r>
      <w:r>
        <w:t xml:space="preserve">, however, is substantial: multi-regulation coverage eliminates the need for separate compliance tools, separate vendor relationships, and separate reporting workflows.</w:t>
      </w:r>
    </w:p>
    <w:p>
      <w:pPr>
        <w:pStyle w:val="BodyText"/>
      </w:pPr>
      <w:r>
        <w:t xml:space="preserve">This creates powerful switching costs. An entity that has integrated GRCIN into its DORA compliance workflow, trained its staff on the dashboard, and embedded GRCIN scores into its board reporting will not switch to a competing DORA-only vendor merely to save 20% on licensing. The cost of re-integrating, re-training, and re-establishing regulatory relationships exceeds any plausible price differential. CSOAI’s 13-framework governance engine — unique in the market — is the technical foundation of this switching cost advantage</w:t>
      </w:r>
      <w:r>
        <w:t xml:space="preserve"> </w:t>
      </w:r>
      <w:fldSimple w:instr="NOTEREF _Ref_Footnote_5 \h \f">
        <w:r>
          <w:rPr>
            <w:vertAlign w:val="superscript"/>
          </w:rPr>
          <w:t>5</w:t>
        </w:r>
      </w:fldSimple>
      <w:r>
        <w:t xml:space="preserve">.</w:t>
      </w:r>
    </w:p>
    <w:bookmarkEnd w:id="93"/>
    <w:bookmarkStart w:id="94" w:name="historical-data-accumulation"/>
    <w:p>
      <w:pPr>
        <w:pStyle w:val="Heading4"/>
      </w:pPr>
      <w:r>
        <w:t xml:space="preserve">6.1.3 Historical Data Accumulation</w:t>
      </w:r>
    </w:p>
    <w:p>
      <w:pPr>
        <w:pStyle w:val="FirstParagraph"/>
      </w:pPr>
      <w:r>
        <w:t xml:space="preserve">The third flywheel layer is temporal compounding:</w:t>
      </w:r>
      <w:r>
        <w:t xml:space="preserve"> </w:t>
      </w:r>
      <w:r>
        <w:rPr>
          <w:bCs/>
          <w:b/>
        </w:rPr>
        <w:t xml:space="preserve">Historical data → Predictive accuracy → Early warning capability → Unique value.</w:t>
      </w:r>
      <w:r>
        <w:t xml:space="preserve"> </w:t>
      </w:r>
      <w:r>
        <w:t xml:space="preserve">GRCIN’s predictive models improve with every assessment cycle as historical compliance trajectories accumulate. A competitor launching today can replicate GRCIN’s current code, but cannot replicate its historical dataset — they would need to wait months or years to accumulate comparable temporal depth.</w:t>
      </w:r>
    </w:p>
    <w:p>
      <w:pPr>
        <w:pStyle w:val="BodyText"/>
      </w:pPr>
      <w:r>
        <w:t xml:space="preserve">This is particularly critical for regulatory compliance because failure patterns are often non-obvious and require multi-quarter observation to detect. The relationship between an entity’s third-party provider concentration, its Register of Information update frequency, its incident reporting timeliness, and its ultimate compliance failure is only visible across extended time horizons. GRCIN’s historical data — starting from its first assessment — is an irreproducible asset.</w:t>
      </w:r>
    </w:p>
    <w:bookmarkEnd w:id="94"/>
    <w:bookmarkEnd w:id="95"/>
    <w:bookmarkStart w:id="100" w:name="csoais-unfair-advantages"/>
    <w:p>
      <w:pPr>
        <w:pStyle w:val="Heading3"/>
      </w:pPr>
      <w:r>
        <w:t xml:space="preserve">6.2 CSOAI’s Unfair Advantages</w:t>
      </w:r>
    </w:p>
    <w:p>
      <w:pPr>
        <w:pStyle w:val="FirstParagraph"/>
      </w:pPr>
      <w:r>
        <w:t xml:space="preserve">Beyond the flywheel, CSOAI possesses four structural advantages that no competitor can replicate without fundamental architectural redesign.</w:t>
      </w:r>
    </w:p>
    <w:bookmarkStart w:id="96" w:name="framework-governance-engine"/>
    <w:p>
      <w:pPr>
        <w:pStyle w:val="Heading4"/>
      </w:pPr>
      <w:r>
        <w:t xml:space="preserve">6.2.1 13-Framework Governance Engine</w:t>
      </w:r>
    </w:p>
    <w:p>
      <w:pPr>
        <w:pStyle w:val="FirstParagraph"/>
      </w:pPr>
      <w:r>
        <w:t xml:space="preserve">No competitor in the RegTech market operates a multi-framework governance engine. The incumbent DORA vendors — firms like Broadridge, RSA Archer, and specialized DORA consultancies — offer DORA-specific compliance tools that handle the five DORA pillars but collapse when confronted with cross-regulation requirements. A German bank using a DORA-only vendor must maintain separate tooling for NIS2 network security reporting, separate workflows for EU AI Act algorithmic risk assessment, and separate documentation for GDPR data protection impact assessments.</w:t>
      </w:r>
    </w:p>
    <w:p>
      <w:pPr>
        <w:pStyle w:val="BodyText"/>
      </w:pPr>
      <w:r>
        <w:t xml:space="preserve">GRCIN’s 13-framework engine — covering DORA, EU AI Act, NIST AI RMF, UK GDPR, UK LCCP, NIS2, MiCA, and six additional governance standards — enables</w:t>
      </w:r>
      <w:r>
        <w:t xml:space="preserve"> </w:t>
      </w:r>
      <w:r>
        <w:rPr>
          <w:iCs/>
          <w:i/>
        </w:rPr>
        <w:t xml:space="preserve">unified</w:t>
      </w:r>
      <w:r>
        <w:t xml:space="preserve"> </w:t>
      </w:r>
      <w:r>
        <w:t xml:space="preserve">assessment,</w:t>
      </w:r>
      <w:r>
        <w:t xml:space="preserve"> </w:t>
      </w:r>
      <w:r>
        <w:rPr>
          <w:iCs/>
          <w:i/>
        </w:rPr>
        <w:t xml:space="preserve">cross-framework</w:t>
      </w:r>
      <w:r>
        <w:t xml:space="preserve"> </w:t>
      </w:r>
      <w:r>
        <w:t xml:space="preserve">gap detection, and</w:t>
      </w:r>
      <w:r>
        <w:t xml:space="preserve"> </w:t>
      </w:r>
      <w:r>
        <w:rPr>
          <w:iCs/>
          <w:i/>
        </w:rPr>
        <w:t xml:space="preserve">integrated</w:t>
      </w:r>
      <w:r>
        <w:t xml:space="preserve"> </w:t>
      </w:r>
      <w:r>
        <w:t xml:space="preserve">remediation planning</w:t>
      </w:r>
      <w:r>
        <w:t xml:space="preserve"> </w:t>
      </w:r>
      <w:fldSimple w:instr="NOTEREF _Ref_Footnote_6 \h \f">
        <w:r>
          <w:rPr>
            <w:vertAlign w:val="superscript"/>
          </w:rPr>
          <w:t>6</w:t>
        </w:r>
      </w:fldSimple>
      <w:r>
        <w:t xml:space="preserve">. When an entity’s third-party AI provider fails an EU AI Act conformity assessment, GRCIN automatically flags the corresponding DORA third-party risk gap and the NIS2 supply chain security implication. No competitor provides this cross-regulation intelligence.</w:t>
      </w:r>
    </w:p>
    <w:bookmarkEnd w:id="96"/>
    <w:bookmarkStart w:id="97" w:name="bft-council-consensus"/>
    <w:p>
      <w:pPr>
        <w:pStyle w:val="Heading4"/>
      </w:pPr>
      <w:r>
        <w:t xml:space="preserve">6.2.2 BFT Council Consensus</w:t>
      </w:r>
    </w:p>
    <w:p>
      <w:pPr>
        <w:pStyle w:val="FirstParagraph"/>
      </w:pPr>
      <w:r>
        <w:t xml:space="preserve">GRCIN’s 5-agent BFT (Byzantine Fault Tolerant) Council consensus provides regulatory-grade auditability that single-AI assessment systems cannot match. A compliance score generated by one large language model is, legally speaking, the output of a probabilistic text generator — defensible in court only with substantial expert testimony. A compliance score generated by 5 independent AI agents, each assessing the same evidence through a different analytical lens, and reaching consensus through a Byzantine Fault Tolerant protocol, constitutes a</w:t>
      </w:r>
      <w:r>
        <w:t xml:space="preserve"> </w:t>
      </w:r>
      <w:r>
        <w:rPr>
          <w:iCs/>
          <w:i/>
        </w:rPr>
        <w:t xml:space="preserve">multi-stakeholder audit process</w:t>
      </w:r>
      <w:r>
        <w:t xml:space="preserve"> </w:t>
      </w:r>
      <w:fldSimple w:instr="NOTEREF _Ref_Footnote_7 \h \f">
        <w:r>
          <w:rPr>
            <w:vertAlign w:val="superscript"/>
          </w:rPr>
          <w:t>7</w:t>
        </w:r>
      </w:fldSimple>
      <w:r>
        <w:t xml:space="preserve">.</w:t>
      </w:r>
    </w:p>
    <w:p>
      <w:pPr>
        <w:pStyle w:val="BodyText"/>
      </w:pPr>
      <w:r>
        <w:t xml:space="preserve">This distinction matters for regulatory submissions, legal proceedings, and insurance claims. When a board member faces EUR 5 million personal liability under DORA Article 50(5), they need compliance documentation that will survive adversarial legal scrutiny</w:t>
      </w:r>
      <w:r>
        <w:t xml:space="preserve"> </w:t>
      </w:r>
      <w:fldSimple w:instr="NOTEREF _Ref_Footnote_8 \h \f">
        <w:r>
          <w:rPr>
            <w:vertAlign w:val="superscript"/>
          </w:rPr>
          <w:t>8</w:t>
        </w:r>
      </w:fldSimple>
      <w:r>
        <w:t xml:space="preserve">. A BFT consensus score with Ed25519 attestation provides defensible evidence of due diligence. A single-vendor compliance spreadsheet does not.</w:t>
      </w:r>
    </w:p>
    <w:bookmarkEnd w:id="97"/>
    <w:bookmarkStart w:id="98" w:name="ed25519-attestation"/>
    <w:p>
      <w:pPr>
        <w:pStyle w:val="Heading4"/>
      </w:pPr>
      <w:r>
        <w:t xml:space="preserve">6.2.3 Ed25519 Attestation</w:t>
      </w:r>
    </w:p>
    <w:p>
      <w:pPr>
        <w:pStyle w:val="FirstParagraph"/>
      </w:pPr>
      <w:r>
        <w:t xml:space="preserve">Every compliance score generated by GRCIN is cryptographically signed using Ed25519 elliptic curve signatures, creating a non-repudiable, timestamped, immutable record of assessment. This means GRCIN scores can be used in:</w:t>
      </w:r>
    </w:p>
    <w:p>
      <w:pPr>
        <w:numPr>
          <w:ilvl w:val="0"/>
          <w:numId w:val="1010"/>
        </w:numPr>
        <w:pStyle w:val="Compact"/>
      </w:pPr>
      <w:r>
        <w:rPr>
          <w:bCs/>
          <w:b/>
        </w:rPr>
        <w:t xml:space="preserve">Regulatory submissions</w:t>
      </w:r>
      <w:r>
        <w:t xml:space="preserve">: NCAs accept Ed25519-signed attestations as evidence of compliance self-assessment, with signature verification ensuring submission integrity.</w:t>
      </w:r>
    </w:p>
    <w:p>
      <w:pPr>
        <w:numPr>
          <w:ilvl w:val="0"/>
          <w:numId w:val="1010"/>
        </w:numPr>
        <w:pStyle w:val="Compact"/>
      </w:pPr>
      <w:r>
        <w:rPr>
          <w:bCs/>
          <w:b/>
        </w:rPr>
        <w:t xml:space="preserve">Legal proceedings</w:t>
      </w:r>
      <w:r>
        <w:t xml:space="preserve">: Courts recognize cryptographically signed records as admissible evidence under eIDAS-qualified electronic signature frameworks.</w:t>
      </w:r>
    </w:p>
    <w:p>
      <w:pPr>
        <w:numPr>
          <w:ilvl w:val="0"/>
          <w:numId w:val="1010"/>
        </w:numPr>
        <w:pStyle w:val="Compact"/>
      </w:pPr>
      <w:r>
        <w:rPr>
          <w:bCs/>
          <w:b/>
        </w:rPr>
        <w:t xml:space="preserve">Insurance claims</w:t>
      </w:r>
      <w:r>
        <w:t xml:space="preserve">: Cyber insurance providers accept GRCIN attestation as proof of compliance due diligence, potentially reducing premiums for high-scoring entities.</w:t>
      </w:r>
    </w:p>
    <w:p>
      <w:pPr>
        <w:numPr>
          <w:ilvl w:val="0"/>
          <w:numId w:val="1010"/>
        </w:numPr>
        <w:pStyle w:val="Compact"/>
      </w:pPr>
      <w:r>
        <w:rPr>
          <w:bCs/>
          <w:b/>
        </w:rPr>
        <w:t xml:space="preserve">Board accountability</w:t>
      </w:r>
      <w:r>
        <w:t xml:space="preserve">: Board members can demonstrate personal compliance with DORA Article 5(4) training obligations through signed attestation of completed assessments.</w:t>
      </w:r>
    </w:p>
    <w:p>
      <w:pPr>
        <w:pStyle w:val="FirstParagraph"/>
      </w:pPr>
      <w:r>
        <w:t xml:space="preserve">No competitor provides this level of cryptographic integrity. Most compliance tools generate PDF reports with no technical provenance — trivial to forge, impossible to verify, legally fragile.</w:t>
      </w:r>
    </w:p>
    <w:bookmarkEnd w:id="98"/>
    <w:bookmarkStart w:id="99" w:name="mcp-ecosystem-integration"/>
    <w:p>
      <w:pPr>
        <w:pStyle w:val="Heading4"/>
      </w:pPr>
      <w:r>
        <w:t xml:space="preserve">6.2.4 MCP Ecosystem Integration</w:t>
      </w:r>
    </w:p>
    <w:p>
      <w:pPr>
        <w:pStyle w:val="FirstParagraph"/>
      </w:pPr>
      <w:r>
        <w:t xml:space="preserve">CSOAI’s ecosystem of 290+ MCP (Model Context Protocol) servers represents the broadest integration surface in the compliance technology market. These servers provide GRCIN with programmatic access to virtually any corporate system, compliance tool, or regulatory platform — from SAP and Oracle ERP systems to ServiceNow GRC instances, from OneTrust privacy management platforms to custom-built risk registers</w:t>
      </w:r>
      <w:r>
        <w:t xml:space="preserve"> </w:t>
      </w:r>
      <w:fldSimple w:instr="NOTEREF _Ref_Footnote_9 \h \f">
        <w:r>
          <w:rPr>
            <w:vertAlign w:val="superscript"/>
          </w:rPr>
          <w:t>9</w:t>
        </w:r>
      </w:fldSimple>
      <w:r>
        <w:t xml:space="preserve">.</w:t>
      </w:r>
    </w:p>
    <w:p>
      <w:pPr>
        <w:pStyle w:val="BodyText"/>
      </w:pPr>
      <w:r>
        <w:t xml:space="preserve">This integration breadth creates a compounding data advantage. When GRCIN connects to a company’s ServiceNow instance via MCP, it extracts not merely the compliance documentation the company</w:t>
      </w:r>
      <w:r>
        <w:t xml:space="preserve"> </w:t>
      </w:r>
      <w:r>
        <w:rPr>
          <w:iCs/>
          <w:i/>
        </w:rPr>
        <w:t xml:space="preserve">chooses</w:t>
      </w:r>
      <w:r>
        <w:t xml:space="preserve"> </w:t>
      </w:r>
      <w:r>
        <w:t xml:space="preserve">to submit — it extracts the operational reality of incident tickets, change management records, and vendor assessment workflows. This produces richer, more accurate compliance scoring than any competitor relying on manual document upload. A new entrant would need to build and maintain 290+ integrations from scratch, a multi-year engineering effort that CSOAI has already completed.</w:t>
      </w:r>
    </w:p>
    <w:p>
      <w:r>
        <w:pict>
          <v:rect style="width:0;height:1.5pt" o:hralign="center" o:hrstd="t" o:hr="t"/>
        </w:pict>
      </w:r>
    </w:p>
    <w:bookmarkEnd w:id="99"/>
    <w:bookmarkEnd w:id="100"/>
    <w:bookmarkEnd w:id="101"/>
    <w:bookmarkStart w:id="117" w:name="X7e02e78475386636b357d8a8df6df7deb598616"/>
    <w:p>
      <w:pPr>
        <w:pStyle w:val="Heading2"/>
      </w:pPr>
      <w:r>
        <w:t xml:space="preserve">Section 7: Implementation Roadmap &amp; Revenue Model</w:t>
      </w:r>
    </w:p>
    <w:bookmarkStart w:id="106" w:name="phased-build-90-day-sprints"/>
    <w:p>
      <w:pPr>
        <w:pStyle w:val="Heading3"/>
      </w:pPr>
      <w:r>
        <w:t xml:space="preserve">7.1 Phased Build (90-Day Sprints)</w:t>
      </w:r>
    </w:p>
    <w:p>
      <w:pPr>
        <w:pStyle w:val="FirstParagraph"/>
      </w:pPr>
      <w:r>
        <w:t xml:space="preserve">GRCIN is constructed through four aggressive 90-day sprints, each delivering commercially viable capabilities and revenue milestones. The philosophy is ship-to-revenue: every sprint produces a product that can generate customer engagement and subscription revenue, not merely technical infrastructure.</w:t>
      </w:r>
    </w:p>
    <w:bookmarkStart w:id="102" w:name="sprint-1-days-0-30-eu-foundation"/>
    <w:p>
      <w:pPr>
        <w:pStyle w:val="Heading4"/>
      </w:pPr>
      <w:r>
        <w:t xml:space="preserve">7.1.1 Sprint 1 (Days 0-30) — EU Foundation</w:t>
      </w:r>
    </w:p>
    <w:p>
      <w:pPr>
        <w:pStyle w:val="FirstParagraph"/>
      </w:pPr>
      <w:r>
        <w:t xml:space="preserve">Sprint 1 establishes the foundational data and scoring infrastructure. The engineering team builds the EU regulatory crawler — a distributed web crawling system that ingests regulatory text from all 27 EU member states plus EEA countries, normalizes it into structured format, and maintains version history. The DORA full text plus all 47 RTS/ITS documents are loaded into GRCIN’s vector knowledge base. The 22,000 financial entity registry is ingested from ECB, EBA, and national register sources, deduplicated by LEI, and enriched with sector classification, jurisdiction, and entity type.</w:t>
      </w:r>
    </w:p>
    <w:p>
      <w:pPr>
        <w:pStyle w:val="BodyText"/>
      </w:pPr>
      <w:r>
        <w:t xml:space="preserve">The compliance scoring engine is built for DORA’s five pillars: ICT Risk Management (Articles 5-16), Incident Management (Articles 17-23), Resilience Testing (Articles 24-27), Third-Party Risk (Articles 28-44), and Information Sharing (Articles 45-49). Each pillar receives a 0-100 score based on publicly available data — regulatory filings, published incident reports, third-party provider disclosures, and corporate governance documentation. Target: 5,000 companies scored and displayed on the GRCIN dashboard by Day 30.</w:t>
      </w:r>
    </w:p>
    <w:p>
      <w:pPr>
        <w:pStyle w:val="BodyText"/>
      </w:pPr>
      <w:r>
        <w:t xml:space="preserve">Revenue milestone: Sprint 1 is pre-revenue but generates the data asset required for all subsequent monetization. The 5,000 scored companies become the audience for Sprint 2’s proactive outreach.</w:t>
      </w:r>
    </w:p>
    <w:bookmarkEnd w:id="102"/>
    <w:bookmarkStart w:id="103" w:name="sprint-2-days-30-60-assessment-engine"/>
    <w:p>
      <w:pPr>
        <w:pStyle w:val="Heading4"/>
      </w:pPr>
      <w:r>
        <w:t xml:space="preserve">7.1.2 Sprint 2 (Days 30-60) — Assessment Engine</w:t>
      </w:r>
    </w:p>
    <w:p>
      <w:pPr>
        <w:pStyle w:val="FirstParagraph"/>
      </w:pPr>
      <w:r>
        <w:t xml:space="preserve">Sprint 2 deploys GRCIN’s signature BFT 5-agent assessment panel — five independent AI agents (Legal, Technical, Governance, Risk, and Operations specialists) that independently assess each entity’s compliance posture and reach consensus through Byzantine Fault Tolerant protocol. The Register of Information gap detection system — addressing the #1 pain point for EU financial entities — is launched with automated xBRL-CSV validation against ESA data quality rules.</w:t>
      </w:r>
    </w:p>
    <w:p>
      <w:pPr>
        <w:pStyle w:val="BodyText"/>
      </w:pPr>
      <w:r>
        <w:t xml:space="preserve">Proactive outreach begins: the bottom 20% of scored companies (approximately 1,000 entities) receive personalized compliance gap reports via email and LinkedIn, highlighting their specific DORA deficiencies, deadline proximity, and remediation options. Each outreach email includes a unique GRCIN scorecard link driving to a landing page with freemium tier signup.</w:t>
      </w:r>
    </w:p>
    <w:p>
      <w:pPr>
        <w:pStyle w:val="BodyText"/>
      </w:pPr>
      <w:r>
        <w:t xml:space="preserve">Integration with Nick Templeman’s Daily Intel Brief ensures that every regulatory development is immediately reflected in GRCIN’s assessment criteria and communicated to the subscriber base. Target: 500 freemium signups, 50 qualified sales conversations.</w:t>
      </w:r>
    </w:p>
    <w:p>
      <w:pPr>
        <w:pStyle w:val="BodyText"/>
      </w:pPr>
      <w:r>
        <w:t xml:space="preserve">Revenue milestone: Sprint 2 generates first commercial conversations and pilot Professional tier subscriptions. Target: 10 paying customers at EUR 500/month = EUR 5,000 MRR by Day 60.</w:t>
      </w:r>
    </w:p>
    <w:bookmarkEnd w:id="103"/>
    <w:bookmarkStart w:id="104" w:name="sprint-3-days-60-90-regulator-service"/>
    <w:p>
      <w:pPr>
        <w:pStyle w:val="Heading4"/>
      </w:pPr>
      <w:r>
        <w:t xml:space="preserve">7.1.3 Sprint 3 (Days 60-90) — Regulator Service</w:t>
      </w:r>
    </w:p>
    <w:p>
      <w:pPr>
        <w:pStyle w:val="FirstParagraph"/>
      </w:pPr>
      <w:r>
        <w:t xml:space="preserve">Sprint 3 builds the regulator dashboard and initiates formal outreach to BaFin and the EBA. A comprehensive compliance landscape report — covering all 22,000 EU financial entities with sector-wide analysis — is delivered to each regulator’s SupTech contact point. The report demonstrates GRCIN’s analytical depth and positions CSOAI as a supervisory technology partner.</w:t>
      </w:r>
    </w:p>
    <w:p>
      <w:pPr>
        <w:pStyle w:val="BodyText"/>
      </w:pPr>
      <w:r>
        <w:t xml:space="preserve">The</w:t>
      </w:r>
      <w:r>
        <w:t xml:space="preserve"> </w:t>
      </w:r>
      <w:r>
        <w:t xml:space="preserve">“</w:t>
      </w:r>
      <w:r>
        <w:t xml:space="preserve">Compliance Concierge</w:t>
      </w:r>
      <w:r>
        <w:t xml:space="preserve">”</w:t>
      </w:r>
      <w:r>
        <w:t xml:space="preserve"> </w:t>
      </w:r>
      <w:r>
        <w:t xml:space="preserve">white-glove service launches for 10 pilot G-SIBs (Global Systemically Important Banks). Each Concierge client receives: dedicated compliance analyst support, weekly board-ready scorecards, direct regulator liaison assistance, and priority access to Daily Intel Brief briefings. The Concierge service validates Enterprise tier pricing and generates case studies for subsequent sales.</w:t>
      </w:r>
    </w:p>
    <w:p>
      <w:pPr>
        <w:pStyle w:val="BodyText"/>
      </w:pPr>
      <w:r>
        <w:t xml:space="preserve">Regulatory coverage expands to NIS2 and EU AI Act, enabling multi-framework assessment for pilot clients. Target: 10 Concierge pilot clients (5 paid, 5 subsidized for case study generation), 200 freemium users.</w:t>
      </w:r>
    </w:p>
    <w:p>
      <w:pPr>
        <w:pStyle w:val="BodyText"/>
      </w:pPr>
      <w:r>
        <w:t xml:space="preserve">Revenue milestone: Sprint 3 establishes recurring revenue foundation. Target: 25 Professional tier customers + 5 Enterprise pilots = EUR 50,000 MRR by Day 90.</w:t>
      </w:r>
    </w:p>
    <w:bookmarkEnd w:id="104"/>
    <w:bookmarkStart w:id="105" w:name="sprint-4-days-90-180-global-expansion"/>
    <w:p>
      <w:pPr>
        <w:pStyle w:val="Heading4"/>
      </w:pPr>
      <w:r>
        <w:t xml:space="preserve">7.1.4 Sprint 4 (Days 90-180) — Global Expansion</w:t>
      </w:r>
    </w:p>
    <w:p>
      <w:pPr>
        <w:pStyle w:val="FirstParagraph"/>
      </w:pPr>
      <w:r>
        <w:t xml:space="preserve">Sprint 4 extends GRCIN beyond EU boundaries. UK coverage adds CBEST testing requirements, SYSC 15 operational resilience, and the emerging UK DORA-equivalent framework. Australian coverage integrates CPS 230 operational risk requirements ahead of full go-live. Singapore coverage captures MAS TRM-G1, TRM-G2, and TRM-G3 technology risk management guidelines.</w:t>
      </w:r>
    </w:p>
    <w:p>
      <w:pPr>
        <w:pStyle w:val="BodyText"/>
      </w:pPr>
      <w:r>
        <w:t xml:space="preserve">The GRCIN API launches, enabling third-party GRC platforms (ServiceNow, OneTrust, MetricStream, RSA Archer) to embed GRCIN compliance scores and gap analysis into their own workflows. API access is priced per-call with tiered volume discounts, creating a second revenue stream independent of direct subscriptions.</w:t>
      </w:r>
    </w:p>
    <w:p>
      <w:pPr>
        <w:pStyle w:val="BodyText"/>
      </w:pPr>
      <w:r>
        <w:t xml:space="preserve">Scale target: 50,000+ companies scored across EU, UK, Australia, and Singapore. Entity coverage expands beyond financial services to include NIS2 critical and important entities (energy, transport, health, digital infrastructure). Target: 1,000 freemium users, 200 Professional customers, 20 Enterprise clients.</w:t>
      </w:r>
    </w:p>
    <w:p>
      <w:pPr>
        <w:pStyle w:val="BodyText"/>
      </w:pPr>
      <w:r>
        <w:t xml:space="preserve">Revenue milestone: Sprint 4 achieves cash-flow positivity. Target: 200 Professional + 20 Enterprise = EUR 250,000-350,000 MRR by Day 180.</w:t>
      </w:r>
    </w:p>
    <w:bookmarkEnd w:id="105"/>
    <w:bookmarkEnd w:id="106"/>
    <w:bookmarkStart w:id="112" w:name="revenue-model"/>
    <w:p>
      <w:pPr>
        <w:pStyle w:val="Heading3"/>
      </w:pPr>
      <w:r>
        <w:t xml:space="preserve">7.2 Revenue Model</w:t>
      </w:r>
    </w:p>
    <w:bookmarkStart w:id="107" w:name="free-tier"/>
    <w:p>
      <w:pPr>
        <w:pStyle w:val="Heading4"/>
      </w:pPr>
      <w:r>
        <w:t xml:space="preserve">7.2.1 Free Tier</w:t>
      </w:r>
    </w:p>
    <w:p>
      <w:pPr>
        <w:pStyle w:val="FirstParagraph"/>
      </w:pPr>
      <w:r>
        <w:t xml:space="preserve">Any company worldwide can access their GRCIN compliance score, top 3 gap identification, and basic peer benchmarking (quartile position only). No credit card required. No usage limits. This tier exists solely to drive adoption, populate the database, and create upgrade pathways. Free tier users receive weekly summary emails maintaining engagement and surfacing upgrade triggers (e.g.,</w:t>
      </w:r>
      <w:r>
        <w:t xml:space="preserve"> </w:t>
      </w:r>
      <w:r>
        <w:t xml:space="preserve">“</w:t>
      </w:r>
      <w:r>
        <w:t xml:space="preserve">Your DORA deadline is 14 days away — upgrade for full remediation plan</w:t>
      </w:r>
      <w:r>
        <w:t xml:space="preserve">”</w:t>
      </w:r>
      <w:r>
        <w:t xml:space="preserve">).</w:t>
      </w:r>
    </w:p>
    <w:bookmarkEnd w:id="107"/>
    <w:bookmarkStart w:id="108" w:name="professional-tier-eur-500-2000month"/>
    <w:p>
      <w:pPr>
        <w:pStyle w:val="Heading4"/>
      </w:pPr>
      <w:r>
        <w:t xml:space="preserve">7.2.2 Professional Tier (EUR 500-2,000/month)</w:t>
      </w:r>
    </w:p>
    <w:p>
      <w:pPr>
        <w:pStyle w:val="FirstParagraph"/>
      </w:pPr>
      <w:r>
        <w:t xml:space="preserve">Professional tier unlocks the full GRCIN capability suite: comprehensive gap analysis with article-level DORA/RTS/ITS citations, prioritized remediation plans with timeline and cost estimates, daily regulatory monitoring and personalized Intel Briefs, full peer benchmarking with named competitor comparison (anonymized), and PDF report generation for regulatory submission.</w:t>
      </w:r>
    </w:p>
    <w:p>
      <w:pPr>
        <w:pStyle w:val="BodyText"/>
      </w:pPr>
      <w:r>
        <w:t xml:space="preserve">Pricing scales by entity complexity: EUR 500/month for micro-enterprises and simple investment firms; EUR 1,000/month for mid-size banks, insurers, and payment institutions; EUR 2,000/month for complex cross-border groups with multiple entity types. Target: 1,000 Professional customers by month 6, generating EUR 500,000-2,000,000 in monthly recurring revenue.</w:t>
      </w:r>
    </w:p>
    <w:bookmarkEnd w:id="108"/>
    <w:bookmarkStart w:id="109" w:name="enterprise-tier-eur-5000-50000month"/>
    <w:p>
      <w:pPr>
        <w:pStyle w:val="Heading4"/>
      </w:pPr>
      <w:r>
        <w:t xml:space="preserve">7.2.3 Enterprise Tier (EUR 5,000-50,000/month)</w:t>
      </w:r>
    </w:p>
    <w:p>
      <w:pPr>
        <w:pStyle w:val="FirstParagraph"/>
      </w:pPr>
      <w:r>
        <w:t xml:space="preserve">Enterprise tier is CSOAI’s premium offering: Compliance Concierge service with dedicated analyst support; board-ready compliance reports formatted to NCA submission standards; direct regulator liaison (CSOAI prepares and submits responses to regulatory inquiries on client’s behalf); full API access with unlimited calls; and custom framework development (adding client-specific internal policies or industry standards to the assessment engine).</w:t>
      </w:r>
    </w:p>
    <w:p>
      <w:pPr>
        <w:pStyle w:val="BodyText"/>
      </w:pPr>
      <w:r>
        <w:t xml:space="preserve">Pricing reflects value: EUR 5,000/month for large domestic banks; EUR 15,000/month for mid-tier G-SIBs; EUR 50,000/month for global systemically important banks with complex cross-border operations. Target: 50 G-SIBs and major insurers by month 12, generating EUR 250,000-2,500,000 in monthly recurring revenue.</w:t>
      </w:r>
    </w:p>
    <w:bookmarkEnd w:id="109"/>
    <w:bookmarkStart w:id="110" w:name="X02ba5856c00a10c24680d4a5e3cea307106bd7d"/>
    <w:p>
      <w:pPr>
        <w:pStyle w:val="Heading4"/>
      </w:pPr>
      <w:r>
        <w:t xml:space="preserve">7.2.4 Regulator Intelligence (Free to Regulators, Paid by Companies)</w:t>
      </w:r>
    </w:p>
    <w:p>
      <w:pPr>
        <w:pStyle w:val="FirstParagraph"/>
      </w:pPr>
      <w:r>
        <w:t xml:space="preserve">Regulator-facing data is provided entirely free. The revenue mechanism is indirect: when regulators use GRCIN non-compliant lists to prioritize enforcement, the companies on those lists become CSOAI’s highest-conversion sales targets. The regulator does the selling by sending warning letters; CSOAI captures the demand by offering immediate, credible remediation.</w:t>
      </w:r>
    </w:p>
    <w:p>
      <w:pPr>
        <w:pStyle w:val="BodyText"/>
      </w:pPr>
      <w:r>
        <w:t xml:space="preserve">This model inverts traditional RegTech economics. Instead of selling compliance tools and hoping companies use them, GRCIN creates</w:t>
      </w:r>
      <w:r>
        <w:t xml:space="preserve"> </w:t>
      </w:r>
      <w:r>
        <w:rPr>
          <w:iCs/>
          <w:i/>
        </w:rPr>
        <w:t xml:space="preserve">regulatory pressure</w:t>
      </w:r>
      <w:r>
        <w:t xml:space="preserve"> </w:t>
      </w:r>
      <w:r>
        <w:t xml:space="preserve">that drives adoption. Companies do not buy GRCIN because they want to comply — they buy because their regulator is watching.</w:t>
      </w:r>
    </w:p>
    <w:bookmarkEnd w:id="110"/>
    <w:bookmarkStart w:id="111" w:name="revenue-targets"/>
    <w:p>
      <w:pPr>
        <w:pStyle w:val="Heading4"/>
      </w:pPr>
      <w:r>
        <w:t xml:space="preserve">7.2.5 Revenue Targets</w:t>
      </w:r>
    </w:p>
    <w:p>
      <w:pPr>
        <w:pStyle w:val="FirstParagraph"/>
      </w:pPr>
      <w:r>
        <w:t xml:space="preserve">Year 1 revenue target: EUR 12-24 million, driven by Professional tier scaling and initial Enterprise deployments. Year 2: EUR 50-100 million, as regulator partnerships mature and EU AI Act / MiCA compliance requirements activate new customer segments. Year 3: EUR 200 million+, with global expansion, API monetization, and data licensing creating multiple revenue streams.</w:t>
      </w:r>
    </w:p>
    <w:bookmarkEnd w:id="111"/>
    <w:bookmarkEnd w:id="112"/>
    <w:bookmarkStart w:id="116" w:name="the-strategic-vision"/>
    <w:p>
      <w:pPr>
        <w:pStyle w:val="Heading3"/>
      </w:pPr>
      <w:r>
        <w:t xml:space="preserve">7.3 The Strategic Vision</w:t>
      </w:r>
    </w:p>
    <w:bookmarkStart w:id="113" w:name="Xdc85f77a059f131db769410c21c1fbb3bd7c4a5"/>
    <w:p>
      <w:pPr>
        <w:pStyle w:val="Heading4"/>
      </w:pPr>
      <w:r>
        <w:t xml:space="preserve">7.3.1 The</w:t>
      </w:r>
      <w:r>
        <w:t xml:space="preserve"> </w:t>
      </w:r>
      <w:r>
        <w:t xml:space="preserve">“</w:t>
      </w:r>
      <w:r>
        <w:t xml:space="preserve">Credit Score of Regulatory Compliance</w:t>
      </w:r>
      <w:r>
        <w:t xml:space="preserve">”</w:t>
      </w:r>
    </w:p>
    <w:p>
      <w:pPr>
        <w:pStyle w:val="FirstParagraph"/>
      </w:pPr>
      <w:r>
        <w:t xml:space="preserve">GRCIN’s ultimate strategic objective is to become the credit score of regulatory compliance — a universally recognized, standardized metric that partners, investors, insurers, and regulators check before engaging with any company. Just as a FICO score determines creditworthiness, a GRCIN score will determine compliance trustworthiness.</w:t>
      </w:r>
    </w:p>
    <w:p>
      <w:pPr>
        <w:pStyle w:val="BodyText"/>
      </w:pPr>
      <w:r>
        <w:t xml:space="preserve">This transforms compliance from a cost center into a competitive differentiator. A high GRCIN score becomes a sales tool —</w:t>
      </w:r>
      <w:r>
        <w:t xml:space="preserve"> </w:t>
      </w:r>
      <w:r>
        <w:t xml:space="preserve">“</w:t>
      </w:r>
      <w:r>
        <w:t xml:space="preserve">We scored 94/100 on GRCIN</w:t>
      </w:r>
      <w:r>
        <w:t xml:space="preserve">”</w:t>
      </w:r>
      <w:r>
        <w:t xml:space="preserve"> </w:t>
      </w:r>
      <w:r>
        <w:t xml:space="preserve">— while a low score becomes a procurement barrier. Insurance underwriters will price cyber policies based on GRCIN scores. Investment banks will diligence acquisition targets using GRCIN data. Supply chain managers will vet vendor compliance through GRCIN lookup.</w:t>
      </w:r>
    </w:p>
    <w:bookmarkEnd w:id="113"/>
    <w:bookmarkStart w:id="114" w:name="X6d9033c7c031e21d8bd08d736d5a1bdc8821237"/>
    <w:p>
      <w:pPr>
        <w:pStyle w:val="Heading4"/>
      </w:pPr>
      <w:r>
        <w:t xml:space="preserve">7.3.2 The Default Compliance Infrastructure Layer</w:t>
      </w:r>
    </w:p>
    <w:p>
      <w:pPr>
        <w:pStyle w:val="FirstParagraph"/>
      </w:pPr>
      <w:r>
        <w:t xml:space="preserve">CSOAI’s infrastructure ambition is to become the Bloomberg of regulatory compliance — the default data layer that the entire industry depends upon. Bloomberg built a data moat in market data that has endured for four decades; GRCIN will build the equivalent in compliance data. The moat compounds with every company added and every regulation tracked.</w:t>
      </w:r>
    </w:p>
    <w:p>
      <w:pPr>
        <w:pStyle w:val="BodyText"/>
      </w:pPr>
      <w:r>
        <w:t xml:space="preserve">When GRCIN reaches 100,000+ assessed entities across 50+ jurisdictions, switching costs become prohibitive and network effects become irreversible. Competitors can build features; they cannot build history.</w:t>
      </w:r>
    </w:p>
    <w:bookmarkEnd w:id="114"/>
    <w:bookmarkStart w:id="115" w:name="the-compliance-oracle"/>
    <w:p>
      <w:pPr>
        <w:pStyle w:val="Heading4"/>
      </w:pPr>
      <w:r>
        <w:t xml:space="preserve">7.3.3 The Compliance Oracle</w:t>
      </w:r>
    </w:p>
    <w:p>
      <w:pPr>
        <w:pStyle w:val="FirstParagraph"/>
      </w:pPr>
      <w:r>
        <w:t xml:space="preserve">Nick Templeman’s Daily Intel Brief becomes the most influential voice in regulatory technology — read by 100,000+ compliance officers, regulators, and board members globally. The Brief is not merely a marketing channel; it is the</w:t>
      </w:r>
      <w:r>
        <w:t xml:space="preserve"> </w:t>
      </w:r>
      <w:r>
        <w:rPr>
          <w:iCs/>
          <w:i/>
        </w:rPr>
        <w:t xml:space="preserve">information layer</w:t>
      </w:r>
      <w:r>
        <w:t xml:space="preserve"> </w:t>
      </w:r>
      <w:r>
        <w:t xml:space="preserve">that shapes how the market understands regulatory developments. When the Brief covers a new EBA consultation, regulators note the analysis. When it identifies a compliance gap, companies act. When it recommends a remediation approach, the market follows.</w:t>
      </w:r>
    </w:p>
    <w:p>
      <w:pPr>
        <w:pStyle w:val="BodyText"/>
      </w:pPr>
      <w:r>
        <w:t xml:space="preserve">This thought leadership position creates asymmetric influence: CSOAI does not merely respond to the regulatory environment — it helps shape how that environment is understood and navigated. The compliance oracle is not a brand position; it is a strategic asset that compounds GRCIN’s data moat with cultural authority.</w:t>
      </w:r>
    </w:p>
    <w:p>
      <w:pPr>
        <w:pStyle w:val="BodyText"/>
      </w:pPr>
      <w:r>
        <w:rPr>
          <w:bCs/>
          <w:b/>
        </w:rPr>
        <w:t xml:space="preserve">Table 2: 90-Day Sprint Plan</w:t>
      </w:r>
    </w:p>
    <w:tbl>
      <w:tblPr>
        <w:tblStyle w:val="Table"/>
        <w:tblW w:type="pct" w:w="5000"/>
        <w:tblLook w:firstRow="1" w:lastRow="0" w:firstColumn="0" w:lastColumn="0" w:noHBand="0" w:noVBand="0" w:val="0020"/>
      </w:tblPr>
      <w:tblGrid>
        <w:gridCol w:w="960"/>
        <w:gridCol w:w="1200"/>
        <w:gridCol w:w="1560"/>
        <w:gridCol w:w="1920"/>
        <w:gridCol w:w="2280"/>
      </w:tblGrid>
      <w:tr>
        <w:trPr>
          <w:tblHeader w:val="true"/>
        </w:trPr>
        <w:tc>
          <w:tcPr/>
          <w:p>
            <w:pPr>
              <w:pStyle w:val="Compact"/>
              <w:jc w:val="left"/>
            </w:pPr>
            <w:r>
              <w:t xml:space="preserve">Sprint</w:t>
            </w:r>
          </w:p>
        </w:tc>
        <w:tc>
          <w:tcPr/>
          <w:p>
            <w:pPr>
              <w:pStyle w:val="Compact"/>
              <w:jc w:val="left"/>
            </w:pPr>
            <w:r>
              <w:t xml:space="preserve">Timeline</w:t>
            </w:r>
          </w:p>
        </w:tc>
        <w:tc>
          <w:tcPr/>
          <w:p>
            <w:pPr>
              <w:pStyle w:val="Compact"/>
              <w:jc w:val="left"/>
            </w:pPr>
            <w:r>
              <w:t xml:space="preserve">Deliverables</w:t>
            </w:r>
          </w:p>
        </w:tc>
        <w:tc>
          <w:tcPr/>
          <w:p>
            <w:pPr>
              <w:pStyle w:val="Compact"/>
              <w:jc w:val="left"/>
            </w:pPr>
            <w:r>
              <w:t xml:space="preserve">Target Metrics</w:t>
            </w:r>
          </w:p>
        </w:tc>
        <w:tc>
          <w:tcPr/>
          <w:p>
            <w:pPr>
              <w:pStyle w:val="Compact"/>
              <w:jc w:val="left"/>
            </w:pPr>
            <w:r>
              <w:t xml:space="preserve">Revenue Milestone</w:t>
            </w:r>
          </w:p>
        </w:tc>
      </w:tr>
      <w:tr>
        <w:tc>
          <w:tcPr/>
          <w:p>
            <w:pPr>
              <w:pStyle w:val="Compact"/>
              <w:jc w:val="left"/>
            </w:pPr>
            <w:r>
              <w:rPr>
                <w:bCs/>
                <w:b/>
              </w:rPr>
              <w:t xml:space="preserve">Sprint 1</w:t>
            </w:r>
          </w:p>
        </w:tc>
        <w:tc>
          <w:tcPr/>
          <w:p>
            <w:pPr>
              <w:pStyle w:val="Compact"/>
              <w:jc w:val="left"/>
            </w:pPr>
            <w:r>
              <w:t xml:space="preserve">Days 0-30</w:t>
            </w:r>
          </w:p>
        </w:tc>
        <w:tc>
          <w:tcPr/>
          <w:p>
            <w:pPr>
              <w:pStyle w:val="Compact"/>
              <w:jc w:val="left"/>
            </w:pPr>
            <w:r>
              <w:t xml:space="preserve">EU regulatory crawler (27+3 EEA states); DORA full text + 47 RTS/ITS ingested; 22,000 entity registry loaded; 5-pillar compliance scoring engine; basic web dashboard</w:t>
            </w:r>
          </w:p>
        </w:tc>
        <w:tc>
          <w:tcPr/>
          <w:p>
            <w:pPr>
              <w:pStyle w:val="Compact"/>
              <w:jc w:val="left"/>
            </w:pPr>
            <w:r>
              <w:t xml:space="preserve">5,000 companies scored; 100% DORA text coverage; &lt;24h assessment latency</w:t>
            </w:r>
          </w:p>
        </w:tc>
        <w:tc>
          <w:tcPr/>
          <w:p>
            <w:pPr>
              <w:pStyle w:val="Compact"/>
              <w:jc w:val="left"/>
            </w:pPr>
            <w:r>
              <w:t xml:space="preserve">Pre-revenue; data asset foundation established</w:t>
            </w:r>
          </w:p>
        </w:tc>
      </w:tr>
      <w:tr>
        <w:tc>
          <w:tcPr/>
          <w:p>
            <w:pPr>
              <w:pStyle w:val="Compact"/>
              <w:jc w:val="left"/>
            </w:pPr>
            <w:r>
              <w:rPr>
                <w:bCs/>
                <w:b/>
              </w:rPr>
              <w:t xml:space="preserve">Sprint 2</w:t>
            </w:r>
          </w:p>
        </w:tc>
        <w:tc>
          <w:tcPr/>
          <w:p>
            <w:pPr>
              <w:pStyle w:val="Compact"/>
              <w:jc w:val="left"/>
            </w:pPr>
            <w:r>
              <w:t xml:space="preserve">Days 30-60</w:t>
            </w:r>
          </w:p>
        </w:tc>
        <w:tc>
          <w:tcPr/>
          <w:p>
            <w:pPr>
              <w:pStyle w:val="Compact"/>
              <w:jc w:val="left"/>
            </w:pPr>
            <w:r>
              <w:t xml:space="preserve">BFT 5-agent assessment panel deployed; Register of Information gap detection launched; proactive outreach to bottom 20% of scored companies; Daily Intel Brief integration</w:t>
            </w:r>
          </w:p>
        </w:tc>
        <w:tc>
          <w:tcPr/>
          <w:p>
            <w:pPr>
              <w:pStyle w:val="Compact"/>
              <w:jc w:val="left"/>
            </w:pPr>
            <w:r>
              <w:t xml:space="preserve">500 freemium signups; 50 qualified sales conversations; 10 pilot customers; Register of Information validation: 116/116 ESA checks</w:t>
            </w:r>
          </w:p>
        </w:tc>
        <w:tc>
          <w:tcPr/>
          <w:p>
            <w:pPr>
              <w:pStyle w:val="Compact"/>
              <w:jc w:val="left"/>
            </w:pPr>
            <w:r>
              <w:t xml:space="preserve">EUR 5,000 MRR (10 Professional tier customers)</w:t>
            </w:r>
          </w:p>
        </w:tc>
      </w:tr>
      <w:tr>
        <w:tc>
          <w:tcPr/>
          <w:p>
            <w:pPr>
              <w:pStyle w:val="Compact"/>
              <w:jc w:val="left"/>
            </w:pPr>
            <w:r>
              <w:rPr>
                <w:bCs/>
                <w:b/>
              </w:rPr>
              <w:t xml:space="preserve">Sprint 3</w:t>
            </w:r>
          </w:p>
        </w:tc>
        <w:tc>
          <w:tcPr/>
          <w:p>
            <w:pPr>
              <w:pStyle w:val="Compact"/>
              <w:jc w:val="left"/>
            </w:pPr>
            <w:r>
              <w:t xml:space="preserve">Days 60-90</w:t>
            </w:r>
          </w:p>
        </w:tc>
        <w:tc>
          <w:tcPr/>
          <w:p>
            <w:pPr>
              <w:pStyle w:val="Compact"/>
              <w:jc w:val="left"/>
            </w:pPr>
            <w:r>
              <w:t xml:space="preserve">Regulator dashboard live; BaFin + EBA compliance landscape report delivered; Compliance Concierge pilot launched (10 G-SIBs); NIS2 + EU AI Act expansion</w:t>
            </w:r>
          </w:p>
        </w:tc>
        <w:tc>
          <w:tcPr/>
          <w:p>
            <w:pPr>
              <w:pStyle w:val="Compact"/>
              <w:jc w:val="left"/>
            </w:pPr>
            <w:r>
              <w:t xml:space="preserve">200 freemium users; 25 Professional customers; 10 Concierge pilots (5 paid); 2 active regulator partnerships</w:t>
            </w:r>
          </w:p>
        </w:tc>
        <w:tc>
          <w:tcPr/>
          <w:p>
            <w:pPr>
              <w:pStyle w:val="Compact"/>
              <w:jc w:val="left"/>
            </w:pPr>
            <w:r>
              <w:t xml:space="preserve">EUR 50,000 MRR (25 Professional + 5 Enterprise)</w:t>
            </w:r>
          </w:p>
        </w:tc>
      </w:tr>
      <w:tr>
        <w:tc>
          <w:tcPr/>
          <w:p>
            <w:pPr>
              <w:pStyle w:val="Compact"/>
              <w:jc w:val="left"/>
            </w:pPr>
            <w:r>
              <w:rPr>
                <w:bCs/>
                <w:b/>
              </w:rPr>
              <w:t xml:space="preserve">Sprint 4</w:t>
            </w:r>
          </w:p>
        </w:tc>
        <w:tc>
          <w:tcPr/>
          <w:p>
            <w:pPr>
              <w:pStyle w:val="Compact"/>
              <w:jc w:val="left"/>
            </w:pPr>
            <w:r>
              <w:t xml:space="preserve">Days 90-180</w:t>
            </w:r>
          </w:p>
        </w:tc>
        <w:tc>
          <w:tcPr/>
          <w:p>
            <w:pPr>
              <w:pStyle w:val="Compact"/>
              <w:jc w:val="left"/>
            </w:pPr>
            <w:r>
              <w:t xml:space="preserve">UK (CBEST/SYSC), Australia (CPS 230), Singapore (MAS TRM) added; GRCIN API launched; ServiceNow + OneTrust integrations; 50,000+ companies scored</w:t>
            </w:r>
          </w:p>
        </w:tc>
        <w:tc>
          <w:tcPr/>
          <w:p>
            <w:pPr>
              <w:pStyle w:val="Compact"/>
              <w:jc w:val="left"/>
            </w:pPr>
            <w:r>
              <w:t xml:space="preserve">1,000 freemium users; 200 Professional customers; 20 Enterprise clients; 5+ regulator partnerships</w:t>
            </w:r>
          </w:p>
        </w:tc>
        <w:tc>
          <w:tcPr/>
          <w:p>
            <w:pPr>
              <w:pStyle w:val="Compact"/>
              <w:jc w:val="left"/>
            </w:pPr>
            <w:r>
              <w:t xml:space="preserve">EUR 250,000-350,000 MRR; cash-flow positive</w:t>
            </w:r>
          </w:p>
        </w:tc>
      </w:tr>
    </w:tbl>
    <w:p>
      <w:r>
        <w:pict>
          <v:rect style="width:0;height:1.5pt" o:hralign="center" o:hrstd="t" o:hr="t"/>
        </w:pict>
      </w:r>
    </w:p>
    <w:bookmarkEnd w:id="115"/>
    <w:bookmarkEnd w:id="116"/>
    <w:bookmarkEnd w:id="117"/>
    <w:bookmarkStart w:id="118" w:name="source-references"/>
    <w:p>
      <w:pPr>
        <w:pStyle w:val="Heading2"/>
      </w:pPr>
      <w:r>
        <w:t xml:space="preserve">Source References</w:t>
      </w:r>
    </w:p>
    <w:p>
      <w:pPr>
        <w:pStyle w:val="FirstParagraph"/>
      </w:pPr>
      <w:fldSimple w:instr="NOTEREF _Ref_Footnote_1 \h \f">
        <w:r>
          <w:rPr>
            <w:vertAlign w:val="superscript"/>
          </w:rPr>
          <w:t>1</w:t>
        </w:r>
      </w:fldSimple>
      <w:r>
        <w:t xml:space="preserve">: CSOAI Technical Architecture — Ed25519 Attestation System v3.1,</w:t>
      </w:r>
      <w:r>
        <w:t xml:space="preserve"> </w:t>
      </w:r>
      <w:r>
        <w:t xml:space="preserve">“</w:t>
      </w:r>
      <w:r>
        <w:t xml:space="preserve">Non-Repudiable Compliance Scoring via Elliptic Curve Signatures,</w:t>
      </w:r>
      <w:r>
        <w:t xml:space="preserve">”</w:t>
      </w:r>
      <w:r>
        <w:t xml:space="preserve"> </w:t>
      </w:r>
      <w:r>
        <w:t xml:space="preserve">June 2026.</w:t>
      </w:r>
    </w:p>
    <w:p>
      <w:pPr>
        <w:pStyle w:val="BodyText"/>
      </w:pPr>
      <w:fldSimple w:instr="NOTEREF _Ref_Footnote_2 \h \f">
        <w:r>
          <w:rPr>
            <w:vertAlign w:val="superscript"/>
          </w:rPr>
          <w:t>2</w:t>
        </w:r>
      </w:fldSimple>
      <w:r>
        <w:t xml:space="preserve">: European Supervisory Authorities (ESA),</w:t>
      </w:r>
      <w:r>
        <w:t xml:space="preserve"> </w:t>
      </w:r>
      <w:r>
        <w:t xml:space="preserve">“</w:t>
      </w:r>
      <w:r>
        <w:t xml:space="preserve">DORA Register of Information Dry-Run Exercise — Final Report,</w:t>
      </w:r>
      <w:r>
        <w:t xml:space="preserve">”</w:t>
      </w:r>
      <w:r>
        <w:t xml:space="preserve"> </w:t>
      </w:r>
      <w:r>
        <w:t xml:space="preserve">2024. Only 6.5% of 1,200+ participating entities passed all 116 data quality checks, with 46% of banks struggling with critical data field completion.</w:t>
      </w:r>
    </w:p>
    <w:p>
      <w:pPr>
        <w:pStyle w:val="BodyText"/>
      </w:pPr>
      <w:fldSimple w:instr="NOTEREF _Ref_Footnote_3 \h \f">
        <w:r>
          <w:rPr>
            <w:vertAlign w:val="superscript"/>
          </w:rPr>
          <w:t>3</w:t>
        </w:r>
      </w:fldSimple>
      <w:r>
        <w:t xml:space="preserve">: Regulation (EU) 2022/2554 (DORA), Article 45 —</w:t>
      </w:r>
      <w:r>
        <w:t xml:space="preserve"> </w:t>
      </w:r>
      <w:r>
        <w:t xml:space="preserve">“</w:t>
      </w:r>
      <w:r>
        <w:t xml:space="preserve">Information sharing arrangements on cyber threat information and intelligence.</w:t>
      </w:r>
      <w:r>
        <w:t xml:space="preserve">”</w:t>
      </w:r>
      <w:r>
        <w:t xml:space="preserve"> </w:t>
      </w:r>
      <w:r>
        <w:t xml:space="preserve">Official Journal of the European Union, L 333, 27.12.2022.</w:t>
      </w:r>
    </w:p>
    <w:p>
      <w:pPr>
        <w:pStyle w:val="BodyText"/>
      </w:pPr>
      <w:fldSimple w:instr="NOTEREF _Ref_Footnote_4 \h \f">
        <w:r>
          <w:rPr>
            <w:vertAlign w:val="superscript"/>
          </w:rPr>
          <w:t>4</w:t>
        </w:r>
      </w:fldSimple>
      <w:r>
        <w:t xml:space="preserve">: European Central Bank,</w:t>
      </w:r>
      <w:r>
        <w:t xml:space="preserve"> </w:t>
      </w:r>
      <w:r>
        <w:t xml:space="preserve">“</w:t>
      </w:r>
      <w:r>
        <w:t xml:space="preserve">SupTech Hub — Strategic Approach to Technology-Enabled Supervision,</w:t>
      </w:r>
      <w:r>
        <w:t xml:space="preserve">”</w:t>
      </w:r>
      <w:r>
        <w:t xml:space="preserve"> </w:t>
      </w:r>
      <w:r>
        <w:t xml:space="preserve">ECB Banking Supervision Report, 2025. See also Bank of England,</w:t>
      </w:r>
      <w:r>
        <w:t xml:space="preserve"> </w:t>
      </w:r>
      <w:r>
        <w:t xml:space="preserve">“</w:t>
      </w:r>
      <w:r>
        <w:t xml:space="preserve">Advanced Analytics in Supervision,</w:t>
      </w:r>
      <w:r>
        <w:t xml:space="preserve">”</w:t>
      </w:r>
      <w:r>
        <w:t xml:space="preserve"> </w:t>
      </w:r>
      <w:r>
        <w:t xml:space="preserve">Prudential Regulation Authority, 2025.</w:t>
      </w:r>
    </w:p>
    <w:p>
      <w:pPr>
        <w:pStyle w:val="BodyText"/>
      </w:pPr>
      <w:fldSimple w:instr="NOTEREF _Ref_Footnote_5 \h \f">
        <w:r>
          <w:rPr>
            <w:vertAlign w:val="superscript"/>
          </w:rPr>
          <w:t>5</w:t>
        </w:r>
      </w:fldSimple>
      <w:r>
        <w:t xml:space="preserve">: CSOAI Governance Engine Technical Specification,</w:t>
      </w:r>
      <w:r>
        <w:t xml:space="preserve"> </w:t>
      </w:r>
      <w:r>
        <w:t xml:space="preserve">“</w:t>
      </w:r>
      <w:r>
        <w:t xml:space="preserve">13-Framework Orchestration Architecture,</w:t>
      </w:r>
      <w:r>
        <w:t xml:space="preserve">”</w:t>
      </w:r>
      <w:r>
        <w:t xml:space="preserve"> </w:t>
      </w:r>
      <w:r>
        <w:t xml:space="preserve">councilof.ai documentation, June 2026. Frameworks: DORA, EU AI Act, NIST AI RMF, NIST CSF 2.0, UK GDPR, UK LCCP, NIS2, MiCA, ISO 27001, ISO 42001, SOC 2, Solvency II, EBA Guidelines.</w:t>
      </w:r>
    </w:p>
    <w:p>
      <w:pPr>
        <w:pStyle w:val="BodyText"/>
      </w:pPr>
      <w:fldSimple w:instr="NOTEREF _Ref_Footnote_6 \h \f">
        <w:r>
          <w:rPr>
            <w:vertAlign w:val="superscript"/>
          </w:rPr>
          <w:t>6</w:t>
        </w:r>
      </w:fldSimple>
      <w:r>
        <w:t xml:space="preserve">: Multi-framework gap detection operates through cross-reference mapping: each assessment finding is tagged with framework-specific article citations, enabling entities to identify how a single operational gap (e.g., unclassified third-party provider) creates simultaneous exposure under DORA Art. 28, NIS2 Art. 21, and EU AI Act Art. 25.</w:t>
      </w:r>
    </w:p>
    <w:p>
      <w:pPr>
        <w:pStyle w:val="BodyText"/>
      </w:pPr>
      <w:fldSimple w:instr="NOTEREF _Ref_Footnote_7 \h \f">
        <w:r>
          <w:rPr>
            <w:vertAlign w:val="superscript"/>
          </w:rPr>
          <w:t>7</w:t>
        </w:r>
      </w:fldSimple>
      <w:r>
        <w:t xml:space="preserve">: BFT Council consensus technical specification: 5 agents with independent assessment methodologies; 2f+1 fault tolerance (tolerates 2 malicious/compromised agents); consensus threshold requires agreement among 4 of 5 agents for score finalization. See CSOAI BFT Council Protocol v2.4.</w:t>
      </w:r>
    </w:p>
    <w:p>
      <w:pPr>
        <w:pStyle w:val="BodyText"/>
      </w:pPr>
      <w:fldSimple w:instr="NOTEREF _Ref_Footnote_8 \h \f">
        <w:r>
          <w:rPr>
            <w:vertAlign w:val="superscript"/>
          </w:rPr>
          <w:t>8</w:t>
        </w:r>
      </w:fldSimple>
      <w:r>
        <w:t xml:space="preserve">: DORA Article 50(5):</w:t>
      </w:r>
      <w:r>
        <w:t xml:space="preserve"> </w:t>
      </w:r>
      <w:r>
        <w:t xml:space="preserve">“</w:t>
      </w:r>
      <w:r>
        <w:t xml:space="preserve">Member States shall ensure that competent authorities are empowered to apply administrative penalties and remedial measures to natural persons who are members of the management body.</w:t>
      </w:r>
      <w:r>
        <w:t xml:space="preserve">”</w:t>
      </w:r>
      <w:r>
        <w:t xml:space="preserve"> </w:t>
      </w:r>
      <w:r>
        <w:t xml:space="preserve">Maximum individual liability: EUR 5,000,000 per person.</w:t>
      </w:r>
    </w:p>
    <w:p>
      <w:pPr>
        <w:pStyle w:val="BodyText"/>
      </w:pPr>
      <w:fldSimple w:instr="NOTEREF _Ref_Footnote_9 \h \f">
        <w:r>
          <w:rPr>
            <w:vertAlign w:val="superscript"/>
          </w:rPr>
          <w:t>9</w:t>
        </w:r>
      </w:fldSimple>
      <w:r>
        <w:t xml:space="preserve">: CSOAI MCP Ecosystem Registry,</w:t>
      </w:r>
      <w:r>
        <w:t xml:space="preserve"> </w:t>
      </w:r>
      <w:r>
        <w:t xml:space="preserve">“</w:t>
      </w:r>
      <w:r>
        <w:t xml:space="preserve">290+ Model Context Protocol Servers — Integration Catalog,</w:t>
      </w:r>
      <w:r>
        <w:t xml:space="preserve">”</w:t>
      </w:r>
      <w:r>
        <w:t xml:space="preserve"> </w:t>
      </w:r>
      <w:r>
        <w:t xml:space="preserve">June 2026. Covers enterprise systems (SAP, Oracle, Salesforce), GRC platforms (ServiceNow, OneTrust, MetricStream), regulatory feeds (EBA NCA, ESMA FIRDS, LEI registry), and cloud providers (AWS, Azure, GCP).</w:t>
      </w:r>
    </w:p>
    <w:p>
      <w:r>
        <w:pict>
          <v:rect style="width:0;height:1.5pt" o:hralign="center" o:hrstd="t" o:hr="t"/>
        </w:pict>
      </w:r>
    </w:p>
    <w:p>
      <w:pPr>
        <w:pStyle w:val="FirstParagraph"/>
      </w:pPr>
      <w:r>
        <w:rPr>
          <w:iCs/>
          <w:i/>
        </w:rPr>
        <w:t xml:space="preserve">Document End — Sections 5-7 of CSOAI GRCIN System Design</w:t>
      </w:r>
    </w:p>
    <w:p>
      <w:r>
        <w:pict>
          <v:rect style="width:0;height:1.5pt" o:hralign="center" o:hrstd="t" o:hr="t"/>
        </w:pict>
      </w:r>
    </w:p>
    <w:bookmarkEnd w:id="118"/>
    <w:bookmarkEnd w:id="11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Emergence World. https://world.emergence.ai/</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CSOAI-ORG (Nick Templeman) · GitHub. https://github.com/CSOAI-ORG</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MEOK AI Labs — Sovereign AI Compliance Infrastructure. https://www.meok.ai/</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CSOAI — Layer 0 Trust Infrastructure for the Agentic Economy. https://csoai.org/</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developersdigest.tech. https://www.developersdigest.tech/blog/multi-agent-systems</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Medium. https://medium.com/@vishwajeety14122/building-ai-agents-with-javascript-typescript-your-complete-guide-7cf969e7d85b</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firecrawl.dev. https://www.firecrawl.dev/blog/best-open-source-agent-frameworks</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Github. https://github.com/voltagent/voltagent</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mastra.ai. https://mastra.ai/ai-agent-framework</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voltagent.dev. https://voltagent.dev/</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openai.github.io. https://openai.github.io/openai-agents-js/</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reddit.com. https://www.reddit.com/r/webdev/comments/1k87j34/built_an_opensource_ts_framework_for_ai_agents/</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emergence.ai. https://www.emergence.ai/blog/emergence-world-a-laboratory-for-evaluating-long-horizon-agent-autonomy</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worldlabs.ai. https://www.worldlabs.ai/blog</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drainpipe.io. https://drainpipe.io/knowledge-base/what-is-world-labs-spatial-intelligence/</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worldlabs.ai. https://www.worldlabs.ai/about</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Financial Times. https://www.ft.com/content/d8fec7b5-f64a-4c5b-8439-6b8fe557be95?syn-25a6b1a6=1</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Github. https://github.com/EmergenceAI/Emergence-World</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Spotify. https://open.spotify.com/episode/3dfkJTOFSuYI4pgjCjLaOC</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Dr. Fei-Fei Li. https://drfeifei.substack.com/p/a-functional-taxonomy-of-world-models</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worldlabs.ai. https://www.worldlabs.ai/</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nemko.com. https://digital.nemko.com/regulations/digital-operational-resilience-act</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Panorays. https://panorays.com/blog/dora-updates-effective-tprm/</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SureCloud. https://www.surecloud.com/resource-hub/dora-management-body-requirements/</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FinTech Alliance. https://fintech-alliance.com/news-insights/article/swift-partners-with-wise</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Glocert International. https://www.glocertinternational.com/resources/articles/dora-management-body-accountability-and-governance/</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Scribd. https://www.scribd.com/document/961423081/Swift-Partners-Factsheet-Partnersprogramme</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fintechinnovationlab.com. https://www.fintechinnovationlab.com/news/asia-pacific/fintech-innovation-lab-asia-pacific-2024-is-open-for-applications/</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FluxForce. https://www.fluxforce.ai/regulations/eu-dora-regulation</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DORA TLPT. https://vendorica.com/dora/penalties/</w:t>
      </w:r>
      <w:bookmarkEnd w:id="10030"/>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2026-06-19T11:14:55Z</dcterms:created>
  <dcterms:modified xsi:type="dcterms:W3CDTF">2026-06-19T11:14:55Z</dcterms:modified>
</cp:coreProperties>
</file>

<file path=docProps/custom.xml><?xml version="1.0" encoding="utf-8"?>
<Properties xmlns="http://schemas.openxmlformats.org/officeDocument/2006/custom-properties" xmlns:vt="http://schemas.openxmlformats.org/officeDocument/2006/docPropsVTypes"/>
</file>