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color w:val="1B3A5C"/>
          <w:sz w:val="56"/>
          <w:szCs w:val="56"/>
        </w:rPr>
        <w:t xml:space="preserve">CSOAI GROUP</w:t>
      </w:r>
    </w:p>
    <w:p>
      <w:pPr>
        <w:spacing w:after="100"/>
        <w:jc w:val="center"/>
      </w:pPr>
      <w:r>
        <w:rPr>
          <w:rFonts w:ascii="Arial" w:cs="Arial" w:eastAsia="Arial" w:hAnsi="Arial"/>
          <w:b/>
          <w:bCs/>
          <w:color w:val="C49A2A"/>
          <w:sz w:val="44"/>
          <w:szCs w:val="44"/>
        </w:rPr>
        <w:t xml:space="preserve">MASTER ROADMAP 2026–2030</w:t>
      </w:r>
    </w:p>
    <w:p>
      <w:pPr>
        <w:spacing w:after="200"/>
      </w:pPr>
    </w:p>
    <w:p>
      <w:pPr>
        <w:jc w:val="center"/>
      </w:pPr>
      <w:r>
        <w:rPr>
          <w:rFonts w:ascii="Arial" w:cs="Arial" w:eastAsia="Arial" w:hAnsi="Arial"/>
          <w:color w:val="2E4057"/>
          <w:sz w:val="28"/>
          <w:szCs w:val="28"/>
        </w:rPr>
        <w:t xml:space="preserve">From Idiocracy to Prosperity</w:t>
      </w:r>
    </w:p>
    <w:p>
      <w:pPr>
        <w:jc w:val="center"/>
      </w:pPr>
      <w:r>
        <w:rPr>
          <w:rFonts w:ascii="Arial" w:cs="Arial" w:eastAsia="Arial" w:hAnsi="Arial"/>
          <w:color w:val="2E4057"/>
          <w:sz w:val="24"/>
          <w:szCs w:val="24"/>
        </w:rPr>
        <w:t xml:space="preserve">AI Economy Governance Infrastructure</w:t>
      </w:r>
    </w:p>
    <w:p>
      <w:pPr>
        <w:spacing w:after="200"/>
      </w:pPr>
    </w:p>
    <w:p>
      <w:pPr>
        <w:spacing w:after="200"/>
      </w:pPr>
    </w:p>
    <w:p>
      <w:pPr>
        <w:jc w:val="center"/>
      </w:pPr>
      <w:r>
        <w:rPr>
          <w:rFonts w:ascii="Arial" w:cs="Arial" w:eastAsia="Arial" w:hAnsi="Arial"/>
          <w:color w:val="2E4057"/>
          <w:sz w:val="22"/>
          <w:szCs w:val="22"/>
        </w:rPr>
        <w:t xml:space="preserve">Updated February 19, 2026</w:t>
      </w:r>
    </w:p>
    <w:p>
      <w:pPr>
        <w:jc w:val="center"/>
      </w:pPr>
      <w:r>
        <w:rPr>
          <w:rFonts w:ascii="Arial" w:cs="Arial" w:eastAsia="Arial" w:hAnsi="Arial"/>
          <w:b/>
          <w:bCs/>
          <w:color w:val="C49A2A"/>
          <w:sz w:val="24"/>
          <w:szCs w:val="24"/>
        </w:rPr>
        <w:t xml:space="preserve">CONFIDENTIAL</w:t>
      </w:r>
    </w:p>
    <w:p>
      <w:r>
        <w:br w:type="page"/>
      </w:r>
    </w:p>
    <w:p>
      <w:pPr>
        <w:pStyle w:val="Heading1"/>
      </w:pPr>
      <w:r>
        <w:t xml:space="preserve">1. STRATEGIC POSITION</w:t>
      </w:r>
    </w:p>
    <w:p>
      <w:pPr>
        <w:spacing w:after="120"/>
      </w:pPr>
      <w:r>
        <w:t xml:space="preserve">CSOAI has evolved from AI governance to </w:t>
      </w:r>
      <w:r>
        <w:rPr>
          <w:b/>
          <w:bCs/>
        </w:rPr>
        <w:t xml:space="preserve">AI Economy Governance Infrastructure for Prosperity</w:t>
      </w:r>
      <w:r>
        <w:t xml:space="preserve">. The data supports this pivot: WEF projects 92M jobs displaced by 2030. Goldman Sachs estimates 300M jobs at risk globally. IMF warns 40% of global employment is exposed. Anthropic CEO predicts 50% of entry-level white-collar jobs gone within 5 years. In 2025, 245,000 tech jobs were cut; 2026 is on pace for 273,000+.</w:t>
      </w:r>
    </w:p>
    <w:p>
      <w:pPr>
        <w:spacing w:after="200"/>
      </w:pPr>
    </w:p>
    <w:p>
      <w:pPr>
        <w:spacing w:after="120"/>
      </w:pPr>
      <w:r>
        <w:rPr>
          <w:b/>
          <w:bCs/>
        </w:rPr>
        <w:t xml:space="preserve">The institutional signaling is clear: </w:t>
      </w:r>
      <w:r>
        <w:t xml:space="preserve">displacement is being normalized as "inevitable" through WEF/Davos/think tank publications. Companies cluster their layoffs using game theory—nobody first, nobody last. The WEF now ranks societal polarization as the 3rd most severe global risk. This creates the window for governance infrastructure. CSOAI is the only organization that has built it.</w:t>
      </w:r>
    </w:p>
    <w:p>
      <w:r>
        <w:br w:type="page"/>
      </w:r>
    </w:p>
    <w:p>
      <w:pPr>
        <w:pStyle w:val="Heading1"/>
      </w:pPr>
      <w:r>
        <w:t xml:space="preserve">2. GROUP ARCHITECTURE &amp;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Leadership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Ei3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Economy Platform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James Castle (Chairperson), Kathleen Chapman (President &amp; COO)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Terranova CSOAI Corp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Standards &amp; Certification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Nicholas Templeman (President &amp; COO)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CSGA Cyber AI Research Institute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&amp; Innovation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Nicholas Templeman (Director)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Terranova Defense Solutions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Defense Assessment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Chris Golden (President &amp; COO)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CSGA Global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Accreditation Body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James Castle (Chairperson) + 11-member 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CSOAI Foundation (UK 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Charitable Trust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of Trustees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CSOAI Ltd (CIC)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Social Enterprise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Nicholas Templeman (Director)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CSGA Group Holdings (LLP)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Ops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Castle &amp; Nicholas Templeman</w:t>
            </w:r>
          </w:p>
        </w:tc>
      </w:tr>
    </w:tbl>
    <w:p>
      <w:pPr>
        <w:spacing w:after="200"/>
      </w:pPr>
    </w:p>
    <w:p>
      <w:pPr>
        <w:pStyle w:val="Heading2"/>
      </w:pPr>
      <w:r>
        <w:t xml:space="preserve">CSGA Board of Directors (11 Members = Quorum)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Portfolio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James Castle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Chairperson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Canada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Strategy, seal authority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Chris Golden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 (Military)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CA3O strategy, CMMC architect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Kathleen Chapman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Canada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Marketing and sales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Nicholas Templeman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England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Science and innovation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Terry Temple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England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Incident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Saif Khaled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Iraq</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East operations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Eyal Pinko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Israel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Cyber intelligence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Frumi 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 (entrepreneur)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 Daniel Katz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Education (university)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Samir Azizi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&amp; digital currency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Ting Ma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CFO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Canada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Financial operations</w:t>
            </w:r>
          </w:p>
        </w:tc>
      </w:tr>
    </w:tbl>
    <w:p>
      <w:r>
        <w:br w:type="page"/>
      </w:r>
    </w:p>
    <w:p>
      <w:pPr>
        <w:pStyle w:val="Heading1"/>
      </w:pPr>
      <w:r>
        <w:t xml:space="preserve">3. REVENUE STREAMS (Grounded in Market Data)</w:t>
      </w:r>
    </w:p>
    <w:p>
      <w:pPr>
        <w:spacing w:after="120"/>
      </w:pPr>
      <w:r>
        <w:t xml:space="preserve">All projections validated against published institutional reports. AI Governance market: $309M–$1.05B (2025) growing to $1.4B–$7.4B by 2030 (35–51% CAGR). CMMC compliance: $2.1B → $6.7B by 2033. TIC industry: $256.9B globally. Comparables: UL Solutions $2.87B, SGS $7.72B, Bureau Veritas $6.98B.</w:t>
      </w:r>
    </w:p>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6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3 (40 Nations)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5 (120)</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7 (195)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CASA Certifications (L1/L2/L3)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MOOC 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CA3O Assessment Fees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$120M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Economy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 ID Infrastructure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Analytics &amp; Benchmarks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Safety Insurance (Lawrie/Lloyd's)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$11.0B</w:t>
            </w:r>
          </w:p>
        </w:tc>
      </w:tr>
    </w:tbl>
    <w:p>
      <w:r>
        <w:br w:type="page"/>
      </w:r>
    </w:p>
    <w:p>
      <w:pPr>
        <w:pStyle w:val="Heading1"/>
      </w:pPr>
      <w:r>
        <w:t xml:space="preserve">4. COMPETITIVE POSITIONING</w:t>
      </w:r>
    </w:p>
    <w:p>
      <w:pPr>
        <w:spacing w:after="120"/>
      </w:pPr>
      <w:r>
        <w:t xml:space="preserve">Five uncontested strategic gaps that CSOAI fills: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Exists</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CSOAI Provides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 Cyber unified certification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CMMC (cyber only), no AI equivalent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CASA: AI governance certification across 22 sectors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Defense AI governance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DOD AI Principles (guidelines, no enforcement)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CASA-DEF with Terranova CA3O (Level 3 assessments)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Multi-jurisdictional compliance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framework is separate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 crosswalks: ONE cert covers all 40 nations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displacement 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WEF/IMF warn, no one builds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MOOC + CASA + CA3O + token economy = complete pipeline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Constitutional AI legitimacy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Voluntary standards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Council of Europe Convention (binding law, 46+ nations)</w:t>
            </w:r>
          </w:p>
        </w:tc>
      </w:tr>
    </w:tbl>
    <w:p>
      <w:r>
        <w:br w:type="page"/>
      </w:r>
    </w:p>
    <w:p>
      <w:pPr>
        <w:pStyle w:val="Heading1"/>
      </w:pPr>
      <w:r>
        <w:t xml:space="preserve">5. MASTER IMPLEMENTATION TIMELINE</w:t>
      </w:r>
    </w:p>
    <w:p>
      <w:pPr>
        <w:pStyle w:val="Heading2"/>
      </w:pPr>
      <w:r>
        <w:t xml:space="preserve">Phase 1: Foundation (Feb–Jun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6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 1</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Founding Charter Member program launch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Nick / James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BMCC LMS go-live + CASA-CAAP launch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 Dr. Katz</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 10</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DSRB engagement deadline (Kevin Reed)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Kevin Reed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ARIA AI Safety grant deadline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Institute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 26</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Toronto Summit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James / Nick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BMCC Launch Event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Katz</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 10</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DARPA CLARA concept paper deadline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Institute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Toronto AI &amp; Defence Innovation Summit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 Full Board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 30</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Colorado AI Act enforcement begins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52,000+ professionals enrolled across 22 sectors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bl>
    <w:p>
      <w:pPr>
        <w:spacing w:after="200"/>
      </w:pPr>
    </w:p>
    <w:p>
      <w:pPr>
        <w:pStyle w:val="Heading2"/>
      </w:pPr>
      <w:r>
        <w:t xml:space="preserve">Phase 2: Scale (Jul–Dec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6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Q3 2026</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DSRB establishment (target end of 2026)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 member nations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 2026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Tier 1 CA3Os operational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certified assessors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Aug 2026</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EU AI Act high-risk enforcement begins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CASA-EU crosswalk 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benchmark report released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126,000 enrolled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Q4 2026</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moat active (behavioral learning data)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Commercial value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CSOAI Foundation UK CIO registered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Charity operational</w:t>
            </w:r>
          </w:p>
        </w:tc>
      </w:tr>
    </w:tbl>
    <w:p>
      <w:pPr>
        <w:spacing w:after="200"/>
      </w:pPr>
    </w:p>
    <w:p>
      <w:pPr>
        <w:pStyle w:val="Heading2"/>
      </w:pPr>
      <w:r>
        <w:t xml:space="preserve">Phase 3: Dominance (2027–2030)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6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Q1 2027</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 economy pilot (Canada, Estonia, Australia)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$200M–$300M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2027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DSRB live, CASA mandatory for funded projects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2028</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CSOAI in UN frameworks, 120+ nations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$1.5B–$2B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25-40 CA3Os, 200,000+ certified professionals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$2.5B</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2030</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CA3Os, 1M+ certified, full flywheel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$3.3B+</w:t>
            </w:r>
          </w:p>
        </w:tc>
      </w:tr>
    </w:tbl>
    <w:p>
      <w:r>
        <w:br w:type="page"/>
      </w:r>
    </w:p>
    <w:p>
      <w:pPr>
        <w:pStyle w:val="Heading1"/>
      </w:pPr>
      <w:r>
        <w:t xml:space="preserve">6. DAILY INTELLIGENCE OPERATING RHYTHM</w:t>
      </w:r>
    </w:p>
    <w:p>
      <w:pPr>
        <w:spacing w:after="120"/>
      </w:pPr>
      <w:r>
        <w:t xml:space="preserve">Six-domain monitoring with institutional signaling lens:</w:t>
      </w:r>
    </w:p>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14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Competitors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Credo AI, OneTrust, ForHumanity, IAPP, Holistic AI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Regulatory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 UK DSIT, NIST, NATO, ISO 42001, state laws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AI Displacement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Layoffs, game theory clustering, institutional signaling, WEF reports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DSRB &amp; Defence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DSRB milestones, NATO, Pentagon, Canada defence, BMO partnership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Grants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DARPA, UK ARIA, Innovate UK, Horizon Europe, IRAP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Market Intel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 market size, WEF/IMF/Davos signals, TIC comparables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bl>
    <w:p>
      <w:pPr>
        <w:spacing w:after="200"/>
      </w:pPr>
    </w:p>
    <w:p>
      <w:pPr>
        <w:spacing w:after="120"/>
      </w:pPr>
      <w:r>
        <w:rPr>
          <w:b/>
          <w:bCs/>
        </w:rPr>
        <w:t xml:space="preserve">Key signals to watch: </w:t>
      </w:r>
      <w:r>
        <w:t xml:space="preserve">Competitor funding &gt;$10M. New regulation in G7/NATO. DSRB milestone. Grant deadline &lt;30 days. Layoff clustering (3+ companies same week). WEF/IMF narrative shift. Pentagon AI budget changes.</w:t>
      </w:r>
    </w:p>
    <w:p>
      <w:r>
        <w:br w:type="page"/>
      </w:r>
    </w:p>
    <w:p>
      <w:pPr>
        <w:pStyle w:val="Heading1"/>
      </w:pPr>
      <w:r>
        <w:t xml:space="preserve">7. IMMEDIATE ACTIONS (Week of Feb 19, 2026)</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800"/>
        <w:gridCol w:w="1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DSRB Bid: James to present DSRB_40_NATION_AI_ECONOMY_BID.docx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James / Kevin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BMCC LMS go-live preparation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 Dr. Katz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Register CSOAI Foundation as UK 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Nick (solicitor)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 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Lawrie Insurance meeting — AI Safety product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 'From Idiocracy to Prosperity' position paper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Nick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Feb 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CASA-to-ISO 42001 crosswalk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Institute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28</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ROYALTY AGREEMENT IN WRITING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Nick / James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 Mar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ARIA grant application preparation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Institute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DARPA CLARA concept paper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Institute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 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AI 3.14 (QuantraNet) + Ei3 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Nick (tech)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15</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2A" w:sz="4" w:space="4"/>
      </w:pBdr>
      <w:tabs>
        <w:tab w:val="right" w:pos="9026"/>
      </w:tabs>
    </w:pPr>
    <w:r>
      <w:rPr>
        <w:rFonts w:ascii="Arial" w:cs="Arial" w:eastAsia="Arial" w:hAnsi="Arial"/>
        <w:color w:val="1B3A5C"/>
        <w:sz w:val="16"/>
        <w:szCs w:val="16"/>
      </w:rPr>
      <w:t xml:space="preserve">CSOAI × CSGA Global × Terranova × Ei3</w:t>
    </w:r>
    <w:r>
      <w:rPr>
        <w:rFonts w:ascii="Arial" w:cs="Arial" w:eastAsia="Arial" w:hAnsi="Arial"/>
        <w:color w:val="1B3A5C"/>
        <w:sz w:val="16"/>
        <w:szCs w:val="16"/>
      </w:rPr>
      <w:t xml:space="preserve">	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b/>
        <w:bCs/>
        <w:color w:val="1B3A5C"/>
        <w:sz w:val="16"/>
        <w:szCs w:val="16"/>
      </w:rPr>
      <w:t xml:space="preserve">CSOAI GROUP MASTER ROADMAP 2026–2030</w:t>
    </w:r>
    <w:r>
      <w:rPr>
        <w:rFonts w:ascii="Arial" w:cs="Arial" w:eastAsia="Arial" w:hAnsi="Arial"/>
        <w:color w:val="C49A2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49A2A" w:sz="6" w:space="4"/>
      </w:pBd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2026-02-19T05:36:31.973Z</dcterms:created>
  <dcterms:modified xsi:type="dcterms:W3CDTF">2026-02-19T05:36:31.974Z</dcterms:modified>
</cp:coreProperties>
</file>

<file path=docProps/custom.xml><?xml version="1.0" encoding="utf-8"?>
<Properties xmlns="http://schemas.openxmlformats.org/officeDocument/2006/custom-properties" xmlns:vt="http://schemas.openxmlformats.org/officeDocument/2006/docPropsVTypes"/>
</file>