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400"/>
              <w:left w:type="dxa" w:w="400"/>
              <w:bottom w:type="dxa" w:w="400"/>
              <w:right w:type="dxa" w:w="400"/>
            </w:tcMar>
          </w:tcPr>
          <w:p>
            <w:pPr>
              <w:spacing w:after="120"/>
              <w:jc w:val="center"/>
            </w:pPr>
            <w:r>
              <w:rPr>
                <w:rFonts w:ascii="Arial" w:cs="Arial" w:eastAsia="Arial" w:hAnsi="Arial"/>
                <w:caps/>
                <w:color w:val="D4A843"/>
                <w:sz w:val="20"/>
                <w:szCs w:val="20"/>
              </w:rPr>
              <w:t xml:space="preserve">ONE PLATFORM, TWO CLIENTS</w:t>
            </w:r>
          </w:p>
          <w:p>
            <w:pPr>
              <w:spacing w:after="200"/>
              <w:jc w:val="center"/>
            </w:pPr>
            <w:r>
              <w:rPr>
                <w:rFonts w:ascii="Arial" w:cs="Arial" w:eastAsia="Arial" w:hAnsi="Arial"/>
                <w:b/>
                <w:bCs/>
                <w:color w:val="FFFFFF"/>
                <w:sz w:val="40"/>
                <w:szCs w:val="40"/>
              </w:rPr>
              <w:t xml:space="preserve">The Unified Freemium White-Label Architecture</w:t>
            </w:r>
          </w:p>
          <w:p>
            <w:pPr>
              <w:spacing w:after="200"/>
              <w:jc w:val="center"/>
            </w:pPr>
            <w:r>
              <w:rPr>
                <w:rFonts w:ascii="Arial" w:cs="Arial" w:eastAsia="Arial" w:hAnsi="Arial"/>
                <w:color w:val="D4A843"/>
                <w:sz w:val="26"/>
                <w:szCs w:val="26"/>
              </w:rPr>
              <w:t xml:space="preserve">How BMCC + Digital Human Library Run on the Same Backend</w:t>
            </w:r>
          </w:p>
          <w:p>
            <w:pPr>
              <w:spacing w:after="100"/>
              <w:jc w:val="center"/>
            </w:pPr>
            <w:r>
              <w:rPr>
                <w:rFonts w:ascii="Arial" w:cs="Arial" w:eastAsia="Arial" w:hAnsi="Arial"/>
                <w:i/>
                <w:iCs/>
                <w:color w:val="FFFFFF"/>
                <w:sz w:val="22"/>
                <w:szCs w:val="22"/>
              </w:rPr>
              <w:t xml:space="preserve">And Why Leigh Just Gave Us What Daniel Needs</w:t>
            </w:r>
          </w:p>
        </w:tc>
      </w:tr>
    </w:tbl>
    <w:p>
      <w:pPr>
        <w:spacing w:after="600"/>
      </w:pPr>
    </w:p>
    <w:p>
      <w:pPr>
        <w:spacing w:after="100"/>
        <w:jc w:val="center"/>
      </w:pPr>
      <w:r>
        <w:rPr>
          <w:rFonts w:ascii="Arial" w:cs="Arial" w:eastAsia="Arial" w:hAnsi="Arial"/>
          <w:color w:val="0D7377"/>
          <w:sz w:val="22"/>
          <w:szCs w:val="22"/>
        </w:rPr>
        <w:t xml:space="preserve">CSGA Group  |  Terranova CSOAI Corp</w:t>
      </w:r>
    </w:p>
    <w:p>
      <w:pPr>
        <w:spacing w:after="100"/>
        <w:jc w:val="center"/>
      </w:pPr>
      <w:r>
        <w:rPr>
          <w:rFonts w:ascii="Arial" w:cs="Arial" w:eastAsia="Arial" w:hAnsi="Arial"/>
          <w:color w:val="333333"/>
          <w:sz w:val="22"/>
          <w:szCs w:val="22"/>
        </w:rPr>
        <w:t xml:space="preserve">Nicholas Templeman, CEO</w:t>
      </w:r>
    </w:p>
    <w:p>
      <w:pPr>
        <w:jc w:val="center"/>
      </w:pPr>
      <w:r>
        <w:rPr>
          <w:rFonts w:ascii="Arial" w:cs="Arial" w:eastAsia="Arial" w:hAnsi="Arial"/>
          <w:color w:val="999999"/>
          <w:sz w:val="20"/>
          <w:szCs w:val="20"/>
        </w:rPr>
        <w:t xml:space="preserve">February 2026  |  CONFIDENTIAL</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2A4A"/>
          <w:sz w:val="36"/>
          <w:szCs w:val="36"/>
        </w:rPr>
        <w:t xml:space="preserve">1. The Insight: One Platform, Two Skins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8F4F4" w:val="clear"/>
            <w:tcMar>
              <w:top w:type="dxa" w:w="120"/>
              <w:left w:type="dxa" w:w="200"/>
              <w:bottom w:type="dxa" w:w="120"/>
              <w:right w:type="dxa" w:w="200"/>
            </w:tcMar>
          </w:tcPr>
          <w:p>
            <w:r>
              <w:rPr>
                <w:rFonts w:ascii="Arial" w:cs="Arial" w:eastAsia="Arial" w:hAnsi="Arial"/>
                <w:i/>
                <w:iCs/>
                <w:color w:val="1B2A4A"/>
                <w:sz w:val="22"/>
                <w:szCs w:val="22"/>
              </w:rPr>
              <w:t xml:space="preserve">Leigh Cassell just handed us the complete product specification for the same platform Daniel Katz needs at BMCC. They don’t know each other. They’re in different countries. But they’re asking for the exact same backend.</w:t>
            </w:r>
          </w:p>
        </w:tc>
      </w:tr>
    </w:tbl>
    <w:p>
      <w:pPr>
        <w:spacing w:after="100"/>
      </w:pPr>
    </w:p>
    <w:p>
      <w:pPr>
        <w:spacing w:after="160"/>
      </w:pPr>
      <w:r>
        <w:rPr>
          <w:rFonts w:ascii="Arial" w:cs="Arial" w:eastAsia="Arial" w:hAnsi="Arial"/>
          <w:color w:val="333333"/>
          <w:sz w:val="22"/>
          <w:szCs w:val="22"/>
        </w:rPr>
        <w:t xml:space="preserve">When you lay Leigh’s Digital Human Library requirements next to Daniel’s BMCC cybersecurity/AI governance requirements, the overlap is unmistakable. Both need an AI-powered learning platform with expert connections, career pathway tools, curriculum alignment, institutional subscriptions, and teacher/admin dashboards. The only difference is the content and the branding.</w:t>
      </w:r>
    </w:p>
    <w:p>
      <w:pPr>
        <w:spacing w:after="100"/>
      </w:pPr>
    </w:p>
    <w:p>
      <w:pPr>
        <w:spacing w:after="160"/>
      </w:pPr>
      <w:r>
        <w:rPr>
          <w:rFonts w:ascii="Arial" w:cs="Arial" w:eastAsia="Arial" w:hAnsi="Arial"/>
          <w:color w:val="333333"/>
          <w:sz w:val="22"/>
          <w:szCs w:val="22"/>
        </w:rPr>
        <w:t xml:space="preserve">This is the white-label freemium model we’ve been building — except now we have our first two clients validating the same architecture independently.</w:t>
      </w:r>
    </w:p>
    <w:p>
      <w:r>
        <w:br w:type="page"/>
      </w:r>
    </w:p>
    <w:p>
      <w:pPr>
        <w:pStyle w:val="Heading1"/>
        <w:spacing w:before="360" w:after="200"/>
      </w:pPr>
      <w:r>
        <w:rPr>
          <w:rFonts w:ascii="Arial" w:cs="Arial" w:eastAsia="Arial" w:hAnsi="Arial"/>
          <w:b/>
          <w:bCs/>
          <w:color w:val="1B2A4A"/>
          <w:sz w:val="36"/>
          <w:szCs w:val="36"/>
        </w:rPr>
        <w:t xml:space="preserve">2. The Mirror: BMCC vs. dHL Side-by-Side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BMCC (Daniel Katz)</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dHL (Leigh Cassell)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Learning Platform</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22 CASA sector courses, AI governance training, free access for students</w:t>
            </w:r>
          </w:p>
        </w:tc>
        <w:tc>
          <w:tcPr>
            <w:tcW w:type="dxa" w:w="351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333333"/>
                <w:sz w:val="20"/>
                <w:szCs w:val="20"/>
              </w:rPr>
              <w:t xml:space="preserve">LessonDesign AI — curriculum-aligned lesson planning with AI assistance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Career AI Tool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 safety workforce pipeline — students trained for CA3O assessor roles, AI governance careers</w:t>
            </w:r>
          </w:p>
        </w:tc>
        <w:tc>
          <w:tcPr>
            <w:tcW w:type="dxa" w:w="351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333333"/>
                <w:sz w:val="20"/>
                <w:szCs w:val="20"/>
              </w:rPr>
              <w:t xml:space="preserve">IndustryMentor AI — students chat with AI professionals about careers across industries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Expert Network</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600+ displaced AI safety professionals, industry mentors, BMCC faculty</w:t>
            </w:r>
          </w:p>
        </w:tc>
        <w:tc>
          <w:tcPr>
            <w:tcW w:type="dxa" w:w="351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333333"/>
                <w:sz w:val="20"/>
                <w:szCs w:val="20"/>
              </w:rPr>
              <w:t xml:space="preserve">dHL Expert library — real professionals available for classroom connections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Curriculum Engine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CASA framework mapped to NIST AI RMF, ISO 42001, EU AI Act, 17 international crosswalks</w:t>
            </w:r>
          </w:p>
        </w:tc>
        <w:tc>
          <w:tcPr>
            <w:tcW w:type="dxa" w:w="351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333333"/>
                <w:sz w:val="20"/>
                <w:szCs w:val="20"/>
              </w:rPr>
              <w:t xml:space="preserve">Provincial/state curriculum standards, grade-level alignment, subject area mapping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Subscription Model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Free training → paid certification ($200-350 exam) → enterprise assessment ($25K-75K)</w:t>
            </w:r>
          </w:p>
        </w:tc>
        <w:tc>
          <w:tcPr>
            <w:tcW w:type="dxa" w:w="351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333333"/>
                <w:sz w:val="20"/>
                <w:szCs w:val="20"/>
              </w:rPr>
              <w:t xml:space="preserve">Free trial → Teacher Pro → School license → District license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User Types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Students, instructors, institutional admins, CA3O assessors</w:t>
            </w:r>
          </w:p>
        </w:tc>
        <w:tc>
          <w:tcPr>
            <w:tcW w:type="dxa" w:w="351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333333"/>
                <w:sz w:val="20"/>
                <w:szCs w:val="20"/>
              </w:rPr>
              <w:t xml:space="preserve">Students, teachers, school admins, district admins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Dashboard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Enrollment metrics, certification progress, workforce placement, institutional analytics</w:t>
            </w:r>
          </w:p>
        </w:tc>
        <w:tc>
          <w:tcPr>
            <w:tcW w:type="dxa" w:w="351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333333"/>
                <w:sz w:val="20"/>
                <w:szCs w:val="20"/>
              </w:rPr>
              <w:t xml:space="preserve">Teacher dashboard (trending industries), admin analytics, student engagement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Content Library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 governance courses, sector-specific CASA modules, assessment prep</w:t>
            </w:r>
          </w:p>
        </w:tc>
        <w:tc>
          <w:tcPr>
            <w:tcW w:type="dxa" w:w="351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333333"/>
                <w:sz w:val="20"/>
                <w:szCs w:val="20"/>
              </w:rPr>
              <w:t xml:space="preserve">Virtual Tours/VR, Expert sessions, lesson plan library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AI Backend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Claude API for course generation, assessment creation, compliance mapping</w:t>
            </w:r>
          </w:p>
        </w:tc>
        <w:tc>
          <w:tcPr>
            <w:tcW w:type="dxa" w:w="351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333333"/>
                <w:sz w:val="20"/>
                <w:szCs w:val="20"/>
              </w:rPr>
              <w:t xml:space="preserve">Claude API for lesson planning AI, career conversation AI, expert matching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Market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Higher Ed, defense contractors, enterprises needing AI compliance</w:t>
            </w:r>
          </w:p>
        </w:tc>
        <w:tc>
          <w:tcPr>
            <w:tcW w:type="dxa" w:w="351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333333"/>
                <w:sz w:val="20"/>
                <w:szCs w:val="20"/>
              </w:rPr>
              <w:t xml:space="preserve">K-12, Higher Ed, Public Libraries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Geography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 (BMCC/CUNY), expanding to 21 NATO nations</w:t>
            </w:r>
          </w:p>
        </w:tc>
        <w:tc>
          <w:tcPr>
            <w:tcW w:type="dxa" w:w="351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333333"/>
                <w:sz w:val="20"/>
                <w:szCs w:val="20"/>
              </w:rPr>
              <w:t xml:space="preserve">Canada (Ontario-first), expanding globally</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DF6E3" w:val="clear"/>
            <w:tcMar>
              <w:top w:type="dxa" w:w="120"/>
              <w:left w:type="dxa" w:w="200"/>
              <w:bottom w:type="dxa" w:w="120"/>
              <w:right w:type="dxa" w:w="200"/>
            </w:tcMar>
          </w:tcPr>
          <w:p>
            <w:r>
              <w:rPr>
                <w:rFonts w:ascii="Arial" w:cs="Arial" w:eastAsia="Arial" w:hAnsi="Arial"/>
                <w:i/>
                <w:iCs/>
                <w:color w:val="1B2A4A"/>
                <w:sz w:val="22"/>
                <w:szCs w:val="22"/>
              </w:rPr>
              <w:t xml:space="preserve">11 out of 11 components are the same architecture with different content. This is not a coincidence — this is the white-label model proving itself.</w:t>
            </w:r>
          </w:p>
        </w:tc>
      </w:tr>
    </w:tbl>
    <w:p>
      <w:r>
        <w:br w:type="page"/>
      </w:r>
    </w:p>
    <w:p>
      <w:pPr>
        <w:pStyle w:val="Heading1"/>
        <w:spacing w:before="360" w:after="200"/>
      </w:pPr>
      <w:r>
        <w:rPr>
          <w:rFonts w:ascii="Arial" w:cs="Arial" w:eastAsia="Arial" w:hAnsi="Arial"/>
          <w:b/>
          <w:bCs/>
          <w:color w:val="1B2A4A"/>
          <w:sz w:val="36"/>
          <w:szCs w:val="36"/>
        </w:rPr>
        <w:t xml:space="preserve">3. The Unified Backend Architecture</w:t>
      </w:r>
    </w:p>
    <w:p>
      <w:pPr>
        <w:spacing w:after="160"/>
      </w:pPr>
      <w:r>
        <w:rPr>
          <w:rFonts w:ascii="Arial" w:cs="Arial" w:eastAsia="Arial" w:hAnsi="Arial"/>
          <w:color w:val="333333"/>
          <w:sz w:val="22"/>
          <w:szCs w:val="22"/>
        </w:rPr>
        <w:t xml:space="preserve">One platform. Multiple skins. Shared infrastructure. Different content. This is the exact model Salesforce uses with Trailhead (one platform, 60+ certification tracks), AWS uses with Skill Builder (one platform, 600+ courses), and Coursera uses with enterprise (one platform, 1,612 paid enterprise customers).</w:t>
      </w:r>
    </w:p>
    <w:p>
      <w:pPr>
        <w:pStyle w:val="Heading2"/>
        <w:spacing w:before="280" w:after="160"/>
      </w:pPr>
      <w:r>
        <w:rPr>
          <w:rFonts w:ascii="Arial" w:cs="Arial" w:eastAsia="Arial" w:hAnsi="Arial"/>
          <w:b/>
          <w:bCs/>
          <w:color w:val="0D7377"/>
          <w:sz w:val="28"/>
          <w:szCs w:val="28"/>
        </w:rPr>
        <w:t xml:space="preserve">3.1 Shared Core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Service Layer</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Shared Across All White-Label Instances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Auth &amp; Identity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SSO/OAuth, role-based access control (student, teacher, admin, assessor), institutional account management, API key management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AI Engine</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Claude API integration layer, prompt management, persona engine (IndustryMentor/CA3O personas), content generation, curriculum alignment AI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Content Management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Headless CMS (Sanity/Strapi), course/lesson authoring, media library (videos, VR, documents), version control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Search &amp; Discovery</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Elasticsearch/Algolia for expert search, course search, resource matching, faceted filtering by subject/grade/industry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Subscription &amp; Billing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Stripe integration, tiered pricing engine, institutional licensing, usage metering, freemium gate logic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Analytics &amp; Dashboards</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Teacher/admin dashboards, enrollment metrics, engagement tracking, completion rates, certification progress, institutional reporting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Notification Engine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 push, in-app notifications for deadlines, new content, certification milestones, expert availability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Export &amp; Reporting</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PDF/DOCX generation for lesson plans, certificates, assessment reports, institutional compliance documents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API Gateway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REST API serving web, mobile, and third-party integrations. Single backend, multiple frontends.</w:t>
            </w:r>
          </w:p>
        </w:tc>
      </w:tr>
    </w:tbl>
    <w:p>
      <w:pPr>
        <w:spacing w:after="100"/>
      </w:pPr>
    </w:p>
    <w:p>
      <w:pPr>
        <w:pStyle w:val="Heading2"/>
        <w:spacing w:before="280" w:after="160"/>
      </w:pPr>
      <w:r>
        <w:rPr>
          <w:rFonts w:ascii="Arial" w:cs="Arial" w:eastAsia="Arial" w:hAnsi="Arial"/>
          <w:b/>
          <w:bCs/>
          <w:color w:val="0D7377"/>
          <w:sz w:val="28"/>
          <w:szCs w:val="28"/>
        </w:rPr>
        <w:t xml:space="preserve">3.2 What Changes Per White-Label 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BMCC Instance</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dHL Instance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Branding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BMCC/CUNY + CSOAI branding, dark theme, cybersecurity aesthetic</w:t>
            </w:r>
          </w:p>
        </w:tc>
        <w:tc>
          <w:tcPr>
            <w:tcW w:type="dxa" w:w="351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333333"/>
                <w:sz w:val="20"/>
                <w:szCs w:val="20"/>
              </w:rPr>
              <w:t xml:space="preserve">dHL + PathBuilder AI branding, warm/community aesthetic, education-focused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Content Library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22 CASA sector courses, AI governance modules, certification prep materials</w:t>
            </w:r>
          </w:p>
        </w:tc>
        <w:tc>
          <w:tcPr>
            <w:tcW w:type="dxa" w:w="351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333333"/>
                <w:sz w:val="20"/>
                <w:szCs w:val="20"/>
              </w:rPr>
              <w:t xml:space="preserve">Lesson plan templates, Expert profiles, Virtual Tours/VR, curriculum standards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AI Personas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 Safety Assessor, Compliance Officer, Framework Analyst, Security Auditor</w:t>
            </w:r>
          </w:p>
        </w:tc>
        <w:tc>
          <w:tcPr>
            <w:tcW w:type="dxa" w:w="351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333333"/>
                <w:sz w:val="20"/>
                <w:szCs w:val="20"/>
              </w:rPr>
              <w:t xml:space="preserve">Nurse, Engineer, Entrepreneur, Pilot, Chef, Scientist (100+ career personas)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Curriculum Map</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NIST AI RMF, ISO 42001, EU AI Act, CMMC, 17 international crosswalks</w:t>
            </w:r>
          </w:p>
        </w:tc>
        <w:tc>
          <w:tcPr>
            <w:tcW w:type="dxa" w:w="351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333333"/>
                <w:sz w:val="20"/>
                <w:szCs w:val="20"/>
              </w:rPr>
              <w:t xml:space="preserve">Ontario Curriculum, Common Core, NGSS, provincial/state standards by grade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Pricing Tiers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Free → Exam ($200-350) → AMF ($50-135/yr) → CA3O ($3K-5K) → Enterprise ($25K-75K)</w:t>
            </w:r>
          </w:p>
        </w:tc>
        <w:tc>
          <w:tcPr>
            <w:tcW w:type="dxa" w:w="351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333333"/>
                <w:sz w:val="20"/>
                <w:szCs w:val="20"/>
              </w:rPr>
              <w:t xml:space="preserve">Free Trial → Teacher Pro ($X/mo) → School ($X/yr) → District ($X/yr)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Domain/URL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bmcc-cyberprogram.com or csoai.org/bmcc</w:t>
            </w:r>
          </w:p>
        </w:tc>
        <w:tc>
          <w:tcPr>
            <w:tcW w:type="dxa" w:w="351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333333"/>
                <w:sz w:val="20"/>
                <w:szCs w:val="20"/>
              </w:rPr>
              <w:t xml:space="preserve">digitalhumanlibrary.com or pathbuilder.ai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Compliance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FERPA (US), DoD requirements, NIST guidelines</w:t>
            </w:r>
          </w:p>
        </w:tc>
        <w:tc>
          <w:tcPr>
            <w:tcW w:type="dxa" w:w="351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333333"/>
                <w:sz w:val="20"/>
                <w:szCs w:val="20"/>
              </w:rPr>
              <w:t xml:space="preserve">PIPEDA, FIPPA/MFIPPA (Canada), provincial privacy requirements</w:t>
            </w:r>
          </w:p>
        </w:tc>
      </w:tr>
    </w:tbl>
    <w:p>
      <w:r>
        <w:br w:type="page"/>
      </w:r>
    </w:p>
    <w:p>
      <w:pPr>
        <w:pStyle w:val="Heading1"/>
        <w:spacing w:before="360" w:after="200"/>
      </w:pPr>
      <w:r>
        <w:rPr>
          <w:rFonts w:ascii="Arial" w:cs="Arial" w:eastAsia="Arial" w:hAnsi="Arial"/>
          <w:b/>
          <w:bCs/>
          <w:color w:val="1B2A4A"/>
          <w:sz w:val="36"/>
          <w:szCs w:val="36"/>
        </w:rPr>
        <w:t xml:space="preserve">4. What Leigh Just Gave Daniel (Without Knowing It)</w:t>
      </w:r>
    </w:p>
    <w:p>
      <w:pPr>
        <w:spacing w:after="160"/>
      </w:pPr>
      <w:r>
        <w:rPr>
          <w:rFonts w:ascii="Arial" w:cs="Arial" w:eastAsia="Arial" w:hAnsi="Arial"/>
          <w:color w:val="333333"/>
          <w:sz w:val="22"/>
          <w:szCs w:val="22"/>
        </w:rPr>
        <w:t xml:space="preserve">Leigh Cassell’s detailed specifications for LessonDesign AI and IndustryMentor AI are functionally identical to what Daniel Katz needs for the BMCC AI governance training platform. Here’s the exact mapping:</w:t>
      </w:r>
    </w:p>
    <w:p>
      <w:pPr>
        <w:spacing w:after="100"/>
      </w:pPr>
    </w:p>
    <w:p>
      <w:pPr>
        <w:pStyle w:val="Heading2"/>
        <w:spacing w:before="280" w:after="160"/>
      </w:pPr>
      <w:r>
        <w:rPr>
          <w:rFonts w:ascii="Arial" w:cs="Arial" w:eastAsia="Arial" w:hAnsi="Arial"/>
          <w:b/>
          <w:bCs/>
          <w:color w:val="0D7377"/>
          <w:sz w:val="28"/>
          <w:szCs w:val="28"/>
        </w:rPr>
        <w:t xml:space="preserve">4.1 LessonDesign AI = CSOAI Course Builder</w:t>
      </w:r>
    </w:p>
    <w:p>
      <w:pPr>
        <w:spacing w:after="160"/>
      </w:pPr>
      <w:r>
        <w:rPr>
          <w:rFonts w:ascii="Arial" w:cs="Arial" w:eastAsia="Arial" w:hAnsi="Arial"/>
          <w:color w:val="333333"/>
          <w:sz w:val="22"/>
          <w:szCs w:val="22"/>
        </w:rPr>
        <w:t xml:space="preserve">Leigh’s 6-step lesson planning flow (Welcome → Foundation → Curriculum → Connections → Design → Ready) is the same architecture BMCC needs for its AI governance course creation tool. Watch:</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dHL: LessonDesign AI</w:t>
            </w:r>
          </w:p>
        </w:tc>
        <w:tc>
          <w:tcPr>
            <w:tcW w:type="dxa" w:w="3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BMCC: CSOAI Course Builder</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Welcome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Intro to PathBuilder AI, capability overview</w:t>
            </w:r>
          </w:p>
        </w:tc>
        <w:tc>
          <w:tcPr>
            <w:tcW w:type="dxa" w:w="39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Intro to CASA Framework, sector selection (22 sectors)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Foundation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Lesson title, overview, learning goals, success criteria, assessments</w:t>
            </w:r>
          </w:p>
        </w:tc>
        <w:tc>
          <w:tcPr>
            <w:tcW w:type="dxa" w:w="39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Module title, CASA objectives, competency goals, assessment design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Curriculum</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Grade level, subject area, curriculum standards alignment</w:t>
            </w:r>
          </w:p>
        </w:tc>
        <w:tc>
          <w:tcPr>
            <w:tcW w:type="dxa" w:w="39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NIST AI RMF mapping, ISO 42001 alignment, EU AI Act articles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Connections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Search dHL Experts, Virtual Tours/VR by keyword</w:t>
            </w:r>
          </w:p>
        </w:tc>
        <w:tc>
          <w:tcPr>
            <w:tcW w:type="dxa" w:w="39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Search CSOAI Experts (600+ displaced professionals), case studies, industry scenarios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Design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Activities, materials, technology, transferable skills, CRRP</w:t>
            </w:r>
          </w:p>
        </w:tc>
        <w:tc>
          <w:tcPr>
            <w:tcW w:type="dxa" w:w="39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Lab exercises, tools/platforms, technical skills, ethical frameworks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Ready</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Save, view, download lesson plan</w:t>
            </w:r>
          </w:p>
        </w:tc>
        <w:tc>
          <w:tcPr>
            <w:tcW w:type="dxa" w:w="39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Publish to LMS, export SCORM package, generate syllabus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8F4F4" w:val="clear"/>
            <w:tcMar>
              <w:top w:type="dxa" w:w="120"/>
              <w:left w:type="dxa" w:w="200"/>
              <w:bottom w:type="dxa" w:w="120"/>
              <w:right w:type="dxa" w:w="200"/>
            </w:tcMar>
          </w:tcPr>
          <w:p>
            <w:r>
              <w:rPr>
                <w:rFonts w:ascii="Arial" w:cs="Arial" w:eastAsia="Arial" w:hAnsi="Arial"/>
                <w:i/>
                <w:iCs/>
                <w:color w:val="1B2A4A"/>
                <w:sz w:val="22"/>
                <w:szCs w:val="22"/>
              </w:rPr>
              <w:t xml:space="preserve">Same 6-step wizard. Same form fields. Same AI engine. Different content, different branding. Build once, deploy twice.</w:t>
            </w:r>
          </w:p>
        </w:tc>
      </w:tr>
    </w:tbl>
    <w:p>
      <w:pPr>
        <w:spacing w:after="100"/>
      </w:pPr>
    </w:p>
    <w:p>
      <w:pPr>
        <w:pStyle w:val="Heading2"/>
        <w:spacing w:before="280" w:after="160"/>
      </w:pPr>
      <w:r>
        <w:rPr>
          <w:rFonts w:ascii="Arial" w:cs="Arial" w:eastAsia="Arial" w:hAnsi="Arial"/>
          <w:b/>
          <w:bCs/>
          <w:color w:val="0D7377"/>
          <w:sz w:val="28"/>
          <w:szCs w:val="28"/>
        </w:rPr>
        <w:t xml:space="preserve">4.2 IndustryMentor AI = CSOAI Career Pathway Engine</w:t>
      </w:r>
    </w:p>
    <w:p>
      <w:pPr>
        <w:spacing w:after="160"/>
      </w:pPr>
      <w:r>
        <w:rPr>
          <w:rFonts w:ascii="Arial" w:cs="Arial" w:eastAsia="Arial" w:hAnsi="Arial"/>
          <w:color w:val="333333"/>
          <w:sz w:val="22"/>
          <w:szCs w:val="22"/>
        </w:rPr>
        <w:t xml:space="preserve">Leigh wants students to chat with AI-simulated professionals about careers. Daniel needs students to understand AI governance career pathways. Same tool, different personas: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dHL Personas</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BMCC/CSOAI Personas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Career Chat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Nurse, Engineer, Chef, Pilot, Scientist, Entrepreneur (100+ careers)</w:t>
            </w:r>
          </w:p>
        </w:tc>
        <w:tc>
          <w:tcPr>
            <w:tcW w:type="dxa" w:w="312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AI Safety Assessor, Compliance Officer, AI Auditor, Ethics Lead, CA3O Professional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Pathway Guidance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Education routes, training, certifications per industry</w:t>
            </w:r>
          </w:p>
        </w:tc>
        <w:tc>
          <w:tcPr>
            <w:tcW w:type="dxa" w:w="312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CASA certification ladder, CA3O accreditation path, EU AI Act readiness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Skill Insights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Technical + soft skills per career, curriculum-aligned</w:t>
            </w:r>
          </w:p>
        </w:tc>
        <w:tc>
          <w:tcPr>
            <w:tcW w:type="dxa" w:w="312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AI governance competencies, framework knowledge, audit skills, ethical reasoning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Portfolio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Save career interests, chat insights, next steps</w:t>
            </w:r>
          </w:p>
        </w:tc>
        <w:tc>
          <w:tcPr>
            <w:tcW w:type="dxa" w:w="312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Track certification progress, competency badges, assessment readiness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Dashboard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Teacher: trending industries in class</w:t>
            </w:r>
          </w:p>
        </w:tc>
        <w:tc>
          <w:tcPr>
            <w:tcW w:type="dxa" w:w="312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Instructor: student progress, certification readiness, workforce pipeline metrics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DF6E3" w:val="clear"/>
            <w:tcMar>
              <w:top w:type="dxa" w:w="120"/>
              <w:left w:type="dxa" w:w="200"/>
              <w:bottom w:type="dxa" w:w="120"/>
              <w:right w:type="dxa" w:w="200"/>
            </w:tcMar>
          </w:tcPr>
          <w:p>
            <w:r>
              <w:rPr>
                <w:rFonts w:ascii="Arial" w:cs="Arial" w:eastAsia="Arial" w:hAnsi="Arial"/>
                <w:i/>
                <w:iCs/>
                <w:color w:val="1B2A4A"/>
                <w:sz w:val="22"/>
                <w:szCs w:val="22"/>
              </w:rPr>
              <w:t xml:space="preserve">The persona engine is the only thing that changes. The conversation infrastructure, the portfolio system, the dashboard, the analytics — it’s all the same codebase.</w:t>
            </w:r>
          </w:p>
        </w:tc>
      </w:tr>
    </w:tbl>
    <w:p>
      <w:r>
        <w:br w:type="page"/>
      </w:r>
    </w:p>
    <w:p>
      <w:pPr>
        <w:pStyle w:val="Heading1"/>
        <w:spacing w:before="360" w:after="200"/>
      </w:pPr>
      <w:r>
        <w:rPr>
          <w:rFonts w:ascii="Arial" w:cs="Arial" w:eastAsia="Arial" w:hAnsi="Arial"/>
          <w:b/>
          <w:bCs/>
          <w:color w:val="1B2A4A"/>
          <w:sz w:val="36"/>
          <w:szCs w:val="36"/>
        </w:rPr>
        <w:t xml:space="preserve">5. Unified Freemium White-Label Revenue Model</w:t>
      </w:r>
    </w:p>
    <w:p>
      <w:pPr>
        <w:spacing w:after="160"/>
      </w:pPr>
      <w:r>
        <w:rPr>
          <w:rFonts w:ascii="Arial" w:cs="Arial" w:eastAsia="Arial" w:hAnsi="Arial"/>
          <w:color w:val="333333"/>
          <w:sz w:val="22"/>
          <w:szCs w:val="22"/>
        </w:rPr>
        <w:t xml:space="preserve">The 13-model certification playbook we built from the Compass research maps perfectly to both instances. Here’s how the freemium funnel works for each:</w:t>
      </w:r>
    </w:p>
    <w:p>
      <w:pPr>
        <w:spacing w:after="100"/>
      </w:pPr>
    </w:p>
    <w:p>
      <w:pPr>
        <w:pStyle w:val="Heading2"/>
        <w:spacing w:before="280" w:after="160"/>
      </w:pPr>
      <w:r>
        <w:rPr>
          <w:rFonts w:ascii="Arial" w:cs="Arial" w:eastAsia="Arial" w:hAnsi="Arial"/>
          <w:b/>
          <w:bCs/>
          <w:color w:val="0D7377"/>
          <w:sz w:val="28"/>
          <w:szCs w:val="28"/>
        </w:rPr>
        <w:t xml:space="preserve">5.1 The Shared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BMCC/CSOAI</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dHL/PathBuilder</w:t>
            </w:r>
          </w:p>
        </w:tc>
      </w:tr>
      <w:tr>
        <w:tc>
          <w:tcPr>
            <w:tcW w:type="dxa" w:w="156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333333"/>
                <w:sz w:val="20"/>
                <w:szCs w:val="20"/>
              </w:rPr>
              <w:t xml:space="preserve">FREE</w:t>
            </w:r>
          </w:p>
        </w:tc>
        <w:tc>
          <w:tcPr>
            <w:tcW w:type="dxa" w:w="26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333333"/>
                <w:sz w:val="20"/>
                <w:szCs w:val="20"/>
              </w:rPr>
              <w:t xml:space="preserve">Radically free training (Salesforce Trailhead model)</w:t>
            </w:r>
          </w:p>
        </w:tc>
        <w:tc>
          <w:tcPr>
            <w:tcW w:type="dxa" w:w="26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333333"/>
                <w:sz w:val="20"/>
                <w:szCs w:val="20"/>
              </w:rPr>
              <w:t xml:space="preserve">All 22 CASA courses free. Gamified. Badges + points.</w:t>
            </w:r>
          </w:p>
        </w:tc>
        <w:tc>
          <w:tcPr>
            <w:tcW w:type="dxa" w:w="26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333333"/>
                <w:sz w:val="20"/>
                <w:szCs w:val="20"/>
              </w:rPr>
              <w:t xml:space="preserve">Free trial: 3 lesson plans, 5 IndustryMentor chats, Expert search</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CONVERT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Low-cost entry credential ((ISC)² CC model: $50/yr AMF)</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Entry CASA credential: $50/yr AMF. Career dependency begins.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Teacher Pro: $X/month. Full AI tools + unlimited content.</w:t>
            </w:r>
          </w:p>
        </w:tc>
      </w:tr>
      <w:tr>
        <w:tc>
          <w:tcPr>
            <w:tcW w:type="dxa" w:w="156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333333"/>
                <w:sz w:val="20"/>
                <w:szCs w:val="20"/>
              </w:rPr>
              <w:t xml:space="preserve">CERTIFY</w:t>
            </w:r>
          </w:p>
        </w:tc>
        <w:tc>
          <w:tcPr>
            <w:tcW w:type="dxa" w:w="26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333333"/>
                <w:sz w:val="20"/>
                <w:szCs w:val="20"/>
              </w:rPr>
              <w:t xml:space="preserve">Professional certification ($200-750 exam fees)</w:t>
            </w:r>
          </w:p>
        </w:tc>
        <w:tc>
          <w:tcPr>
            <w:tcW w:type="dxa" w:w="26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333333"/>
                <w:sz w:val="20"/>
                <w:szCs w:val="20"/>
              </w:rPr>
              <w:t xml:space="preserve">CASA Professional exam: $200-350. Annual renewal: $135.</w:t>
            </w:r>
          </w:p>
        </w:tc>
        <w:tc>
          <w:tcPr>
            <w:tcW w:type="dxa" w:w="26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333333"/>
                <w:sz w:val="20"/>
                <w:szCs w:val="20"/>
              </w:rPr>
              <w:t xml:space="preserve">School/District license: $X-XX/yr. Institutional lock-in.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ENTERPRISE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Organizational assessment ($25K-118K, CMMC/ISO model)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CA3O org assessment: $25K-75K. 3-year recertification cycle.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District-wide deployment. Multi-year contracts. Custom content.</w:t>
            </w:r>
          </w:p>
        </w:tc>
      </w:tr>
      <w:tr>
        <w:tc>
          <w:tcPr>
            <w:tcW w:type="dxa" w:w="15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b/>
                <w:bCs/>
                <w:color w:val="333333"/>
                <w:sz w:val="20"/>
                <w:szCs w:val="20"/>
              </w:rPr>
              <w:t xml:space="preserve">ECOSYSTEM</w:t>
            </w:r>
          </w:p>
        </w:tc>
        <w:tc>
          <w:tcPr>
            <w:tcW w:type="dxa" w:w="2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Partner/training provider fees + marketplace revenue</w:t>
            </w:r>
          </w:p>
        </w:tc>
        <w:tc>
          <w:tcPr>
            <w:tcW w:type="dxa" w:w="2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CA3O accreditation fees ($3-5K/yr). Licensed Training Providers.</w:t>
            </w:r>
          </w:p>
        </w:tc>
        <w:tc>
          <w:tcPr>
            <w:tcW w:type="dxa" w:w="2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Expert marketplace. Content partnerships. White-label sublicensing.</w:t>
            </w:r>
          </w:p>
        </w:tc>
      </w:tr>
    </w:tbl>
    <w:p>
      <w:pPr>
        <w:spacing w:after="200"/>
      </w:pPr>
    </w:p>
    <w:p>
      <w:pPr>
        <w:pStyle w:val="Heading2"/>
        <w:spacing w:before="280" w:after="160"/>
      </w:pPr>
      <w:r>
        <w:rPr>
          <w:rFonts w:ascii="Arial" w:cs="Arial" w:eastAsia="Arial" w:hAnsi="Arial"/>
          <w:b/>
          <w:bCs/>
          <w:color w:val="0D7377"/>
          <w:sz w:val="28"/>
          <w:szCs w:val="28"/>
        </w:rPr>
        <w:t xml:space="preserve">5.2 Combined Revenue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Revenue Stream</w:t>
            </w:r>
          </w:p>
        </w:tc>
        <w:tc>
          <w:tcPr>
            <w:tcW w:type="dxa" w:w="175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Y1</w:t>
            </w:r>
          </w:p>
        </w:tc>
        <w:tc>
          <w:tcPr>
            <w:tcW w:type="dxa" w:w="175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Y2</w:t>
            </w:r>
          </w:p>
        </w:tc>
        <w:tc>
          <w:tcPr>
            <w:tcW w:type="dxa" w:w="175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Y3</w:t>
            </w:r>
          </w:p>
        </w:tc>
        <w:tc>
          <w:tcPr>
            <w:tcW w:type="dxa" w:w="175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Y5</w:t>
            </w:r>
          </w:p>
        </w:tc>
      </w:tr>
      <w:tr>
        <w:tc>
          <w:tcPr>
            <w:tcW w:type="dxa" w:w="234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333333"/>
                <w:sz w:val="20"/>
                <w:szCs w:val="20"/>
              </w:rPr>
              <w:t xml:space="preserve">BMCC/CSOAI Instance</w:t>
            </w:r>
          </w:p>
        </w:tc>
        <w:tc>
          <w:tcPr>
            <w:tcW w:type="dxa" w:w="1755"/>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333333"/>
                <w:sz w:val="20"/>
                <w:szCs w:val="20"/>
              </w:rPr>
              <w:t xml:space="preserve">$800K</w:t>
            </w:r>
          </w:p>
        </w:tc>
        <w:tc>
          <w:tcPr>
            <w:tcW w:type="dxa" w:w="1755"/>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333333"/>
                <w:sz w:val="20"/>
                <w:szCs w:val="20"/>
              </w:rPr>
              <w:t xml:space="preserve">$4.5M</w:t>
            </w:r>
          </w:p>
        </w:tc>
        <w:tc>
          <w:tcPr>
            <w:tcW w:type="dxa" w:w="1755"/>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333333"/>
                <w:sz w:val="20"/>
                <w:szCs w:val="20"/>
              </w:rPr>
              <w:t xml:space="preserve">$11.75M</w:t>
            </w:r>
          </w:p>
        </w:tc>
        <w:tc>
          <w:tcPr>
            <w:tcW w:type="dxa" w:w="1755"/>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color w:val="333333"/>
                <w:sz w:val="20"/>
                <w:szCs w:val="20"/>
              </w:rPr>
              <w:t xml:space="preserve">$62.5M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dHL/PathBuilder Instance</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$150K</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$600K</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$2.5M</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$12M</w:t>
            </w:r>
          </w:p>
        </w:tc>
      </w:tr>
      <w:tr>
        <w:tc>
          <w:tcPr>
            <w:tcW w:type="dxa" w:w="234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b/>
                <w:bCs/>
                <w:color w:val="333333"/>
                <w:sz w:val="20"/>
                <w:szCs w:val="20"/>
              </w:rPr>
              <w:t xml:space="preserve">White-Label Licensing (New Clients)</w:t>
            </w:r>
          </w:p>
        </w:tc>
        <w:tc>
          <w:tcPr>
            <w:tcW w:type="dxa" w:w="1755"/>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$0</w:t>
            </w:r>
          </w:p>
        </w:tc>
        <w:tc>
          <w:tcPr>
            <w:tcW w:type="dxa" w:w="1755"/>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$200K</w:t>
            </w:r>
          </w:p>
        </w:tc>
        <w:tc>
          <w:tcPr>
            <w:tcW w:type="dxa" w:w="1755"/>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$1.5M</w:t>
            </w:r>
          </w:p>
        </w:tc>
        <w:tc>
          <w:tcPr>
            <w:tcW w:type="dxa" w:w="1755"/>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color w:val="333333"/>
                <w:sz w:val="20"/>
                <w:szCs w:val="20"/>
              </w:rPr>
              <w:t xml:space="preserve">$15M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Platform/Infrastructure Savings</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$120K</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$350K</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$800K</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$3M</w:t>
            </w:r>
          </w:p>
        </w:tc>
      </w:tr>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TOTAL</w:t>
            </w:r>
          </w:p>
        </w:tc>
        <w:tc>
          <w:tcPr>
            <w:tcW w:type="dxa" w:w="175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$1.07M</w:t>
            </w:r>
          </w:p>
        </w:tc>
        <w:tc>
          <w:tcPr>
            <w:tcW w:type="dxa" w:w="175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$5.65M</w:t>
            </w:r>
          </w:p>
        </w:tc>
        <w:tc>
          <w:tcPr>
            <w:tcW w:type="dxa" w:w="175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$16.55M</w:t>
            </w:r>
          </w:p>
        </w:tc>
        <w:tc>
          <w:tcPr>
            <w:tcW w:type="dxa" w:w="175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$92.5M</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8F4F4" w:val="clear"/>
            <w:tcMar>
              <w:top w:type="dxa" w:w="120"/>
              <w:left w:type="dxa" w:w="200"/>
              <w:bottom w:type="dxa" w:w="120"/>
              <w:right w:type="dxa" w:w="200"/>
            </w:tcMar>
          </w:tcPr>
          <w:p>
            <w:r>
              <w:rPr>
                <w:rFonts w:ascii="Arial" w:cs="Arial" w:eastAsia="Arial" w:hAnsi="Arial"/>
                <w:i/>
                <w:iCs/>
                <w:color w:val="1B2A4A"/>
                <w:sz w:val="22"/>
                <w:szCs w:val="22"/>
              </w:rPr>
              <w:t xml:space="preserve">The infrastructure savings alone justify the unified approach: shared hosting, shared AI API costs, shared development team, shared security audits, shared compliance certifications. Every dollar spent on the platform serves both revenue streams.</w:t>
            </w:r>
          </w:p>
        </w:tc>
      </w:tr>
    </w:tbl>
    <w:p>
      <w:r>
        <w:br w:type="page"/>
      </w:r>
    </w:p>
    <w:p>
      <w:pPr>
        <w:pStyle w:val="Heading1"/>
        <w:spacing w:before="360" w:after="200"/>
      </w:pPr>
      <w:r>
        <w:rPr>
          <w:rFonts w:ascii="Arial" w:cs="Arial" w:eastAsia="Arial" w:hAnsi="Arial"/>
          <w:b/>
          <w:bCs/>
          <w:color w:val="1B2A4A"/>
          <w:sz w:val="36"/>
          <w:szCs w:val="36"/>
        </w:rPr>
        <w:t xml:space="preserve">6. Build Once, Deploy Twice: The Technical Play</w:t>
      </w:r>
    </w:p>
    <w:p>
      <w:pPr>
        <w:pStyle w:val="Heading2"/>
        <w:spacing w:before="280" w:after="160"/>
      </w:pPr>
      <w:r>
        <w:rPr>
          <w:rFonts w:ascii="Arial" w:cs="Arial" w:eastAsia="Arial" w:hAnsi="Arial"/>
          <w:b/>
          <w:bCs/>
          <w:color w:val="0D7377"/>
          <w:sz w:val="28"/>
          <w:szCs w:val="28"/>
        </w:rPr>
        <w:t xml:space="preserve">6.1 Shared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70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Frontend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Next.js (React) with theme/brand configuration per instance. Shared component library, different CSS themes.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AI Engine</w:t>
            </w:r>
          </w:p>
        </w:tc>
        <w:tc>
          <w:tcPr>
            <w:tcW w:type="dxa" w:w="70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Claude API (Anthropic) with configurable system prompts. Persona engine loads from database. Same inference layer, different prompts.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Backend API</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Node.js/Express. Multi-tenant architecture. Tenant ID determines content, branding, pricing, and feature flags.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Database</w:t>
            </w:r>
          </w:p>
        </w:tc>
        <w:tc>
          <w:tcPr>
            <w:tcW w:type="dxa" w:w="70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PostgreSQL with row-level security per tenant. Shared schema, isolated data. One database, multiple tenants.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Search</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Elasticsearch with index-per-tenant. dHL searches Experts + VR. BMCC searches CASA courses + professionals.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Auth</w:t>
            </w:r>
          </w:p>
        </w:tc>
        <w:tc>
          <w:tcPr>
            <w:tcW w:type="dxa" w:w="70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Auth0 or Clerk. Multi-tenant SSO. School/district SSO for dHL. CUNY SSO for BMCC. OAuth for individual users.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Billing</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Stripe with product catalog per tenant. Same billing engine, different pricing tiers and subscription logic.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Hosting</w:t>
            </w:r>
          </w:p>
        </w:tc>
        <w:tc>
          <w:tcPr>
            <w:tcW w:type="dxa" w:w="70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AWS (us-east-1 for BMCC, ca-central-1 for dHL Canadian data residency). Same infrastructure-as-code, different regions.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Mobile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React Native. Shared core, themed per instance. One codebase, two App Store listings.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CDN/Media</w:t>
            </w:r>
          </w:p>
        </w:tc>
        <w:tc>
          <w:tcPr>
            <w:tcW w:type="dxa" w:w="70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CloudFront for static assets. Separate S3 buckets per tenant for VR content (dHL) and course materials (BMCC).</w:t>
            </w:r>
          </w:p>
        </w:tc>
      </w:tr>
    </w:tbl>
    <w:p>
      <w:pPr>
        <w:spacing w:after="100"/>
      </w:pPr>
    </w:p>
    <w:p>
      <w:pPr>
        <w:pStyle w:val="Heading2"/>
        <w:spacing w:before="280" w:after="160"/>
      </w:pPr>
      <w:r>
        <w:rPr>
          <w:rFonts w:ascii="Arial" w:cs="Arial" w:eastAsia="Arial" w:hAnsi="Arial"/>
          <w:b/>
          <w:bCs/>
          <w:color w:val="0D7377"/>
          <w:sz w:val="28"/>
          <w:szCs w:val="28"/>
        </w:rPr>
        <w:t xml:space="preserve">6.2 What This Means for Development</w:t>
      </w:r>
    </w:p>
    <w:p>
      <w:pPr>
        <w:pStyle w:val="ListParagraph"/>
        <w:numPr>
          <w:ilvl w:val="0"/>
          <w:numId w:val="2"/>
        </w:numPr>
        <w:spacing w:after="80"/>
      </w:pPr>
      <w:r>
        <w:rPr>
          <w:rFonts w:ascii="Arial" w:cs="Arial" w:eastAsia="Arial" w:hAnsi="Arial"/>
          <w:b/>
          <w:bCs/>
          <w:color w:val="1B2A4A"/>
          <w:sz w:val="22"/>
          <w:szCs w:val="22"/>
        </w:rPr>
        <w:t xml:space="preserve">Build the platform once: </w:t>
      </w:r>
      <w:r>
        <w:rPr>
          <w:rFonts w:ascii="Arial" w:cs="Arial" w:eastAsia="Arial" w:hAnsi="Arial"/>
          <w:color w:val="333333"/>
          <w:sz w:val="22"/>
          <w:szCs w:val="22"/>
        </w:rPr>
        <w:t xml:space="preserve">Every feature built for dHL automatically works for BMCC and vice versa. Lesson planning wizard = course builder wizard. IndustryMentor chat = career pathway chat.</w:t>
      </w:r>
    </w:p>
    <w:p>
      <w:pPr>
        <w:pStyle w:val="ListParagraph"/>
        <w:numPr>
          <w:ilvl w:val="0"/>
          <w:numId w:val="2"/>
        </w:numPr>
        <w:spacing w:after="80"/>
      </w:pPr>
      <w:r>
        <w:rPr>
          <w:rFonts w:ascii="Arial" w:cs="Arial" w:eastAsia="Arial" w:hAnsi="Arial"/>
          <w:b/>
          <w:bCs/>
          <w:color w:val="1B2A4A"/>
          <w:sz w:val="22"/>
          <w:szCs w:val="22"/>
        </w:rPr>
        <w:t xml:space="preserve">One dev team: </w:t>
      </w:r>
      <w:r>
        <w:rPr>
          <w:rFonts w:ascii="Arial" w:cs="Arial" w:eastAsia="Arial" w:hAnsi="Arial"/>
          <w:color w:val="333333"/>
          <w:sz w:val="22"/>
          <w:szCs w:val="22"/>
        </w:rPr>
        <w:t xml:space="preserve">Not two separate projects with separate teams. One team building one platform. Theme configuration handles the differences.</w:t>
      </w:r>
    </w:p>
    <w:p>
      <w:pPr>
        <w:pStyle w:val="ListParagraph"/>
        <w:numPr>
          <w:ilvl w:val="0"/>
          <w:numId w:val="2"/>
        </w:numPr>
        <w:spacing w:after="80"/>
      </w:pPr>
      <w:r>
        <w:rPr>
          <w:rFonts w:ascii="Arial" w:cs="Arial" w:eastAsia="Arial" w:hAnsi="Arial"/>
          <w:b/>
          <w:bCs/>
          <w:color w:val="1B2A4A"/>
          <w:sz w:val="22"/>
          <w:szCs w:val="22"/>
        </w:rPr>
        <w:t xml:space="preserve">Shared security: </w:t>
      </w:r>
      <w:r>
        <w:rPr>
          <w:rFonts w:ascii="Arial" w:cs="Arial" w:eastAsia="Arial" w:hAnsi="Arial"/>
          <w:color w:val="333333"/>
          <w:sz w:val="22"/>
          <w:szCs w:val="22"/>
        </w:rPr>
        <w:t xml:space="preserve">One security audit covers both instances. One penetration test. One compliance certification. SOC 2 for the platform covers all tenants.</w:t>
      </w:r>
    </w:p>
    <w:p>
      <w:pPr>
        <w:pStyle w:val="ListParagraph"/>
        <w:numPr>
          <w:ilvl w:val="0"/>
          <w:numId w:val="2"/>
        </w:numPr>
        <w:spacing w:after="80"/>
      </w:pPr>
      <w:r>
        <w:rPr>
          <w:rFonts w:ascii="Arial" w:cs="Arial" w:eastAsia="Arial" w:hAnsi="Arial"/>
          <w:b/>
          <w:bCs/>
          <w:color w:val="1B2A4A"/>
          <w:sz w:val="22"/>
          <w:szCs w:val="22"/>
        </w:rPr>
        <w:t xml:space="preserve">Shared AI costs: </w:t>
      </w:r>
      <w:r>
        <w:rPr>
          <w:rFonts w:ascii="Arial" w:cs="Arial" w:eastAsia="Arial" w:hAnsi="Arial"/>
          <w:color w:val="333333"/>
          <w:sz w:val="22"/>
          <w:szCs w:val="22"/>
        </w:rPr>
        <w:t xml:space="preserve">Anthropic API usage pooled. Volume discounts apply across both instances. One integration, one monitoring, one optimization effort.</w:t>
      </w:r>
    </w:p>
    <w:p>
      <w:pPr>
        <w:pStyle w:val="ListParagraph"/>
        <w:numPr>
          <w:ilvl w:val="0"/>
          <w:numId w:val="2"/>
        </w:numPr>
        <w:spacing w:after="80"/>
      </w:pPr>
      <w:r>
        <w:rPr>
          <w:rFonts w:ascii="Arial" w:cs="Arial" w:eastAsia="Arial" w:hAnsi="Arial"/>
          <w:b/>
          <w:bCs/>
          <w:color w:val="1B2A4A"/>
          <w:sz w:val="22"/>
          <w:szCs w:val="22"/>
        </w:rPr>
        <w:t xml:space="preserve">Future white-label clients: </w:t>
      </w:r>
      <w:r>
        <w:rPr>
          <w:rFonts w:ascii="Arial" w:cs="Arial" w:eastAsia="Arial" w:hAnsi="Arial"/>
          <w:color w:val="333333"/>
          <w:sz w:val="22"/>
          <w:szCs w:val="22"/>
        </w:rPr>
        <w:t xml:space="preserve">Every new client is a new tenant, not a new build. Spin up in days, not months. This is how Coursera went from 1 to 1,612 enterprise clients.</w:t>
      </w:r>
    </w:p>
    <w:p>
      <w:r>
        <w:br w:type="page"/>
      </w:r>
    </w:p>
    <w:p>
      <w:pPr>
        <w:pStyle w:val="Heading1"/>
        <w:spacing w:before="360" w:after="200"/>
      </w:pPr>
      <w:r>
        <w:rPr>
          <w:rFonts w:ascii="Arial" w:cs="Arial" w:eastAsia="Arial" w:hAnsi="Arial"/>
          <w:b/>
          <w:bCs/>
          <w:color w:val="1B2A4A"/>
          <w:sz w:val="36"/>
          <w:szCs w:val="36"/>
        </w:rPr>
        <w:t xml:space="preserve">7. The Cross-Sell: Where BMCC and dHL Amplify Each Other</w:t>
      </w:r>
    </w:p>
    <w:p>
      <w:pPr>
        <w:spacing w:after="160"/>
      </w:pPr>
      <w:r>
        <w:rPr>
          <w:rFonts w:ascii="Arial" w:cs="Arial" w:eastAsia="Arial" w:hAnsi="Arial"/>
          <w:color w:val="333333"/>
          <w:sz w:val="22"/>
          <w:szCs w:val="22"/>
        </w:rPr>
        <w:t xml:space="preserve">Beyond shared infrastructure, there’s a direct revenue amplification between the two instances:</w:t>
      </w:r>
    </w:p>
    <w:p>
      <w:pPr>
        <w:spacing w:after="100"/>
      </w:pPr>
    </w:p>
    <w:p>
      <w:pPr>
        <w:pStyle w:val="Heading2"/>
        <w:spacing w:before="280" w:after="160"/>
      </w:pPr>
      <w:r>
        <w:rPr>
          <w:rFonts w:ascii="Arial" w:cs="Arial" w:eastAsia="Arial" w:hAnsi="Arial"/>
          <w:b/>
          <w:bCs/>
          <w:color w:val="0D7377"/>
          <w:sz w:val="28"/>
          <w:szCs w:val="28"/>
        </w:rPr>
        <w:t xml:space="preserve">7.1 dHL → BMCC Pipeline</w:t>
      </w:r>
    </w:p>
    <w:p>
      <w:pPr>
        <w:pStyle w:val="ListParagraph"/>
        <w:numPr>
          <w:ilvl w:val="0"/>
          <w:numId w:val="3"/>
        </w:numPr>
        <w:spacing w:after="80"/>
      </w:pPr>
      <w:r>
        <w:rPr>
          <w:rFonts w:ascii="Arial" w:cs="Arial" w:eastAsia="Arial" w:hAnsi="Arial"/>
          <w:color w:val="333333"/>
          <w:sz w:val="22"/>
          <w:szCs w:val="22"/>
        </w:rPr>
        <w:t xml:space="preserve">dHL’s IndustryMentor AI introduces K-12 students to AI governance careers through the CSOAI persona set</w:t>
      </w:r>
    </w:p>
    <w:p>
      <w:pPr>
        <w:pStyle w:val="ListParagraph"/>
        <w:numPr>
          <w:ilvl w:val="0"/>
          <w:numId w:val="3"/>
        </w:numPr>
        <w:spacing w:after="80"/>
      </w:pPr>
      <w:r>
        <w:rPr>
          <w:rFonts w:ascii="Arial" w:cs="Arial" w:eastAsia="Arial" w:hAnsi="Arial"/>
          <w:color w:val="333333"/>
          <w:sz w:val="22"/>
          <w:szCs w:val="22"/>
        </w:rPr>
        <w:t xml:space="preserve">Students who engage with AI Safety Assessor personas get warm-handed to BMCC’s free CASA training</w:t>
      </w:r>
    </w:p>
    <w:p>
      <w:pPr>
        <w:pStyle w:val="ListParagraph"/>
        <w:numPr>
          <w:ilvl w:val="0"/>
          <w:numId w:val="3"/>
        </w:numPr>
        <w:spacing w:after="80"/>
      </w:pPr>
      <w:r>
        <w:rPr>
          <w:rFonts w:ascii="Arial" w:cs="Arial" w:eastAsia="Arial" w:hAnsi="Arial"/>
          <w:color w:val="333333"/>
          <w:sz w:val="22"/>
          <w:szCs w:val="22"/>
        </w:rPr>
        <w:t xml:space="preserve">dHL teachers using LessonDesign AI for AI ethics/governance lessons pull CSOAI curriculum into K-12 classrooms</w:t>
      </w:r>
    </w:p>
    <w:p>
      <w:pPr>
        <w:pStyle w:val="ListParagraph"/>
        <w:numPr>
          <w:ilvl w:val="0"/>
          <w:numId w:val="3"/>
        </w:numPr>
        <w:spacing w:after="80"/>
      </w:pPr>
      <w:r>
        <w:rPr>
          <w:rFonts w:ascii="Arial" w:cs="Arial" w:eastAsia="Arial" w:hAnsi="Arial"/>
          <w:color w:val="333333"/>
          <w:sz w:val="22"/>
          <w:szCs w:val="22"/>
        </w:rPr>
        <w:t xml:space="preserve">Public library programming introduces community members to AI governance career pathways → BMCC enrollment</w:t>
      </w:r>
    </w:p>
    <w:p>
      <w:pPr>
        <w:pStyle w:val="ListParagraph"/>
        <w:numPr>
          <w:ilvl w:val="0"/>
          <w:numId w:val="3"/>
        </w:numPr>
        <w:spacing w:after="80"/>
      </w:pPr>
      <w:r>
        <w:rPr>
          <w:rFonts w:ascii="Arial" w:cs="Arial" w:eastAsia="Arial" w:hAnsi="Arial"/>
          <w:color w:val="333333"/>
          <w:sz w:val="22"/>
          <w:szCs w:val="22"/>
        </w:rPr>
        <w:t xml:space="preserve">Every dHL user is a potential CSOAI certification candidate. Free training → paid certification funnel starts in K-12.</w:t>
      </w:r>
    </w:p>
    <w:p>
      <w:pPr>
        <w:pStyle w:val="Heading2"/>
        <w:spacing w:before="280" w:after="160"/>
      </w:pPr>
      <w:r>
        <w:rPr>
          <w:rFonts w:ascii="Arial" w:cs="Arial" w:eastAsia="Arial" w:hAnsi="Arial"/>
          <w:b/>
          <w:bCs/>
          <w:color w:val="0D7377"/>
          <w:sz w:val="28"/>
          <w:szCs w:val="28"/>
        </w:rPr>
        <w:t xml:space="preserve">7.2 BMCC → dHL Pipeline</w:t>
      </w:r>
    </w:p>
    <w:p>
      <w:pPr>
        <w:pStyle w:val="ListParagraph"/>
        <w:numPr>
          <w:ilvl w:val="0"/>
          <w:numId w:val="4"/>
        </w:numPr>
        <w:spacing w:after="80"/>
      </w:pPr>
      <w:r>
        <w:rPr>
          <w:rFonts w:ascii="Arial" w:cs="Arial" w:eastAsia="Arial" w:hAnsi="Arial"/>
          <w:color w:val="333333"/>
          <w:sz w:val="22"/>
          <w:szCs w:val="22"/>
        </w:rPr>
        <w:t xml:space="preserve">BMCC’s 600+ displaced AI safety professionals become dHL Expert listings (career mentors for K-12 students)</w:t>
      </w:r>
    </w:p>
    <w:p>
      <w:pPr>
        <w:pStyle w:val="ListParagraph"/>
        <w:numPr>
          <w:ilvl w:val="0"/>
          <w:numId w:val="4"/>
        </w:numPr>
        <w:spacing w:after="80"/>
      </w:pPr>
      <w:r>
        <w:rPr>
          <w:rFonts w:ascii="Arial" w:cs="Arial" w:eastAsia="Arial" w:hAnsi="Arial"/>
          <w:color w:val="333333"/>
          <w:sz w:val="22"/>
          <w:szCs w:val="22"/>
        </w:rPr>
        <w:t xml:space="preserve">CSOAI-certified professionals available as IndustryMentor AI training data sources and Expert connections</w:t>
      </w:r>
    </w:p>
    <w:p>
      <w:pPr>
        <w:pStyle w:val="ListParagraph"/>
        <w:numPr>
          <w:ilvl w:val="0"/>
          <w:numId w:val="4"/>
        </w:numPr>
        <w:spacing w:after="80"/>
      </w:pPr>
      <w:r>
        <w:rPr>
          <w:rFonts w:ascii="Arial" w:cs="Arial" w:eastAsia="Arial" w:hAnsi="Arial"/>
          <w:color w:val="333333"/>
          <w:sz w:val="22"/>
          <w:szCs w:val="22"/>
        </w:rPr>
        <w:t xml:space="preserve">BMCC/CUNY institutional relationship opens door for dHL in US Higher Education market</w:t>
      </w:r>
    </w:p>
    <w:p>
      <w:pPr>
        <w:pStyle w:val="ListParagraph"/>
        <w:numPr>
          <w:ilvl w:val="0"/>
          <w:numId w:val="4"/>
        </w:numPr>
        <w:spacing w:after="80"/>
      </w:pPr>
      <w:r>
        <w:rPr>
          <w:rFonts w:ascii="Arial" w:cs="Arial" w:eastAsia="Arial" w:hAnsi="Arial"/>
          <w:color w:val="333333"/>
          <w:sz w:val="22"/>
          <w:szCs w:val="22"/>
        </w:rPr>
        <w:t xml:space="preserve">CSOAI’s 21-NATO-nation network provides international distribution for dHL’s PathBuilder AI tools</w:t>
      </w:r>
    </w:p>
    <w:p>
      <w:pPr>
        <w:pStyle w:val="ListParagraph"/>
        <w:numPr>
          <w:ilvl w:val="0"/>
          <w:numId w:val="4"/>
        </w:numPr>
        <w:spacing w:after="80"/>
      </w:pPr>
      <w:r>
        <w:rPr>
          <w:rFonts w:ascii="Arial" w:cs="Arial" w:eastAsia="Arial" w:hAnsi="Arial"/>
          <w:color w:val="333333"/>
          <w:sz w:val="22"/>
          <w:szCs w:val="22"/>
        </w:rPr>
        <w:t xml:space="preserve">CA3O organizations become enterprise clients for both platforms — they need training (BMCC) AND workforce (dHL)</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DF6E3" w:val="clear"/>
            <w:tcMar>
              <w:top w:type="dxa" w:w="120"/>
              <w:left w:type="dxa" w:w="200"/>
              <w:bottom w:type="dxa" w:w="120"/>
              <w:right w:type="dxa" w:w="200"/>
            </w:tcMar>
          </w:tcPr>
          <w:p>
            <w:r>
              <w:rPr>
                <w:rFonts w:ascii="Arial" w:cs="Arial" w:eastAsia="Arial" w:hAnsi="Arial"/>
                <w:i/>
                <w:iCs/>
                <w:color w:val="1B2A4A"/>
                <w:sz w:val="22"/>
                <w:szCs w:val="22"/>
              </w:rPr>
              <w:t xml:space="preserve">This is the flywheel: dHL creates future AI governance professionals at the K-12 level. BMCC certifies them at the Higher Ed level. CA3Os employ them at the enterprise level. One platform feeds all three stages of the workforce pipeline.</w:t>
            </w:r>
          </w:p>
        </w:tc>
      </w:tr>
    </w:tbl>
    <w:p>
      <w:r>
        <w:br w:type="page"/>
      </w:r>
    </w:p>
    <w:p>
      <w:pPr>
        <w:pStyle w:val="Heading1"/>
        <w:spacing w:before="360" w:after="200"/>
      </w:pPr>
      <w:r>
        <w:rPr>
          <w:rFonts w:ascii="Arial" w:cs="Arial" w:eastAsia="Arial" w:hAnsi="Arial"/>
          <w:b/>
          <w:bCs/>
          <w:color w:val="1B2A4A"/>
          <w:sz w:val="36"/>
          <w:szCs w:val="36"/>
        </w:rPr>
        <w:t xml:space="preserve">8. Execution: What We Build and When</w:t>
      </w:r>
    </w:p>
    <w:p>
      <w:pPr>
        <w:pStyle w:val="Heading2"/>
        <w:spacing w:before="280" w:after="160"/>
      </w:pPr>
      <w:r>
        <w:rPr>
          <w:rFonts w:ascii="Arial" w:cs="Arial" w:eastAsia="Arial" w:hAnsi="Arial"/>
          <w:b/>
          <w:bCs/>
          <w:color w:val="0D7377"/>
          <w:sz w:val="28"/>
          <w:szCs w:val="28"/>
        </w:rPr>
        <w:t xml:space="preserve">8.1 Phase 1: Shared Platform Core (Weeks 1-10)</w:t>
      </w:r>
    </w:p>
    <w:p>
      <w:pPr>
        <w:pStyle w:val="ListParagraph"/>
        <w:numPr>
          <w:ilvl w:val="0"/>
          <w:numId w:val="5"/>
        </w:numPr>
        <w:spacing w:after="80"/>
      </w:pPr>
      <w:r>
        <w:rPr>
          <w:rFonts w:ascii="Arial" w:cs="Arial" w:eastAsia="Arial" w:hAnsi="Arial"/>
          <w:color w:val="333333"/>
          <w:sz w:val="22"/>
          <w:szCs w:val="22"/>
        </w:rPr>
        <w:t xml:space="preserve">Multi-tenant architecture setup (database schema, API gateway, tenant configuration)</w:t>
      </w:r>
    </w:p>
    <w:p>
      <w:pPr>
        <w:pStyle w:val="ListParagraph"/>
        <w:numPr>
          <w:ilvl w:val="0"/>
          <w:numId w:val="5"/>
        </w:numPr>
        <w:spacing w:after="80"/>
      </w:pPr>
      <w:r>
        <w:rPr>
          <w:rFonts w:ascii="Arial" w:cs="Arial" w:eastAsia="Arial" w:hAnsi="Arial"/>
          <w:color w:val="333333"/>
          <w:sz w:val="22"/>
          <w:szCs w:val="22"/>
        </w:rPr>
        <w:t xml:space="preserve">Auth system with SSO support (school/district/university integration)</w:t>
      </w:r>
    </w:p>
    <w:p>
      <w:pPr>
        <w:pStyle w:val="ListParagraph"/>
        <w:numPr>
          <w:ilvl w:val="0"/>
          <w:numId w:val="5"/>
        </w:numPr>
        <w:spacing w:after="80"/>
      </w:pPr>
      <w:r>
        <w:rPr>
          <w:rFonts w:ascii="Arial" w:cs="Arial" w:eastAsia="Arial" w:hAnsi="Arial"/>
          <w:color w:val="333333"/>
          <w:sz w:val="22"/>
          <w:szCs w:val="22"/>
        </w:rPr>
        <w:t xml:space="preserve">AI engine integration layer (Claude API with configurable persona system)</w:t>
      </w:r>
    </w:p>
    <w:p>
      <w:pPr>
        <w:pStyle w:val="ListParagraph"/>
        <w:numPr>
          <w:ilvl w:val="0"/>
          <w:numId w:val="5"/>
        </w:numPr>
        <w:spacing w:after="80"/>
      </w:pPr>
      <w:r>
        <w:rPr>
          <w:rFonts w:ascii="Arial" w:cs="Arial" w:eastAsia="Arial" w:hAnsi="Arial"/>
          <w:color w:val="333333"/>
          <w:sz w:val="22"/>
          <w:szCs w:val="22"/>
        </w:rPr>
        <w:t xml:space="preserve">6-step wizard component (shared between LessonDesign AI and CSOAI Course Builder)</w:t>
      </w:r>
    </w:p>
    <w:p>
      <w:pPr>
        <w:pStyle w:val="ListParagraph"/>
        <w:numPr>
          <w:ilvl w:val="0"/>
          <w:numId w:val="5"/>
        </w:numPr>
        <w:spacing w:after="80"/>
      </w:pPr>
      <w:r>
        <w:rPr>
          <w:rFonts w:ascii="Arial" w:cs="Arial" w:eastAsia="Arial" w:hAnsi="Arial"/>
          <w:color w:val="333333"/>
          <w:sz w:val="22"/>
          <w:szCs w:val="22"/>
        </w:rPr>
        <w:t xml:space="preserve">Search infrastructure (Elasticsearch with per-tenant indexing)</w:t>
      </w:r>
    </w:p>
    <w:p>
      <w:pPr>
        <w:pStyle w:val="ListParagraph"/>
        <w:numPr>
          <w:ilvl w:val="0"/>
          <w:numId w:val="5"/>
        </w:numPr>
        <w:spacing w:after="80"/>
      </w:pPr>
      <w:r>
        <w:rPr>
          <w:rFonts w:ascii="Arial" w:cs="Arial" w:eastAsia="Arial" w:hAnsi="Arial"/>
          <w:color w:val="333333"/>
          <w:sz w:val="22"/>
          <w:szCs w:val="22"/>
        </w:rPr>
        <w:t xml:space="preserve">Subscription/billing engine (Stripe multi-tenant)</w:t>
      </w:r>
    </w:p>
    <w:p>
      <w:pPr>
        <w:pStyle w:val="ListParagraph"/>
        <w:numPr>
          <w:ilvl w:val="0"/>
          <w:numId w:val="5"/>
        </w:numPr>
        <w:spacing w:after="80"/>
      </w:pPr>
      <w:r>
        <w:rPr>
          <w:rFonts w:ascii="Arial" w:cs="Arial" w:eastAsia="Arial" w:hAnsi="Arial"/>
          <w:color w:val="333333"/>
          <w:sz w:val="22"/>
          <w:szCs w:val="22"/>
        </w:rPr>
        <w:t xml:space="preserve">Dashboard framework (teacher/admin/institutional views)</w:t>
      </w:r>
    </w:p>
    <w:p>
      <w:pPr>
        <w:pStyle w:val="Heading2"/>
        <w:spacing w:before="280" w:after="160"/>
      </w:pPr>
      <w:r>
        <w:rPr>
          <w:rFonts w:ascii="Arial" w:cs="Arial" w:eastAsia="Arial" w:hAnsi="Arial"/>
          <w:b/>
          <w:bCs/>
          <w:color w:val="0D7377"/>
          <w:sz w:val="28"/>
          <w:szCs w:val="28"/>
        </w:rPr>
        <w:t xml:space="preserve">8.2 Phase 2: dHL Instance Launch (Weeks 8-16)</w:t>
      </w:r>
    </w:p>
    <w:p>
      <w:pPr>
        <w:pStyle w:val="ListParagraph"/>
        <w:numPr>
          <w:ilvl w:val="0"/>
          <w:numId w:val="6"/>
        </w:numPr>
        <w:spacing w:after="80"/>
      </w:pPr>
      <w:r>
        <w:rPr>
          <w:rFonts w:ascii="Arial" w:cs="Arial" w:eastAsia="Arial" w:hAnsi="Arial"/>
          <w:color w:val="333333"/>
          <w:sz w:val="22"/>
          <w:szCs w:val="22"/>
        </w:rPr>
        <w:t xml:space="preserve">dHL branding/theme applied to shared components</w:t>
      </w:r>
    </w:p>
    <w:p>
      <w:pPr>
        <w:pStyle w:val="ListParagraph"/>
        <w:numPr>
          <w:ilvl w:val="0"/>
          <w:numId w:val="6"/>
        </w:numPr>
        <w:spacing w:after="80"/>
      </w:pPr>
      <w:r>
        <w:rPr>
          <w:rFonts w:ascii="Arial" w:cs="Arial" w:eastAsia="Arial" w:hAnsi="Arial"/>
          <w:color w:val="333333"/>
          <w:sz w:val="22"/>
          <w:szCs w:val="22"/>
        </w:rPr>
        <w:t xml:space="preserve">LessonDesign AI: All wireframe feedback implemented, Expert + VR search connected</w:t>
      </w:r>
    </w:p>
    <w:p>
      <w:pPr>
        <w:pStyle w:val="ListParagraph"/>
        <w:numPr>
          <w:ilvl w:val="0"/>
          <w:numId w:val="6"/>
        </w:numPr>
        <w:spacing w:after="80"/>
      </w:pPr>
      <w:r>
        <w:rPr>
          <w:rFonts w:ascii="Arial" w:cs="Arial" w:eastAsia="Arial" w:hAnsi="Arial"/>
          <w:color w:val="333333"/>
          <w:sz w:val="22"/>
          <w:szCs w:val="22"/>
        </w:rPr>
        <w:t xml:space="preserve">IndustryMentor AI: Career persona engine with 20+ initial industry personas</w:t>
      </w:r>
    </w:p>
    <w:p>
      <w:pPr>
        <w:pStyle w:val="ListParagraph"/>
        <w:numPr>
          <w:ilvl w:val="0"/>
          <w:numId w:val="6"/>
        </w:numPr>
        <w:spacing w:after="80"/>
      </w:pPr>
      <w:r>
        <w:rPr>
          <w:rFonts w:ascii="Arial" w:cs="Arial" w:eastAsia="Arial" w:hAnsi="Arial"/>
          <w:color w:val="333333"/>
          <w:sz w:val="22"/>
          <w:szCs w:val="22"/>
        </w:rPr>
        <w:t xml:space="preserve">dHL website rebuild (Next.js, 3-market homepage)</w:t>
      </w:r>
    </w:p>
    <w:p>
      <w:pPr>
        <w:pStyle w:val="ListParagraph"/>
        <w:numPr>
          <w:ilvl w:val="0"/>
          <w:numId w:val="6"/>
        </w:numPr>
        <w:spacing w:after="80"/>
      </w:pPr>
      <w:r>
        <w:rPr>
          <w:rFonts w:ascii="Arial" w:cs="Arial" w:eastAsia="Arial" w:hAnsi="Arial"/>
          <w:color w:val="333333"/>
          <w:sz w:val="22"/>
          <w:szCs w:val="22"/>
        </w:rPr>
        <w:t xml:space="preserve">Canadian data residency (AWS ca-central-1)</w:t>
      </w:r>
    </w:p>
    <w:p>
      <w:pPr>
        <w:pStyle w:val="ListParagraph"/>
        <w:numPr>
          <w:ilvl w:val="0"/>
          <w:numId w:val="6"/>
        </w:numPr>
        <w:spacing w:after="80"/>
      </w:pPr>
      <w:r>
        <w:rPr>
          <w:rFonts w:ascii="Arial" w:cs="Arial" w:eastAsia="Arial" w:hAnsi="Arial"/>
          <w:color w:val="333333"/>
          <w:sz w:val="22"/>
          <w:szCs w:val="22"/>
        </w:rPr>
        <w:t xml:space="preserve">Leigh’s marketing overhaul materials</w:t>
      </w:r>
    </w:p>
    <w:p>
      <w:pPr>
        <w:pStyle w:val="Heading2"/>
        <w:spacing w:before="280" w:after="160"/>
      </w:pPr>
      <w:r>
        <w:rPr>
          <w:rFonts w:ascii="Arial" w:cs="Arial" w:eastAsia="Arial" w:hAnsi="Arial"/>
          <w:b/>
          <w:bCs/>
          <w:color w:val="0D7377"/>
          <w:sz w:val="28"/>
          <w:szCs w:val="28"/>
        </w:rPr>
        <w:t xml:space="preserve">8.3 Phase 3: BMCC Instance Launch (Weeks 12-20)</w:t>
      </w:r>
    </w:p>
    <w:p>
      <w:pPr>
        <w:pStyle w:val="ListParagraph"/>
        <w:numPr>
          <w:ilvl w:val="0"/>
          <w:numId w:val="7"/>
        </w:numPr>
        <w:spacing w:after="80"/>
      </w:pPr>
      <w:r>
        <w:rPr>
          <w:rFonts w:ascii="Arial" w:cs="Arial" w:eastAsia="Arial" w:hAnsi="Arial"/>
          <w:color w:val="333333"/>
          <w:sz w:val="22"/>
          <w:szCs w:val="22"/>
        </w:rPr>
        <w:t xml:space="preserve">BMCC branding/theme applied to shared components</w:t>
      </w:r>
    </w:p>
    <w:p>
      <w:pPr>
        <w:pStyle w:val="ListParagraph"/>
        <w:numPr>
          <w:ilvl w:val="0"/>
          <w:numId w:val="7"/>
        </w:numPr>
        <w:spacing w:after="80"/>
      </w:pPr>
      <w:r>
        <w:rPr>
          <w:rFonts w:ascii="Arial" w:cs="Arial" w:eastAsia="Arial" w:hAnsi="Arial"/>
          <w:color w:val="333333"/>
          <w:sz w:val="22"/>
          <w:szCs w:val="22"/>
        </w:rPr>
        <w:t xml:space="preserve">22 CASA sector courses loaded into content management system</w:t>
      </w:r>
    </w:p>
    <w:p>
      <w:pPr>
        <w:pStyle w:val="ListParagraph"/>
        <w:numPr>
          <w:ilvl w:val="0"/>
          <w:numId w:val="7"/>
        </w:numPr>
        <w:spacing w:after="80"/>
      </w:pPr>
      <w:r>
        <w:rPr>
          <w:rFonts w:ascii="Arial" w:cs="Arial" w:eastAsia="Arial" w:hAnsi="Arial"/>
          <w:color w:val="333333"/>
          <w:sz w:val="22"/>
          <w:szCs w:val="22"/>
        </w:rPr>
        <w:t xml:space="preserve">AI governance career personas loaded into IndustryMentor engine</w:t>
      </w:r>
    </w:p>
    <w:p>
      <w:pPr>
        <w:pStyle w:val="ListParagraph"/>
        <w:numPr>
          <w:ilvl w:val="0"/>
          <w:numId w:val="7"/>
        </w:numPr>
        <w:spacing w:after="80"/>
      </w:pPr>
      <w:r>
        <w:rPr>
          <w:rFonts w:ascii="Arial" w:cs="Arial" w:eastAsia="Arial" w:hAnsi="Arial"/>
          <w:color w:val="333333"/>
          <w:sz w:val="22"/>
          <w:szCs w:val="22"/>
        </w:rPr>
        <w:t xml:space="preserve">Certification exam system (CASA levels, CA3O prep)</w:t>
      </w:r>
    </w:p>
    <w:p>
      <w:pPr>
        <w:pStyle w:val="ListParagraph"/>
        <w:numPr>
          <w:ilvl w:val="0"/>
          <w:numId w:val="7"/>
        </w:numPr>
        <w:spacing w:after="80"/>
      </w:pPr>
      <w:r>
        <w:rPr>
          <w:rFonts w:ascii="Arial" w:cs="Arial" w:eastAsia="Arial" w:hAnsi="Arial"/>
          <w:color w:val="333333"/>
          <w:sz w:val="22"/>
          <w:szCs w:val="22"/>
        </w:rPr>
        <w:t xml:space="preserve">BMCC/CUNY SSO integration</w:t>
      </w:r>
    </w:p>
    <w:p>
      <w:pPr>
        <w:pStyle w:val="ListParagraph"/>
        <w:numPr>
          <w:ilvl w:val="0"/>
          <w:numId w:val="7"/>
        </w:numPr>
        <w:spacing w:after="80"/>
      </w:pPr>
      <w:r>
        <w:rPr>
          <w:rFonts w:ascii="Arial" w:cs="Arial" w:eastAsia="Arial" w:hAnsi="Arial"/>
          <w:color w:val="333333"/>
          <w:sz w:val="22"/>
          <w:szCs w:val="22"/>
        </w:rPr>
        <w:t xml:space="preserve">Enterprise assessment scheduling system (CA3O organizations)</w:t>
      </w:r>
    </w:p>
    <w:p>
      <w:pPr>
        <w:pStyle w:val="Heading2"/>
        <w:spacing w:before="280" w:after="160"/>
      </w:pPr>
      <w:r>
        <w:rPr>
          <w:rFonts w:ascii="Arial" w:cs="Arial" w:eastAsia="Arial" w:hAnsi="Arial"/>
          <w:b/>
          <w:bCs/>
          <w:color w:val="0D7377"/>
          <w:sz w:val="28"/>
          <w:szCs w:val="28"/>
        </w:rPr>
        <w:t xml:space="preserve">8.4 Phase 4: White-Label Marketplace (Weeks 20+)</w:t>
      </w:r>
    </w:p>
    <w:p>
      <w:pPr>
        <w:pStyle w:val="ListParagraph"/>
        <w:numPr>
          <w:ilvl w:val="0"/>
          <w:numId w:val="8"/>
        </w:numPr>
        <w:spacing w:after="80"/>
      </w:pPr>
      <w:r>
        <w:rPr>
          <w:rFonts w:ascii="Arial" w:cs="Arial" w:eastAsia="Arial" w:hAnsi="Arial"/>
          <w:color w:val="333333"/>
          <w:sz w:val="22"/>
          <w:szCs w:val="22"/>
        </w:rPr>
        <w:t xml:space="preserve">Self-service tenant onboarding (new white-label clients spin up their own instance)</w:t>
      </w:r>
    </w:p>
    <w:p>
      <w:pPr>
        <w:pStyle w:val="ListParagraph"/>
        <w:numPr>
          <w:ilvl w:val="0"/>
          <w:numId w:val="8"/>
        </w:numPr>
        <w:spacing w:after="80"/>
      </w:pPr>
      <w:r>
        <w:rPr>
          <w:rFonts w:ascii="Arial" w:cs="Arial" w:eastAsia="Arial" w:hAnsi="Arial"/>
          <w:color w:val="333333"/>
          <w:sz w:val="22"/>
          <w:szCs w:val="22"/>
        </w:rPr>
        <w:t xml:space="preserve">Template marketplace (pre-built persona sets, course templates, curriculum maps)</w:t>
      </w:r>
    </w:p>
    <w:p>
      <w:pPr>
        <w:pStyle w:val="ListParagraph"/>
        <w:numPr>
          <w:ilvl w:val="0"/>
          <w:numId w:val="8"/>
        </w:numPr>
        <w:spacing w:after="80"/>
      </w:pPr>
      <w:r>
        <w:rPr>
          <w:rFonts w:ascii="Arial" w:cs="Arial" w:eastAsia="Arial" w:hAnsi="Arial"/>
          <w:color w:val="333333"/>
          <w:sz w:val="22"/>
          <w:szCs w:val="22"/>
        </w:rPr>
        <w:t xml:space="preserve">API marketplace for third-party integrations (LMS, SIS, HR systems)</w:t>
      </w:r>
    </w:p>
    <w:p>
      <w:pPr>
        <w:pStyle w:val="ListParagraph"/>
        <w:numPr>
          <w:ilvl w:val="0"/>
          <w:numId w:val="8"/>
        </w:numPr>
        <w:spacing w:after="80"/>
      </w:pPr>
      <w:r>
        <w:rPr>
          <w:rFonts w:ascii="Arial" w:cs="Arial" w:eastAsia="Arial" w:hAnsi="Arial"/>
          <w:color w:val="333333"/>
          <w:sz w:val="22"/>
          <w:szCs w:val="22"/>
        </w:rPr>
        <w:t xml:space="preserve">White-label licensing: $5K-25K setup + revenue share or flat annual fee</w:t>
      </w:r>
    </w:p>
    <w:p>
      <w:pPr>
        <w:pStyle w:val="ListParagraph"/>
        <w:numPr>
          <w:ilvl w:val="0"/>
          <w:numId w:val="8"/>
        </w:numPr>
        <w:spacing w:after="80"/>
      </w:pPr>
      <w:r>
        <w:rPr>
          <w:rFonts w:ascii="Arial" w:cs="Arial" w:eastAsia="Arial" w:hAnsi="Arial"/>
          <w:color w:val="333333"/>
          <w:sz w:val="22"/>
          <w:szCs w:val="22"/>
        </w:rPr>
        <w:t xml:space="preserve">Target: 5-10 white-label clients by Year 2. 50+ by Year 5.</w:t>
      </w:r>
    </w:p>
    <w:p>
      <w:r>
        <w:br w:type="page"/>
      </w:r>
    </w:p>
    <w:p>
      <w:pPr>
        <w:pStyle w:val="Heading1"/>
        <w:spacing w:before="360" w:after="200"/>
      </w:pPr>
      <w:r>
        <w:rPr>
          <w:rFonts w:ascii="Arial" w:cs="Arial" w:eastAsia="Arial" w:hAnsi="Arial"/>
          <w:b/>
          <w:bCs/>
          <w:color w:val="1B2A4A"/>
          <w:sz w:val="36"/>
          <w:szCs w:val="36"/>
        </w:rPr>
        <w:t xml:space="preserve">9. The Bottom Line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300"/>
              <w:left w:type="dxa" w:w="300"/>
              <w:bottom w:type="dxa" w:w="300"/>
              <w:right w:type="dxa" w:w="300"/>
            </w:tcMar>
          </w:tcPr>
          <w:p>
            <w:pPr>
              <w:spacing w:after="200"/>
            </w:pPr>
            <w:r>
              <w:rPr>
                <w:rFonts w:ascii="Arial" w:cs="Arial" w:eastAsia="Arial" w:hAnsi="Arial"/>
                <w:b/>
                <w:bCs/>
                <w:color w:val="D4A843"/>
                <w:sz w:val="26"/>
                <w:szCs w:val="26"/>
              </w:rPr>
              <w:t xml:space="preserve">Leigh Cassell and Daniel Katz are independently asking for the same platform.</w:t>
            </w:r>
          </w:p>
          <w:p>
            <w:pPr>
              <w:spacing w:after="200"/>
            </w:pPr>
            <w:r>
              <w:rPr>
                <w:rFonts w:ascii="Arial" w:cs="Arial" w:eastAsia="Arial" w:hAnsi="Arial"/>
                <w:color w:val="FFFFFF"/>
                <w:sz w:val="22"/>
                <w:szCs w:val="22"/>
              </w:rPr>
              <w:t xml:space="preserve">One needs it for K-12 education in Canada. The other needs it for AI governance workforce development in the US. The backend is identical. The AI engine is identical. The subscription model is identical. The dashboard is identical.</w:t>
            </w:r>
          </w:p>
          <w:p>
            <w:pPr>
              <w:spacing w:after="200"/>
            </w:pPr>
            <w:r>
              <w:rPr>
                <w:rFonts w:ascii="Arial" w:cs="Arial" w:eastAsia="Arial" w:hAnsi="Arial"/>
                <w:color w:val="FFFFFF"/>
                <w:sz w:val="22"/>
                <w:szCs w:val="22"/>
              </w:rPr>
              <w:t xml:space="preserve">We don’t build two products. We build one platform with two skins. Every feature we build for Leigh immediately works for Daniel. Every AI persona we create for Daniel enriches Leigh’s career library. Every dollar we spend on infrastructure serves both revenue streams.</w:t>
            </w:r>
          </w:p>
          <w:p>
            <w:pPr>
              <w:spacing w:after="200"/>
            </w:pPr>
            <w:r>
              <w:rPr>
                <w:rFonts w:ascii="Arial" w:cs="Arial" w:eastAsia="Arial" w:hAnsi="Arial"/>
                <w:color w:val="FFFFFF"/>
                <w:sz w:val="22"/>
                <w:szCs w:val="22"/>
              </w:rPr>
              <w:t xml:space="preserve">Then we open the white-label marketplace to every university, school board, professional association, and training provider on Earth who needs the same thing.</w:t>
            </w:r>
          </w:p>
          <w:p>
            <w:r>
              <w:rPr>
                <w:rFonts w:ascii="Arial" w:cs="Arial" w:eastAsia="Arial" w:hAnsi="Arial"/>
                <w:b/>
                <w:bCs/>
                <w:color w:val="D4A843"/>
                <w:sz w:val="22"/>
                <w:szCs w:val="22"/>
              </w:rPr>
              <w:t xml:space="preserve">This is how Salesforce got to $37.9 billion. This is how AWS got to $128.7 billion. This is how we get to $92.5 million by Year 5.</w:t>
            </w:r>
          </w:p>
        </w:tc>
      </w:tr>
    </w:tbl>
    <w:p>
      <w:pPr>
        <w:spacing w:after="300"/>
      </w:pPr>
    </w:p>
    <w:p>
      <w:pPr>
        <w:jc w:val="center"/>
      </w:pPr>
      <w:r>
        <w:rPr>
          <w:rFonts w:ascii="Arial" w:cs="Arial" w:eastAsia="Arial" w:hAnsi="Arial"/>
          <w:b/>
          <w:bCs/>
          <w:color w:val="1B2A4A"/>
          <w:sz w:val="28"/>
          <w:szCs w:val="28"/>
        </w:rPr>
        <w:t xml:space="preserve">Build once. Deploy everywhere. Own the market.</w:t>
      </w:r>
    </w:p>
    <w:p>
      <w:pPr>
        <w:spacing w:after="100"/>
      </w:pPr>
    </w:p>
    <w:p>
      <w:pPr>
        <w:jc w:val="center"/>
      </w:pPr>
      <w:r>
        <w:rPr>
          <w:rFonts w:ascii="Arial" w:cs="Arial" w:eastAsia="Arial" w:hAnsi="Arial"/>
          <w:color w:val="0D7377"/>
          <w:sz w:val="20"/>
          <w:szCs w:val="20"/>
        </w:rPr>
        <w:t xml:space="preserve">— CSGA Group / Terranova CSOAI Corp</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Unified Platform Architecture  |  CSGA Group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D737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2026-02-20T06:49:43.494Z</dcterms:created>
  <dcterms:modified xsi:type="dcterms:W3CDTF">2026-02-20T06:49:43.495Z</dcterms:modified>
</cp:coreProperties>
</file>

<file path=docProps/custom.xml><?xml version="1.0" encoding="utf-8"?>
<Properties xmlns="http://schemas.openxmlformats.org/officeDocument/2006/custom-properties" xmlns:vt="http://schemas.openxmlformats.org/officeDocument/2006/docPropsVTypes"/>
</file>