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the-end-of-saas-research-report"/>
    <w:p>
      <w:pPr>
        <w:pStyle w:val="Heading1"/>
      </w:pPr>
      <w:r>
        <w:t xml:space="preserve">THE END OF SaaS: Research Report</w:t>
      </w:r>
    </w:p>
    <w:bookmarkStart w:id="20" w:name="X1bc3e2225e14a8639eefeee6e5348863033b164"/>
    <w:p>
      <w:pPr>
        <w:pStyle w:val="Heading2"/>
      </w:pPr>
      <w:r>
        <w:t xml:space="preserve">The Thesis That Traditional Software-as-a-Service Is Dying and Being Replaced by AI Agents</w:t>
      </w:r>
    </w:p>
    <w:p>
      <w:pPr>
        <w:pStyle w:val="FirstParagraph"/>
      </w:pPr>
      <w:r>
        <w:rPr>
          <w:bCs/>
          <w:b/>
        </w:rPr>
        <w:t xml:space="preserve">Research Date:</w:t>
      </w:r>
      <w:r>
        <w:t xml:space="preserve"> </w:t>
      </w:r>
      <w:r>
        <w:t xml:space="preserve">June 2026</w:t>
      </w:r>
      <w:r>
        <w:t xml:space="preserve"> </w:t>
      </w:r>
      <w:r>
        <w:rPr>
          <w:bCs/>
          <w:b/>
        </w:rPr>
        <w:t xml:space="preserve">Classification:</w:t>
      </w:r>
      <w:r>
        <w:t xml:space="preserve"> </w:t>
      </w:r>
      <w:r>
        <w:t xml:space="preserve">Technology Industry Analysis</w:t>
      </w:r>
      <w:r>
        <w:t xml:space="preserve"> </w:t>
      </w:r>
      <w:r>
        <w:rPr>
          <w:bCs/>
          <w:b/>
        </w:rPr>
        <w:t xml:space="preserve">Sources:</w:t>
      </w:r>
      <w:r>
        <w:t xml:space="preserve"> </w:t>
      </w:r>
      <w:r>
        <w:t xml:space="preserve">60+ primary sources including earnings calls, analyst reports, academic papers, and industry publications</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d3cf35f9537212427d5d80b10e6b20922301333">
        <w:r>
          <w:rPr>
            <w:rStyle w:val="Hyperlink"/>
          </w:rPr>
          <w:t xml:space="preserve">The End of SaaS Thesis</w:t>
        </w:r>
      </w:hyperlink>
    </w:p>
    <w:p>
      <w:pPr>
        <w:numPr>
          <w:ilvl w:val="0"/>
          <w:numId w:val="1001"/>
        </w:numPr>
        <w:pStyle w:val="Compact"/>
      </w:pPr>
      <w:hyperlink w:anchor="X7679321c16c1f92539670957abf86e9fb681321">
        <w:r>
          <w:rPr>
            <w:rStyle w:val="Hyperlink"/>
          </w:rPr>
          <w:t xml:space="preserve">What Replaces SaaS</w:t>
        </w:r>
      </w:hyperlink>
    </w:p>
    <w:p>
      <w:pPr>
        <w:numPr>
          <w:ilvl w:val="0"/>
          <w:numId w:val="1001"/>
        </w:numPr>
        <w:pStyle w:val="Compact"/>
      </w:pPr>
      <w:hyperlink w:anchor="X0cfa42b5a9beda5007e484c16ca8b57ce3b4b61">
        <w:r>
          <w:rPr>
            <w:rStyle w:val="Hyperlink"/>
          </w:rPr>
          <w:t xml:space="preserve">Real Companies Making the Shift</w:t>
        </w:r>
      </w:hyperlink>
    </w:p>
    <w:p>
      <w:pPr>
        <w:numPr>
          <w:ilvl w:val="0"/>
          <w:numId w:val="1001"/>
        </w:numPr>
        <w:pStyle w:val="Compact"/>
      </w:pPr>
      <w:hyperlink w:anchor="Xcd4ba1643c4a2cb957d66d788d628dcbd80b1d3">
        <w:r>
          <w:rPr>
            <w:rStyle w:val="Hyperlink"/>
          </w:rPr>
          <w:t xml:space="preserve">The Timeline</w:t>
        </w:r>
      </w:hyperlink>
    </w:p>
    <w:p>
      <w:pPr>
        <w:numPr>
          <w:ilvl w:val="0"/>
          <w:numId w:val="1001"/>
        </w:numPr>
        <w:pStyle w:val="Compact"/>
      </w:pPr>
      <w:hyperlink w:anchor="X627fc59e32504906b2e88f5c0d001e1013e7258">
        <w:r>
          <w:rPr>
            <w:rStyle w:val="Hyperlink"/>
          </w:rPr>
          <w:t xml:space="preserve">Implications for CSOAI/MEOK</w:t>
        </w:r>
      </w:hyperlink>
    </w:p>
    <w:p>
      <w:r>
        <w:pict>
          <v:rect style="width:0;height:1.5pt" o:hralign="center" o:hrstd="t" o:hr="t"/>
        </w:pict>
      </w:r>
    </w:p>
    <w:bookmarkEnd w:id="21"/>
    <w:bookmarkStart w:id="41" w:name="the-end-of-saas-thesis"/>
    <w:p>
      <w:pPr>
        <w:pStyle w:val="Heading2"/>
      </w:pPr>
      <w:r>
        <w:t xml:space="preserve">1. THE END OF SaaS THESIS</w:t>
      </w:r>
    </w:p>
    <w:bookmarkStart w:id="30" w:name="who-is-saying-it-key-quotes-and-sources"/>
    <w:p>
      <w:pPr>
        <w:pStyle w:val="Heading3"/>
      </w:pPr>
      <w:r>
        <w:t xml:space="preserve">1.1 Who Is Saying It — Key Quotes and Sources</w:t>
      </w:r>
    </w:p>
    <w:bookmarkStart w:id="22" w:name="satya-nadella-ceo-microsoft"/>
    <w:p>
      <w:pPr>
        <w:pStyle w:val="Heading4"/>
      </w:pPr>
      <w:r>
        <w:t xml:space="preserve">Satya Nadella, CEO Microsoft</w:t>
      </w:r>
    </w:p>
    <w:p>
      <w:pPr>
        <w:pStyle w:val="BlockText"/>
      </w:pPr>
      <w:r>
        <w:rPr>
          <w:bCs/>
          <w:b/>
        </w:rPr>
        <w:t xml:space="preserve">“</w:t>
      </w:r>
      <w:r>
        <w:rPr>
          <w:bCs/>
          <w:b/>
        </w:rPr>
        <w:t xml:space="preserve">I think, the notion that business applications exist, that’s probably where they’ll all collapse, right in the agent era, because if you think about it, right, they are essentially CRUD databases with a bunch of business logic. The business logic is all going to these agents, and these agents are going to be multi repo CRUD… They’re going to update multiple databases, and all the logic will be in the AI tier. And once the AI tier becomes the place where all the logic is, then people will start replacing the back ends.</w:t>
      </w:r>
      <w:r>
        <w:rPr>
          <w:bCs/>
          <w:b/>
        </w:rPr>
        <w:t xml:space="preserve">”</w:t>
      </w:r>
    </w:p>
    <w:p>
      <w:pPr>
        <w:pStyle w:val="BlockText"/>
      </w:pPr>
      <w:r>
        <w:t xml:space="preserve">— Satya Nadella, on the BG2 Podcast with Bill Gurley and Brad Gerstner, December 2024</w:t>
      </w:r>
    </w:p>
    <w:p>
      <w:pPr>
        <w:pStyle w:val="FirstParagraph"/>
      </w:pPr>
      <w:r>
        <w:t xml:space="preserve">Nadella elaborated that Microsoft is</w:t>
      </w:r>
      <w:r>
        <w:t xml:space="preserve"> </w:t>
      </w:r>
      <w:r>
        <w:t xml:space="preserve">“</w:t>
      </w:r>
      <w:r>
        <w:t xml:space="preserve">aggressively</w:t>
      </w:r>
      <w:r>
        <w:t xml:space="preserve">”</w:t>
      </w:r>
      <w:r>
        <w:t xml:space="preserve"> </w:t>
      </w:r>
      <w:r>
        <w:t xml:space="preserve">working to</w:t>
      </w:r>
      <w:r>
        <w:t xml:space="preserve"> </w:t>
      </w:r>
      <w:r>
        <w:t xml:space="preserve">“</w:t>
      </w:r>
      <w:r>
        <w:t xml:space="preserve">collapse</w:t>
      </w:r>
      <w:r>
        <w:t xml:space="preserve">”</w:t>
      </w:r>
      <w:r>
        <w:t xml:space="preserve"> </w:t>
      </w:r>
      <w:r>
        <w:t xml:space="preserve">backends in its Dynamics platform:</w:t>
      </w:r>
      <w:r>
        <w:t xml:space="preserve"> </w:t>
      </w:r>
      <w:r>
        <w:rPr>
          <w:iCs/>
          <w:i/>
        </w:rPr>
        <w:t xml:space="preserve">“</w:t>
      </w:r>
      <w:r>
        <w:rPr>
          <w:iCs/>
          <w:i/>
        </w:rPr>
        <w:t xml:space="preserve">We are going to go pretty aggressively and try and collapse it all right, whether it’s in customer service, whether it’s in CRM, but even our finance and operations, because people want more AI-native biz apps.</w:t>
      </w:r>
      <w:r>
        <w:rPr>
          <w:iCs/>
          <w:i/>
        </w:rPr>
        <w:t xml:space="preserve">”</w:t>
      </w:r>
    </w:p>
    <w:p>
      <w:pPr>
        <w:pStyle w:val="BodyText"/>
      </w:pPr>
      <w:r>
        <w:t xml:space="preserve">Nadella also predicted 2025 as</w:t>
      </w:r>
      <w:r>
        <w:t xml:space="preserve"> </w:t>
      </w:r>
      <w:r>
        <w:rPr>
          <w:iCs/>
          <w:i/>
        </w:rPr>
        <w:t xml:space="preserve">“</w:t>
      </w:r>
      <w:r>
        <w:rPr>
          <w:iCs/>
          <w:i/>
        </w:rPr>
        <w:t xml:space="preserve">the year of abundance of large language models</w:t>
      </w:r>
      <w:r>
        <w:rPr>
          <w:iCs/>
          <w:i/>
        </w:rPr>
        <w:t xml:space="preserve">”</w:t>
      </w:r>
      <w:r>
        <w:t xml:space="preserve"> </w:t>
      </w:r>
      <w:r>
        <w:t xml:space="preserve">where AI agents will disrupt traditional SaaS models by automating backend business logic.</w:t>
      </w:r>
    </w:p>
    <w:bookmarkEnd w:id="22"/>
    <w:bookmarkStart w:id="23" w:name="ben-thompson-stratechery"/>
    <w:p>
      <w:pPr>
        <w:pStyle w:val="Heading4"/>
      </w:pPr>
      <w:r>
        <w:t xml:space="preserve">Ben Thompson, Stratechery</w:t>
      </w:r>
    </w:p>
    <w:p>
      <w:pPr>
        <w:pStyle w:val="BlockText"/>
      </w:pPr>
      <w:r>
        <w:rPr>
          <w:bCs/>
          <w:b/>
        </w:rPr>
        <w:t xml:space="preserve">“</w:t>
      </w:r>
      <w:r>
        <w:rPr>
          <w:bCs/>
          <w:b/>
        </w:rPr>
        <w:t xml:space="preserve">The public markets indicate as of January 2026 that SaaS is canceled. Are they right? I think it’s probably a mix… People saying they’re going to zero are wrong, but if the assumption is you’re fine, but you’re not going to be growing indefinitely, like that shift from thought of as being a growth company to being a stable… That’s a haircut.</w:t>
      </w:r>
      <w:r>
        <w:rPr>
          <w:bCs/>
          <w:b/>
        </w:rPr>
        <w:t xml:space="preserve">”</w:t>
      </w:r>
    </w:p>
    <w:p>
      <w:pPr>
        <w:pStyle w:val="BlockText"/>
      </w:pPr>
      <w:r>
        <w:t xml:space="preserve">— Ben Thompson, on the Stratechery Podcast, February 2026</w:t>
      </w:r>
    </w:p>
    <w:p>
      <w:pPr>
        <w:pStyle w:val="FirstParagraph"/>
      </w:pPr>
      <w:r>
        <w:t xml:space="preserve">Thompson’s analysis, delivered in conversation with John Collison (Stripe), identifies the core structural problem: SaaS companies built on per-seat pricing face a fundamental disruption when AI agents can do the work that previously required multiple human seats. He distinguishes between</w:t>
      </w:r>
      <w:r>
        <w:t xml:space="preserve"> </w:t>
      </w:r>
      <w:r>
        <w:rPr>
          <w:bCs/>
          <w:b/>
        </w:rPr>
        <w:t xml:space="preserve">systems of record</w:t>
      </w:r>
      <w:r>
        <w:t xml:space="preserve"> </w:t>
      </w:r>
      <w:r>
        <w:t xml:space="preserve">(Workday, ERP) which are safer, and</w:t>
      </w:r>
      <w:r>
        <w:t xml:space="preserve"> </w:t>
      </w:r>
      <w:r>
        <w:rPr>
          <w:bCs/>
          <w:b/>
        </w:rPr>
        <w:t xml:space="preserve">workflow/collaboration software</w:t>
      </w:r>
      <w:r>
        <w:t xml:space="preserve"> </w:t>
      </w:r>
      <w:r>
        <w:t xml:space="preserve">which is most at risk.</w:t>
      </w:r>
    </w:p>
    <w:p>
      <w:pPr>
        <w:pStyle w:val="BodyText"/>
      </w:pPr>
      <w:r>
        <w:t xml:space="preserve">Thompson also coined the concept of</w:t>
      </w:r>
      <w:r>
        <w:t xml:space="preserve"> </w:t>
      </w:r>
      <w:r>
        <w:rPr>
          <w:bCs/>
          <w:b/>
        </w:rPr>
        <w:t xml:space="preserve">“</w:t>
      </w:r>
      <w:r>
        <w:rPr>
          <w:bCs/>
          <w:b/>
        </w:rPr>
        <w:t xml:space="preserve">just-in-time UI</w:t>
      </w:r>
      <w:r>
        <w:rPr>
          <w:bCs/>
          <w:b/>
        </w:rPr>
        <w:t xml:space="preserve">”</w:t>
      </w:r>
      <w:r>
        <w:t xml:space="preserve"> </w:t>
      </w:r>
      <w:r>
        <w:t xml:space="preserve">— interfaces that don’t exist until an AI agent generates them for a specific task — rendering traditional persistent UIs obsolete.</w:t>
      </w:r>
    </w:p>
    <w:bookmarkEnd w:id="23"/>
    <w:bookmarkStart w:id="24" w:name="sam-altman-ceo-openai"/>
    <w:p>
      <w:pPr>
        <w:pStyle w:val="Heading4"/>
      </w:pPr>
      <w:r>
        <w:t xml:space="preserve">Sam Altman, CEO OpenAI</w:t>
      </w:r>
    </w:p>
    <w:p>
      <w:pPr>
        <w:pStyle w:val="BlockText"/>
      </w:pPr>
      <w:r>
        <w:rPr>
          <w:bCs/>
          <w:b/>
        </w:rPr>
        <w:t xml:space="preserve">“</w:t>
      </w:r>
      <w:r>
        <w:rPr>
          <w:bCs/>
          <w:b/>
        </w:rPr>
        <w:t xml:space="preserve">AI Makes Every Company an API Company, Fueling SaaS Volatility</w:t>
      </w:r>
      <w:r>
        <w:rPr>
          <w:bCs/>
          <w:b/>
        </w:rPr>
        <w:t xml:space="preserve">”</w:t>
      </w:r>
    </w:p>
    <w:p>
      <w:pPr>
        <w:pStyle w:val="BlockText"/>
      </w:pPr>
      <w:r>
        <w:t xml:space="preserve">— Sam Altman, OpenAI</w:t>
      </w:r>
    </w:p>
    <w:p>
      <w:pPr>
        <w:pStyle w:val="FirstParagraph"/>
      </w:pPr>
      <w:r>
        <w:t xml:space="preserve">Altman’s thesis: The next generation of software will lack traditional user interfaces. Software will increasingly</w:t>
      </w:r>
      <w:r>
        <w:t xml:space="preserve"> </w:t>
      </w:r>
      <w:r>
        <w:rPr>
          <w:iCs/>
          <w:i/>
        </w:rPr>
        <w:t xml:space="preserve">“</w:t>
      </w:r>
      <w:r>
        <w:rPr>
          <w:iCs/>
          <w:i/>
        </w:rPr>
        <w:t xml:space="preserve">visit the user</w:t>
      </w:r>
      <w:r>
        <w:rPr>
          <w:iCs/>
          <w:i/>
        </w:rPr>
        <w:t xml:space="preserve">”</w:t>
      </w:r>
      <w:r>
        <w:t xml:space="preserve"> </w:t>
      </w:r>
      <w:r>
        <w:t xml:space="preserve">rather than requiring the user to visit a dashboard. OpenAI’s own trajectory validates this — moving from chat to agents to Operator (autonomous browser agents) to deep research agents that independently execute multi-step tasks.</w:t>
      </w:r>
    </w:p>
    <w:bookmarkEnd w:id="24"/>
    <w:bookmarkStart w:id="25" w:name="jensen-huang-ceo-nvidia"/>
    <w:p>
      <w:pPr>
        <w:pStyle w:val="Heading4"/>
      </w:pPr>
      <w:r>
        <w:t xml:space="preserve">Jensen Huang, CEO NVIDIA</w:t>
      </w:r>
    </w:p>
    <w:p>
      <w:pPr>
        <w:pStyle w:val="BlockText"/>
      </w:pPr>
      <w:r>
        <w:rPr>
          <w:bCs/>
          <w:b/>
        </w:rPr>
        <w:t xml:space="preserve">“</w:t>
      </w:r>
      <w:r>
        <w:rPr>
          <w:bCs/>
          <w:b/>
        </w:rPr>
        <w:t xml:space="preserve">Every SaaS company will become an agent platform.</w:t>
      </w:r>
      <w:r>
        <w:rPr>
          <w:bCs/>
          <w:b/>
        </w:rPr>
        <w:t xml:space="preserve">”</w:t>
      </w:r>
    </w:p>
    <w:p>
      <w:pPr>
        <w:pStyle w:val="BlockText"/>
      </w:pPr>
      <w:r>
        <w:t xml:space="preserve">— Jensen Huang, GTC 2025</w:t>
      </w:r>
    </w:p>
    <w:bookmarkEnd w:id="25"/>
    <w:bookmarkStart w:id="26" w:name="marc-benioff-ceo-salesforce"/>
    <w:p>
      <w:pPr>
        <w:pStyle w:val="Heading4"/>
      </w:pPr>
      <w:r>
        <w:t xml:space="preserve">Marc Benioff, CEO Salesforce</w:t>
      </w:r>
    </w:p>
    <w:p>
      <w:pPr>
        <w:pStyle w:val="FirstParagraph"/>
      </w:pPr>
      <w:r>
        <w:t xml:space="preserve">While not declaring SaaS dead, Benioff’s actions speak louder than words. He pivoted Salesforce’s entire strategy around</w:t>
      </w:r>
      <w:r>
        <w:t xml:space="preserve"> </w:t>
      </w:r>
      <w:r>
        <w:rPr>
          <w:bCs/>
          <w:b/>
        </w:rPr>
        <w:t xml:space="preserve">Agentforce</w:t>
      </w:r>
      <w:r>
        <w:t xml:space="preserve"> </w:t>
      </w:r>
      <w:r>
        <w:t xml:space="preserve">— explicitly shifting from</w:t>
      </w:r>
      <w:r>
        <w:t xml:space="preserve"> </w:t>
      </w:r>
      <w:r>
        <w:rPr>
          <w:iCs/>
          <w:i/>
        </w:rPr>
        <w:t xml:space="preserve">“</w:t>
      </w:r>
      <w:r>
        <w:rPr>
          <w:iCs/>
          <w:i/>
        </w:rPr>
        <w:t xml:space="preserve">the world’s #1 CRM</w:t>
      </w:r>
      <w:r>
        <w:rPr>
          <w:iCs/>
          <w:i/>
        </w:rPr>
        <w:t xml:space="preserve">”</w:t>
      </w:r>
      <w:r>
        <w:t xml:space="preserve"> </w:t>
      </w:r>
      <w:r>
        <w:t xml:space="preserve">to</w:t>
      </w:r>
      <w:r>
        <w:t xml:space="preserve"> </w:t>
      </w:r>
      <w:r>
        <w:rPr>
          <w:iCs/>
          <w:i/>
        </w:rPr>
        <w:t xml:space="preserve">“</w:t>
      </w:r>
      <w:r>
        <w:rPr>
          <w:iCs/>
          <w:i/>
        </w:rPr>
        <w:t xml:space="preserve">the world’s #1 AI agent platform.</w:t>
      </w:r>
      <w:r>
        <w:rPr>
          <w:iCs/>
          <w:i/>
        </w:rPr>
        <w:t xml:space="preserve">”</w:t>
      </w:r>
      <w:r>
        <w:t xml:space="preserve"> </w:t>
      </w:r>
      <w:r>
        <w:t xml:space="preserve">Salesforce now describes its customers not as users but as agent-deploying enterprises.</w:t>
      </w:r>
    </w:p>
    <w:bookmarkEnd w:id="26"/>
    <w:bookmarkStart w:id="27" w:name="sundar-pichai-ceo-googlealphabet"/>
    <w:p>
      <w:pPr>
        <w:pStyle w:val="Heading4"/>
      </w:pPr>
      <w:r>
        <w:t xml:space="preserve">Sundar Pichai, CEO Google/Alphabet</w:t>
      </w:r>
    </w:p>
    <w:p>
      <w:pPr>
        <w:pStyle w:val="FirstParagraph"/>
      </w:pPr>
      <w:r>
        <w:t xml:space="preserve">Pichai announced in April 2026 that</w:t>
      </w:r>
      <w:r>
        <w:t xml:space="preserve"> </w:t>
      </w:r>
      <w:r>
        <w:rPr>
          <w:bCs/>
          <w:b/>
        </w:rPr>
        <w:t xml:space="preserve">75% of Google’s new code is AI-generated</w:t>
      </w:r>
      <w:r>
        <w:t xml:space="preserve">, up from 25% in October 2024 and 50% in late 2025. He described the shift to</w:t>
      </w:r>
      <w:r>
        <w:t xml:space="preserve"> </w:t>
      </w:r>
      <w:r>
        <w:rPr>
          <w:iCs/>
          <w:i/>
        </w:rPr>
        <w:t xml:space="preserve">“</w:t>
      </w:r>
      <w:r>
        <w:rPr>
          <w:iCs/>
          <w:i/>
        </w:rPr>
        <w:t xml:space="preserve">truly agentic workflows</w:t>
      </w:r>
      <w:r>
        <w:rPr>
          <w:iCs/>
          <w:i/>
        </w:rPr>
        <w:t xml:space="preserve">”</w:t>
      </w:r>
      <w:r>
        <w:t xml:space="preserve"> </w:t>
      </w:r>
      <w:r>
        <w:t xml:space="preserve">with engineers running more autonomous tasks:</w:t>
      </w:r>
    </w:p>
    <w:p>
      <w:pPr>
        <w:pStyle w:val="BlockText"/>
      </w:pPr>
      <w:r>
        <w:rPr>
          <w:bCs/>
          <w:b/>
        </w:rPr>
        <w:t xml:space="preserve">“</w:t>
      </w:r>
      <w:r>
        <w:rPr>
          <w:bCs/>
          <w:b/>
        </w:rPr>
        <w:t xml:space="preserve">Recently, a particularly complex code migration done by agents and engineers working together was completed six times faster than was possible a year ago with engineers alone.</w:t>
      </w:r>
      <w:r>
        <w:rPr>
          <w:bCs/>
          <w:b/>
        </w:rPr>
        <w:t xml:space="preserve">”</w:t>
      </w:r>
    </w:p>
    <w:p>
      <w:pPr>
        <w:pStyle w:val="BlockText"/>
      </w:pPr>
      <w:r>
        <w:t xml:space="preserve">— Sundar Pichai, Google Blog, April 2026</w:t>
      </w:r>
    </w:p>
    <w:bookmarkEnd w:id="27"/>
    <w:bookmarkStart w:id="28" w:name="turing-ceo-a16z-backed"/>
    <w:p>
      <w:pPr>
        <w:pStyle w:val="Heading4"/>
      </w:pPr>
      <w:r>
        <w:t xml:space="preserve">Turing CEO (a16z-backed)</w:t>
      </w:r>
    </w:p>
    <w:p>
      <w:pPr>
        <w:pStyle w:val="BlockText"/>
      </w:pPr>
      <w:r>
        <w:rPr>
          <w:bCs/>
          <w:b/>
        </w:rPr>
        <w:t xml:space="preserve">“</w:t>
      </w:r>
      <w:r>
        <w:rPr>
          <w:bCs/>
          <w:b/>
        </w:rPr>
        <w:t xml:space="preserve">SaaS is dead for two reasons. First, powerful foundation models drastically lower the cost of building custom software internally. Second, existing SaaS products are built for human interaction via GUIs, not for AI agents that will increasingly use APIs and tool-calling functions directly.</w:t>
      </w:r>
      <w:r>
        <w:rPr>
          <w:bCs/>
          <w:b/>
        </w:rPr>
        <w:t xml:space="preserve">”</w:t>
      </w:r>
    </w:p>
    <w:p>
      <w:pPr>
        <w:pStyle w:val="BlockText"/>
      </w:pPr>
      <w:r>
        <w:t xml:space="preserve">— Turing CEO</w:t>
      </w:r>
    </w:p>
    <w:bookmarkEnd w:id="28"/>
    <w:bookmarkStart w:id="29" w:name="a16z-andreessen-horowitz"/>
    <w:p>
      <w:pPr>
        <w:pStyle w:val="Heading4"/>
      </w:pPr>
      <w:r>
        <w:t xml:space="preserve">a16z (Andreessen Horowitz)</w:t>
      </w:r>
    </w:p>
    <w:p>
      <w:pPr>
        <w:pStyle w:val="FirstParagraph"/>
      </w:pPr>
      <w:r>
        <w:t xml:space="preserve">a16z’s formal thesis, published January 2026, articulates five key arguments:</w:t>
      </w:r>
    </w:p>
    <w:p>
      <w:pPr>
        <w:numPr>
          <w:ilvl w:val="0"/>
          <w:numId w:val="1002"/>
        </w:numPr>
        <w:pStyle w:val="Compact"/>
      </w:pPr>
      <w:r>
        <w:rPr>
          <w:bCs/>
          <w:b/>
        </w:rPr>
        <w:t xml:space="preserve">“</w:t>
      </w:r>
      <w:r>
        <w:rPr>
          <w:bCs/>
          <w:b/>
        </w:rPr>
        <w:t xml:space="preserve">Software as Labor</w:t>
      </w:r>
      <w:r>
        <w:rPr>
          <w:bCs/>
          <w:b/>
        </w:rPr>
        <w:t xml:space="preserve">”</w:t>
      </w:r>
      <w:r>
        <w:t xml:space="preserve"> </w:t>
      </w:r>
      <w:r>
        <w:t xml:space="preserve">— The logic of SaaS evolves from selling tools to directly delivering work results</w:t>
      </w:r>
    </w:p>
    <w:p>
      <w:pPr>
        <w:numPr>
          <w:ilvl w:val="0"/>
          <w:numId w:val="1002"/>
        </w:numPr>
        <w:pStyle w:val="Compact"/>
      </w:pPr>
      <w:r>
        <w:rPr>
          <w:bCs/>
          <w:b/>
        </w:rPr>
        <w:t xml:space="preserve">Proprietary data is the only walled garden</w:t>
      </w:r>
      <w:r>
        <w:t xml:space="preserve"> </w:t>
      </w:r>
      <w:r>
        <w:t xml:space="preserve">— As models commoditize, proprietary data becomes the only moat</w:t>
      </w:r>
    </w:p>
    <w:p>
      <w:pPr>
        <w:numPr>
          <w:ilvl w:val="0"/>
          <w:numId w:val="1002"/>
        </w:numPr>
        <w:pStyle w:val="Compact"/>
      </w:pPr>
      <w:r>
        <w:rPr>
          <w:bCs/>
          <w:b/>
        </w:rPr>
        <w:t xml:space="preserve">From selling raw materials to selling finished products</w:t>
      </w:r>
      <w:r>
        <w:t xml:space="preserve"> </w:t>
      </w:r>
      <w:r>
        <w:t xml:space="preserve">— AI transforms data vendors from selling data to selling complete analysis</w:t>
      </w:r>
    </w:p>
    <w:p>
      <w:pPr>
        <w:numPr>
          <w:ilvl w:val="0"/>
          <w:numId w:val="1002"/>
        </w:numPr>
        <w:pStyle w:val="Compact"/>
      </w:pPr>
      <w:r>
        <w:rPr>
          <w:bCs/>
          <w:b/>
        </w:rPr>
        <w:t xml:space="preserve">Giants have hostages, not customers</w:t>
      </w:r>
      <w:r>
        <w:t xml:space="preserve"> </w:t>
      </w:r>
      <w:r>
        <w:t xml:space="preserve">— Salesforce/Workday customers are locked in by systems of record, not by choice</w:t>
      </w:r>
    </w:p>
    <w:p>
      <w:pPr>
        <w:numPr>
          <w:ilvl w:val="0"/>
          <w:numId w:val="1002"/>
        </w:numPr>
        <w:pStyle w:val="Compact"/>
      </w:pPr>
      <w:r>
        <w:rPr>
          <w:bCs/>
          <w:b/>
        </w:rPr>
        <w:t xml:space="preserve">Vertical integration beats horizontal SaaS</w:t>
      </w:r>
      <w:r>
        <w:t xml:space="preserve"> </w:t>
      </w:r>
      <w:r>
        <w:t xml:space="preserve">— Better to acquire an accounting firm and AI-optimize it than to sell accounting software</w:t>
      </w:r>
    </w:p>
    <w:bookmarkEnd w:id="29"/>
    <w:bookmarkEnd w:id="30"/>
    <w:bookmarkStart w:id="34" w:name="Xff7ed255e7d150a414c9536c1dc456fd7d69894"/>
    <w:p>
      <w:pPr>
        <w:pStyle w:val="Heading3"/>
      </w:pPr>
      <w:r>
        <w:t xml:space="preserve">1.2 Evidence — Market Data and Financial Metrics</w:t>
      </w:r>
    </w:p>
    <w:bookmarkStart w:id="31" w:name="the-saas-stock-crash-saaspocalypse"/>
    <w:p>
      <w:pPr>
        <w:pStyle w:val="Heading4"/>
      </w:pPr>
      <w:r>
        <w:t xml:space="preserve">The SaaS Stock Crash (</w:t>
      </w:r>
      <w:r>
        <w:t xml:space="preserve">“</w:t>
      </w:r>
      <w:r>
        <w:t xml:space="preserve">SaaSpocalypse</w:t>
      </w:r>
      <w:r>
        <w:t xml:space="preserve">”</w:t>
      </w:r>
      <w:r>
        <w:t xml:space="preserve">)</w:t>
      </w:r>
    </w:p>
    <w:p>
      <w:pPr>
        <w:pStyle w:val="FirstParagraph"/>
      </w:pPr>
      <w:r>
        <w:t xml:space="preserve">In January-February 2026, Wall Street executed a historic repricing of SaaS equities. The narrative:</w:t>
      </w:r>
      <w:r>
        <w:t xml:space="preserve"> </w:t>
      </w:r>
      <w:r>
        <w:rPr>
          <w:bCs/>
          <w:b/>
        </w:rPr>
        <w:t xml:space="preserve">“</w:t>
      </w:r>
      <w:r>
        <w:rPr>
          <w:bCs/>
          <w:b/>
        </w:rPr>
        <w:t xml:space="preserve">AI eats software.</w:t>
      </w:r>
      <w:r>
        <w:rPr>
          <w:bCs/>
          <w:b/>
        </w:rPr>
        <w:t xml:space="preserve">”</w:t>
      </w:r>
    </w:p>
    <w:tbl>
      <w:tblPr>
        <w:tblStyle w:val="Table"/>
        <w:tblW w:type="pct" w:w="5000"/>
        <w:tblLook w:firstRow="1" w:lastRow="0" w:firstColumn="0" w:lastColumn="0" w:noHBand="0" w:noVBand="0" w:val="0020"/>
      </w:tblPr>
      <w:tblGrid>
        <w:gridCol w:w="2096"/>
        <w:gridCol w:w="5823"/>
      </w:tblGrid>
      <w:tr>
        <w:trPr>
          <w:tblHeader w:val="true"/>
        </w:trPr>
        <w:tc>
          <w:tcPr/>
          <w:p>
            <w:pPr>
              <w:pStyle w:val="Compact"/>
              <w:jc w:val="left"/>
            </w:pPr>
            <w:r>
              <w:t xml:space="preserve">Company</w:t>
            </w:r>
          </w:p>
        </w:tc>
        <w:tc>
          <w:tcPr/>
          <w:p>
            <w:pPr>
              <w:pStyle w:val="Compact"/>
              <w:jc w:val="left"/>
            </w:pPr>
            <w:r>
              <w:t xml:space="preserve">2026 Loss (as of Jan 22)</w:t>
            </w:r>
          </w:p>
        </w:tc>
      </w:tr>
      <w:tr>
        <w:tc>
          <w:tcPr/>
          <w:p>
            <w:pPr>
              <w:pStyle w:val="Compact"/>
              <w:jc w:val="left"/>
            </w:pPr>
            <w:r>
              <w:t xml:space="preserve">Salesforce</w:t>
            </w:r>
          </w:p>
        </w:tc>
        <w:tc>
          <w:tcPr/>
          <w:p>
            <w:pPr>
              <w:pStyle w:val="Compact"/>
              <w:jc w:val="left"/>
            </w:pPr>
            <w:r>
              <w:t xml:space="preserve">Double-digit</w:t>
            </w:r>
          </w:p>
        </w:tc>
      </w:tr>
      <w:tr>
        <w:tc>
          <w:tcPr/>
          <w:p>
            <w:pPr>
              <w:pStyle w:val="Compact"/>
              <w:jc w:val="left"/>
            </w:pPr>
            <w:r>
              <w:t xml:space="preserve">Adobe</w:t>
            </w:r>
          </w:p>
        </w:tc>
        <w:tc>
          <w:tcPr/>
          <w:p>
            <w:pPr>
              <w:pStyle w:val="Compact"/>
              <w:jc w:val="left"/>
            </w:pPr>
            <w:r>
              <w:t xml:space="preserve">Double-digit</w:t>
            </w:r>
          </w:p>
        </w:tc>
      </w:tr>
      <w:tr>
        <w:tc>
          <w:tcPr/>
          <w:p>
            <w:pPr>
              <w:pStyle w:val="Compact"/>
              <w:jc w:val="left"/>
            </w:pPr>
            <w:r>
              <w:t xml:space="preserve">Oracle</w:t>
            </w:r>
          </w:p>
        </w:tc>
        <w:tc>
          <w:tcPr/>
          <w:p>
            <w:pPr>
              <w:pStyle w:val="Compact"/>
              <w:jc w:val="left"/>
            </w:pPr>
            <w:r>
              <w:t xml:space="preserve">Double-digit</w:t>
            </w:r>
          </w:p>
        </w:tc>
      </w:tr>
      <w:tr>
        <w:tc>
          <w:tcPr/>
          <w:p>
            <w:pPr>
              <w:pStyle w:val="Compact"/>
              <w:jc w:val="left"/>
            </w:pPr>
            <w:r>
              <w:t xml:space="preserve">ServiceNow</w:t>
            </w:r>
          </w:p>
        </w:tc>
        <w:tc>
          <w:tcPr/>
          <w:p>
            <w:pPr>
              <w:pStyle w:val="Compact"/>
              <w:jc w:val="left"/>
            </w:pPr>
            <w:r>
              <w:t xml:space="preserve">30-50%</w:t>
            </w:r>
          </w:p>
        </w:tc>
      </w:tr>
      <w:tr>
        <w:tc>
          <w:tcPr/>
          <w:p>
            <w:pPr>
              <w:pStyle w:val="Compact"/>
              <w:jc w:val="left"/>
            </w:pPr>
            <w:r>
              <w:t xml:space="preserve">Atlassian</w:t>
            </w:r>
          </w:p>
        </w:tc>
        <w:tc>
          <w:tcPr/>
          <w:p>
            <w:pPr>
              <w:pStyle w:val="Compact"/>
              <w:jc w:val="left"/>
            </w:pPr>
            <w:r>
              <w:t xml:space="preserve">30-50%</w:t>
            </w:r>
          </w:p>
        </w:tc>
      </w:tr>
      <w:tr>
        <w:tc>
          <w:tcPr/>
          <w:p>
            <w:pPr>
              <w:pStyle w:val="Compact"/>
              <w:jc w:val="left"/>
            </w:pPr>
            <w:r>
              <w:t xml:space="preserve">HubSpot</w:t>
            </w:r>
          </w:p>
        </w:tc>
        <w:tc>
          <w:tcPr/>
          <w:p>
            <w:pPr>
              <w:pStyle w:val="Compact"/>
              <w:jc w:val="left"/>
            </w:pPr>
            <w:r>
              <w:t xml:space="preserve">30-50%</w:t>
            </w:r>
          </w:p>
        </w:tc>
      </w:tr>
      <w:tr>
        <w:tc>
          <w:tcPr/>
          <w:p>
            <w:pPr>
              <w:pStyle w:val="Compact"/>
              <w:jc w:val="left"/>
            </w:pPr>
            <w:r>
              <w:t xml:space="preserve">DocuSign</w:t>
            </w:r>
          </w:p>
        </w:tc>
        <w:tc>
          <w:tcPr/>
          <w:p>
            <w:pPr>
              <w:pStyle w:val="Compact"/>
              <w:jc w:val="left"/>
            </w:pPr>
            <w:r>
              <w:t xml:space="preserve">Significant</w:t>
            </w:r>
          </w:p>
        </w:tc>
      </w:tr>
      <w:tr>
        <w:tc>
          <w:tcPr/>
          <w:p>
            <w:pPr>
              <w:pStyle w:val="Compact"/>
              <w:jc w:val="left"/>
            </w:pPr>
            <w:r>
              <w:t xml:space="preserve">Workday</w:t>
            </w:r>
          </w:p>
        </w:tc>
        <w:tc>
          <w:tcPr/>
          <w:p>
            <w:pPr>
              <w:pStyle w:val="Compact"/>
              <w:jc w:val="left"/>
            </w:pPr>
            <w:r>
              <w:t xml:space="preserve">Downgraded by Jefferies from Buy to Hold, price target $325 to $150</w:t>
            </w:r>
          </w:p>
        </w:tc>
      </w:tr>
      <w:tr>
        <w:tc>
          <w:tcPr/>
          <w:p>
            <w:pPr>
              <w:pStyle w:val="Compact"/>
              <w:jc w:val="left"/>
            </w:pPr>
            <w:r>
              <w:t xml:space="preserve">SAP</w:t>
            </w:r>
          </w:p>
        </w:tc>
        <w:tc>
          <w:tcPr/>
          <w:p>
            <w:pPr>
              <w:pStyle w:val="Compact"/>
              <w:jc w:val="left"/>
            </w:pPr>
            <w:r>
              <w:t xml:space="preserve">&gt;1/3 loss from highs</w:t>
            </w:r>
          </w:p>
        </w:tc>
      </w:tr>
    </w:tbl>
    <w:p>
      <w:pPr>
        <w:pStyle w:val="BodyText"/>
      </w:pPr>
      <w:r>
        <w:rPr>
          <w:bCs/>
          <w:b/>
        </w:rPr>
        <w:t xml:space="preserve">Key indices:</w:t>
      </w:r>
      <w:r>
        <w:t xml:space="preserve"> </w:t>
      </w:r>
      <w:r>
        <w:t xml:space="preserve">-</w:t>
      </w:r>
      <w:r>
        <w:t xml:space="preserve"> </w:t>
      </w:r>
      <w:r>
        <w:rPr>
          <w:bCs/>
          <w:b/>
        </w:rPr>
        <w:t xml:space="preserve">BVP Nasdaq Emerging Cloud Index:</w:t>
      </w:r>
      <w:r>
        <w:t xml:space="preserve"> </w:t>
      </w:r>
      <w:r>
        <w:t xml:space="preserve">Down ~53.9% from November 2021 peak (3097) to June 2026 (1429)</w:t>
      </w:r>
      <w:r>
        <w:t xml:space="preserve"> </w:t>
      </w:r>
      <w:r>
        <w:t xml:space="preserve">-</w:t>
      </w:r>
      <w:r>
        <w:t xml:space="preserve"> </w:t>
      </w:r>
      <w:r>
        <w:rPr>
          <w:bCs/>
          <w:b/>
        </w:rPr>
        <w:t xml:space="preserve">Average EV/Revenue multiple:</w:t>
      </w:r>
      <w:r>
        <w:t xml:space="preserve"> </w:t>
      </w:r>
      <w:r>
        <w:t xml:space="preserve">Compressed from ~28x (Q4 2021) to ~6.6x (June 2026)</w:t>
      </w:r>
      <w:r>
        <w:t xml:space="preserve"> </w:t>
      </w:r>
      <w:r>
        <w:t xml:space="preserve">-</w:t>
      </w:r>
      <w:r>
        <w:t xml:space="preserve"> </w:t>
      </w:r>
      <w:r>
        <w:rPr>
          <w:bCs/>
          <w:b/>
        </w:rPr>
        <w:t xml:space="preserve">S&amp;P North American Software Index:</w:t>
      </w:r>
      <w:r>
        <w:t xml:space="preserve"> </w:t>
      </w:r>
      <w:r>
        <w:t xml:space="preserve">Declined 15% in January 2026 — worst monthly performance since October 2008</w:t>
      </w:r>
    </w:p>
    <w:p>
      <w:pPr>
        <w:pStyle w:val="BlockText"/>
      </w:pPr>
      <w:r>
        <w:rPr>
          <w:bCs/>
          <w:b/>
        </w:rPr>
        <w:t xml:space="preserve">“</w:t>
      </w:r>
      <w:r>
        <w:rPr>
          <w:bCs/>
          <w:b/>
        </w:rPr>
        <w:t xml:space="preserve">Software posted its best month since 2001 in May 2026</w:t>
      </w:r>
      <w:r>
        <w:rPr>
          <w:bCs/>
          <w:b/>
        </w:rPr>
        <w:t xml:space="preserve">”</w:t>
      </w:r>
      <w:r>
        <w:t xml:space="preserve"> </w:t>
      </w:r>
      <w:r>
        <w:t xml:space="preserve">— after the crash, a partial recovery as the market realized that AI-native software companies (like Salesforce with Agentforce) could capture new value.</w:t>
      </w:r>
    </w:p>
    <w:bookmarkEnd w:id="31"/>
    <w:bookmarkStart w:id="32" w:name="X276fbfe18c0b5406a79b4bd3676d130b3604271"/>
    <w:p>
      <w:pPr>
        <w:pStyle w:val="Heading4"/>
      </w:pPr>
      <w:r>
        <w:t xml:space="preserve">The Counter-Evidence: SaaS Is Not Dead Yet</w:t>
      </w:r>
    </w:p>
    <w:p>
      <w:pPr>
        <w:numPr>
          <w:ilvl w:val="0"/>
          <w:numId w:val="1003"/>
        </w:numPr>
        <w:pStyle w:val="Compact"/>
      </w:pPr>
      <w:r>
        <w:rPr>
          <w:bCs/>
          <w:b/>
        </w:rPr>
        <w:t xml:space="preserve">SaaS market valued at $315.68 billion in 2025</w:t>
      </w:r>
      <w:r>
        <w:t xml:space="preserve">, projected to reach $1.22 trillion by 2032 (CAGR 18.4%)</w:t>
      </w:r>
    </w:p>
    <w:p>
      <w:pPr>
        <w:numPr>
          <w:ilvl w:val="0"/>
          <w:numId w:val="1003"/>
        </w:numPr>
        <w:pStyle w:val="Compact"/>
      </w:pPr>
      <w:r>
        <w:t xml:space="preserve">Salesforce FY25 revenue:</w:t>
      </w:r>
      <w:r>
        <w:t xml:space="preserve"> </w:t>
      </w:r>
      <w:r>
        <w:rPr>
          <w:bCs/>
          <w:b/>
        </w:rPr>
        <w:t xml:space="preserve">$37.9 billion</w:t>
      </w:r>
      <w:r>
        <w:t xml:space="preserve"> </w:t>
      </w:r>
      <w:r>
        <w:t xml:space="preserve">(up 9% YoY) with $63.4 billion remaining performance obligation</w:t>
      </w:r>
    </w:p>
    <w:p>
      <w:pPr>
        <w:numPr>
          <w:ilvl w:val="0"/>
          <w:numId w:val="1003"/>
        </w:numPr>
        <w:pStyle w:val="Compact"/>
      </w:pPr>
      <w:r>
        <w:rPr>
          <w:bCs/>
          <w:b/>
        </w:rPr>
        <w:t xml:space="preserve">Microsoft FY25 revenue: $281.7 billion</w:t>
      </w:r>
      <w:r>
        <w:t xml:space="preserve"> </w:t>
      </w:r>
      <w:r>
        <w:t xml:space="preserve">(up 15% YoY), operating income $128.5 billion</w:t>
      </w:r>
    </w:p>
    <w:p>
      <w:pPr>
        <w:numPr>
          <w:ilvl w:val="0"/>
          <w:numId w:val="1003"/>
        </w:numPr>
        <w:pStyle w:val="Compact"/>
      </w:pPr>
      <w:r>
        <w:t xml:space="preserve">SaaS posted best month since 2001 in May 2026 — suggesting repricing, not extinction</w:t>
      </w:r>
    </w:p>
    <w:bookmarkEnd w:id="32"/>
    <w:bookmarkStart w:id="33" w:name="ai-funding-flood"/>
    <w:p>
      <w:pPr>
        <w:pStyle w:val="Heading4"/>
      </w:pPr>
      <w:r>
        <w:t xml:space="preserve">AI Funding Flood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AI funding rounds in 2025</w:t>
            </w:r>
          </w:p>
        </w:tc>
        <w:tc>
          <w:tcPr/>
          <w:p>
            <w:pPr>
              <w:pStyle w:val="Compact"/>
              <w:jc w:val="left"/>
            </w:pPr>
            <w:r>
              <w:t xml:space="preserve">7,646 (new record, up 50% YoY)</w:t>
            </w:r>
          </w:p>
        </w:tc>
      </w:tr>
      <w:tr>
        <w:tc>
          <w:tcPr/>
          <w:p>
            <w:pPr>
              <w:pStyle w:val="Compact"/>
              <w:jc w:val="left"/>
            </w:pPr>
            <w:r>
              <w:t xml:space="preserve">Global AI funding in 2025</w:t>
            </w:r>
          </w:p>
        </w:tc>
        <w:tc>
          <w:tcPr/>
          <w:p>
            <w:pPr>
              <w:pStyle w:val="Compact"/>
              <w:jc w:val="left"/>
            </w:pPr>
            <w:r>
              <w:t xml:space="preserve">$202.3 billion (up 75%+ YoY)</w:t>
            </w:r>
          </w:p>
        </w:tc>
      </w:tr>
      <w:tr>
        <w:tc>
          <w:tcPr/>
          <w:p>
            <w:pPr>
              <w:pStyle w:val="Compact"/>
              <w:jc w:val="left"/>
            </w:pPr>
            <w:r>
              <w:t xml:space="preserve">AI share of total VC funding</w:t>
            </w:r>
          </w:p>
        </w:tc>
        <w:tc>
          <w:tcPr/>
          <w:p>
            <w:pPr>
              <w:pStyle w:val="Compact"/>
              <w:jc w:val="left"/>
            </w:pPr>
            <w:r>
              <w:t xml:space="preserve">~50%</w:t>
            </w:r>
          </w:p>
        </w:tc>
      </w:tr>
      <w:tr>
        <w:tc>
          <w:tcPr/>
          <w:p>
            <w:pPr>
              <w:pStyle w:val="Compact"/>
              <w:jc w:val="left"/>
            </w:pPr>
            <w:r>
              <w:t xml:space="preserve">AI funding rounds Q1 2026</w:t>
            </w:r>
          </w:p>
        </w:tc>
        <w:tc>
          <w:tcPr/>
          <w:p>
            <w:pPr>
              <w:pStyle w:val="Compact"/>
              <w:jc w:val="left"/>
            </w:pPr>
            <w:r>
              <w:t xml:space="preserve">2,887</w:t>
            </w:r>
          </w:p>
        </w:tc>
      </w:tr>
      <w:tr>
        <w:tc>
          <w:tcPr/>
          <w:p>
            <w:pPr>
              <w:pStyle w:val="Compact"/>
              <w:jc w:val="left"/>
            </w:pPr>
            <w:r>
              <w:t xml:space="preserve">SaaS seed median valuation Q3 2025</w:t>
            </w:r>
          </w:p>
        </w:tc>
        <w:tc>
          <w:tcPr/>
          <w:p>
            <w:pPr>
              <w:pStyle w:val="Compact"/>
              <w:jc w:val="left"/>
            </w:pPr>
            <w:r>
              <w:t xml:space="preserve">$19.8M (up 35% YoY)</w:t>
            </w:r>
          </w:p>
        </w:tc>
      </w:tr>
      <w:tr>
        <w:tc>
          <w:tcPr/>
          <w:p>
            <w:pPr>
              <w:pStyle w:val="Compact"/>
              <w:jc w:val="left"/>
            </w:pPr>
            <w:r>
              <w:t xml:space="preserve">SaaS Series B median valuation Q3 2025</w:t>
            </w:r>
          </w:p>
        </w:tc>
        <w:tc>
          <w:tcPr/>
          <w:p>
            <w:pPr>
              <w:pStyle w:val="Compact"/>
              <w:jc w:val="left"/>
            </w:pPr>
            <w:r>
              <w:t xml:space="preserve">$175M (up 38% YoY)</w:t>
            </w:r>
          </w:p>
        </w:tc>
      </w:tr>
    </w:tbl>
    <w:p>
      <w:pPr>
        <w:pStyle w:val="BodyText"/>
      </w:pPr>
      <w:r>
        <w:rPr>
          <w:bCs/>
          <w:b/>
        </w:rPr>
        <w:t xml:space="preserve">Key insight from Mercury Fund’s Garrou:</w:t>
      </w:r>
      <w:r>
        <w:t xml:space="preserve"> </w:t>
      </w:r>
      <w:r>
        <w:rPr>
          <w:iCs/>
          <w:i/>
        </w:rPr>
        <w:t xml:space="preserve">“</w:t>
      </w:r>
      <w:r>
        <w:rPr>
          <w:iCs/>
          <w:i/>
        </w:rPr>
        <w:t xml:space="preserve">At a $1 million run rate, a lot of these companies are getting $100 million-plus pre-money valuations… These vertical AI deals, they’re typically going to be winner-take-all markets.</w:t>
      </w:r>
      <w:r>
        <w:rPr>
          <w:iCs/>
          <w:i/>
        </w:rPr>
        <w:t xml:space="preserve">”</w:t>
      </w:r>
    </w:p>
    <w:bookmarkEnd w:id="33"/>
    <w:bookmarkEnd w:id="34"/>
    <w:bookmarkStart w:id="35" w:name="academic-and-research-papers"/>
    <w:p>
      <w:pPr>
        <w:pStyle w:val="Heading3"/>
      </w:pPr>
      <w:r>
        <w:t xml:space="preserve">1.3 Academic and Research Papers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Paper/Source</w:t>
            </w:r>
          </w:p>
        </w:tc>
        <w:tc>
          <w:tcPr/>
          <w:p>
            <w:pPr>
              <w:pStyle w:val="Compact"/>
              <w:jc w:val="left"/>
            </w:pPr>
            <w:r>
              <w:t xml:space="preserve">Key Finding</w:t>
            </w:r>
          </w:p>
        </w:tc>
      </w:tr>
      <w:tr>
        <w:tc>
          <w:tcPr/>
          <w:p>
            <w:pPr>
              <w:pStyle w:val="Compact"/>
              <w:jc w:val="left"/>
            </w:pPr>
            <w:r>
              <w:rPr>
                <w:bCs/>
                <w:b/>
              </w:rPr>
              <w:t xml:space="preserve">“</w:t>
            </w:r>
            <w:r>
              <w:rPr>
                <w:bCs/>
                <w:b/>
              </w:rPr>
              <w:t xml:space="preserve">Agent-as-a-Service (AaaS): Disrupting the SaaS Paradigm</w:t>
            </w:r>
            <w:r>
              <w:rPr>
                <w:bCs/>
                <w:b/>
              </w:rPr>
              <w:t xml:space="preserve">”</w:t>
            </w:r>
            <w:r>
              <w:t xml:space="preserve"> </w:t>
            </w:r>
            <w:r>
              <w:t xml:space="preserve">— IJSAT, Vikash Kumar Mishra, 2025</w:t>
            </w:r>
          </w:p>
        </w:tc>
        <w:tc>
          <w:tcPr/>
          <w:p>
            <w:pPr>
              <w:pStyle w:val="Compact"/>
              <w:jc w:val="left"/>
            </w:pPr>
            <w:r>
              <w:t xml:space="preserve">Defines AaaS as cloud-hosted intelligent agents performing complex tasks autonomously. AaaS market projected $47.1B by 2030 (44.8% CAGR). SaaS limitations: static UIs, rule-based automation, minimal contextual awareness, app silos.</w:t>
            </w:r>
          </w:p>
        </w:tc>
      </w:tr>
      <w:tr>
        <w:tc>
          <w:tcPr/>
          <w:p>
            <w:pPr>
              <w:pStyle w:val="Compact"/>
              <w:jc w:val="left"/>
            </w:pPr>
            <w:r>
              <w:rPr>
                <w:bCs/>
                <w:b/>
              </w:rPr>
              <w:t xml:space="preserve">“</w:t>
            </w:r>
            <w:r>
              <w:rPr>
                <w:bCs/>
                <w:b/>
              </w:rPr>
              <w:t xml:space="preserve">From SaaS to Intelligence-as-a-Service</w:t>
            </w:r>
            <w:r>
              <w:rPr>
                <w:bCs/>
                <w:b/>
              </w:rPr>
              <w:t xml:space="preserve">”</w:t>
            </w:r>
            <w:r>
              <w:t xml:space="preserve"> </w:t>
            </w:r>
            <w:r>
              <w:t xml:space="preserve">— AI Spectrum India, Ankit Kankar, 2025</w:t>
            </w:r>
          </w:p>
        </w:tc>
        <w:tc>
          <w:tcPr/>
          <w:p>
            <w:pPr>
              <w:pStyle w:val="Compact"/>
              <w:jc w:val="left"/>
            </w:pPr>
            <w:r>
              <w:t xml:space="preserve">IaaS market valued ~$17B in 2025, expected to reach $230B+ by 2034. Shift from</w:t>
            </w:r>
            <w:r>
              <w:t xml:space="preserve"> </w:t>
            </w:r>
            <w:r>
              <w:t xml:space="preserve">“</w:t>
            </w:r>
            <w:r>
              <w:t xml:space="preserve">glorified toolboxes</w:t>
            </w:r>
            <w:r>
              <w:t xml:space="preserve">”</w:t>
            </w:r>
            <w:r>
              <w:t xml:space="preserve"> </w:t>
            </w:r>
            <w:r>
              <w:t xml:space="preserve">to systems that actively deliver outcomes.</w:t>
            </w:r>
          </w:p>
        </w:tc>
      </w:tr>
      <w:tr>
        <w:tc>
          <w:tcPr/>
          <w:p>
            <w:pPr>
              <w:pStyle w:val="Compact"/>
              <w:jc w:val="left"/>
            </w:pPr>
            <w:r>
              <w:rPr>
                <w:bCs/>
                <w:b/>
              </w:rPr>
              <w:t xml:space="preserve">a16z Report:</w:t>
            </w:r>
            <w:r>
              <w:rPr>
                <w:bCs/>
                <w:b/>
              </w:rPr>
              <w:t xml:space="preserve"> </w:t>
            </w:r>
            <w:r>
              <w:rPr>
                <w:bCs/>
                <w:b/>
              </w:rPr>
              <w:t xml:space="preserve">“</w:t>
            </w:r>
            <w:r>
              <w:rPr>
                <w:bCs/>
                <w:b/>
              </w:rPr>
              <w:t xml:space="preserve">SaaS Is Dead, AI Apps’ Moats Stem from Three Aspects</w:t>
            </w:r>
            <w:r>
              <w:rPr>
                <w:bCs/>
                <w:b/>
              </w:rPr>
              <w:t xml:space="preserve">”</w:t>
            </w:r>
            <w:r>
              <w:t xml:space="preserve"> </w:t>
            </w:r>
            <w:r>
              <w:t xml:space="preserve">— Jan 2026</w:t>
            </w:r>
          </w:p>
        </w:tc>
        <w:tc>
          <w:tcPr/>
          <w:p>
            <w:pPr>
              <w:pStyle w:val="Compact"/>
              <w:jc w:val="left"/>
            </w:pPr>
            <w:r>
              <w:t xml:space="preserve">“</w:t>
            </w:r>
            <w:r>
              <w:t xml:space="preserve">Software as Labor</w:t>
            </w:r>
            <w:r>
              <w:t xml:space="preserve">”</w:t>
            </w:r>
            <w:r>
              <w:t xml:space="preserve"> </w:t>
            </w:r>
            <w:r>
              <w:t xml:space="preserve">is the largest incremental opportunity. Giants have</w:t>
            </w:r>
            <w:r>
              <w:t xml:space="preserve"> </w:t>
            </w:r>
            <w:r>
              <w:t xml:space="preserve">“</w:t>
            </w:r>
            <w:r>
              <w:t xml:space="preserve">hostages instead of customers.</w:t>
            </w:r>
            <w:r>
              <w:t xml:space="preserve">”</w:t>
            </w:r>
            <w:r>
              <w:t xml:space="preserve"> </w:t>
            </w:r>
            <w:r>
              <w:t xml:space="preserve">Vertical integration (buying + AI-optimizing an accounting firm) beats selling software to accountants.</w:t>
            </w:r>
          </w:p>
        </w:tc>
      </w:tr>
      <w:tr>
        <w:tc>
          <w:tcPr/>
          <w:p>
            <w:pPr>
              <w:pStyle w:val="Compact"/>
              <w:jc w:val="left"/>
            </w:pPr>
            <w:r>
              <w:rPr>
                <w:bCs/>
                <w:b/>
              </w:rPr>
              <w:t xml:space="preserve">McKinsey State of AI 2025</w:t>
            </w:r>
          </w:p>
        </w:tc>
        <w:tc>
          <w:tcPr/>
          <w:p>
            <w:pPr>
              <w:pStyle w:val="Compact"/>
              <w:jc w:val="left"/>
            </w:pPr>
            <w:r>
              <w:t xml:space="preserve">88% of organizations now use AI in at least one function (up from 78%). 62% experimenting with agents. 23% scaling at least one agentic system. Only 1% describe GenAI rollouts as</w:t>
            </w:r>
            <w:r>
              <w:t xml:space="preserve"> </w:t>
            </w:r>
            <w:r>
              <w:t xml:space="preserve">“</w:t>
            </w:r>
            <w:r>
              <w:t xml:space="preserve">mature.</w:t>
            </w:r>
            <w:r>
              <w:t xml:space="preserve">”</w:t>
            </w:r>
          </w:p>
        </w:tc>
      </w:tr>
      <w:tr>
        <w:tc>
          <w:tcPr/>
          <w:p>
            <w:pPr>
              <w:pStyle w:val="Compact"/>
              <w:jc w:val="left"/>
            </w:pPr>
            <w:r>
              <w:rPr>
                <w:bCs/>
                <w:b/>
              </w:rPr>
              <w:t xml:space="preserve">Gartner:</w:t>
            </w:r>
            <w:r>
              <w:rPr>
                <w:bCs/>
                <w:b/>
              </w:rPr>
              <w:t xml:space="preserve"> </w:t>
            </w:r>
            <w:r>
              <w:rPr>
                <w:bCs/>
                <w:b/>
              </w:rPr>
              <w:t xml:space="preserve">“</w:t>
            </w:r>
            <w:r>
              <w:rPr>
                <w:bCs/>
                <w:b/>
              </w:rPr>
              <w:t xml:space="preserve">The Future of Agentic AI in Enterprise Applications</w:t>
            </w:r>
            <w:r>
              <w:rPr>
                <w:bCs/>
                <w:b/>
              </w:rPr>
              <w:t xml:space="preserve">”</w:t>
            </w:r>
            <w:r>
              <w:t xml:space="preserve"> </w:t>
            </w:r>
            <w:r>
              <w:t xml:space="preserve">— August 2025</w:t>
            </w:r>
          </w:p>
        </w:tc>
        <w:tc>
          <w:tcPr/>
          <w:p>
            <w:pPr>
              <w:pStyle w:val="Compact"/>
              <w:jc w:val="left"/>
            </w:pPr>
            <w:r>
              <w:t xml:space="preserve">40% of enterprise apps will feature task-specific AI agents by 2026 (up from &lt;5% in 2025). Agentic AI could drive ~30% of enterprise application software revenue by 2035 (~$450B).</w:t>
            </w:r>
          </w:p>
        </w:tc>
      </w:tr>
    </w:tbl>
    <w:bookmarkEnd w:id="35"/>
    <w:bookmarkStart w:id="40" w:name="industry-analyst-reports"/>
    <w:p>
      <w:pPr>
        <w:pStyle w:val="Heading3"/>
      </w:pPr>
      <w:r>
        <w:t xml:space="preserve">1.4 Industry Analyst Reports</w:t>
      </w:r>
    </w:p>
    <w:bookmarkStart w:id="36" w:name="gartner-predictions-2025-2035"/>
    <w:p>
      <w:pPr>
        <w:pStyle w:val="Heading4"/>
      </w:pPr>
      <w:r>
        <w:t xml:space="preserve">Gartner Predictions (2025-2035)</w:t>
      </w:r>
    </w:p>
    <w:tbl>
      <w:tblPr>
        <w:tblStyle w:val="Table"/>
        <w:tblW w:type="pct" w:w="5000"/>
        <w:tblLook w:firstRow="1" w:lastRow="0" w:firstColumn="0" w:lastColumn="0" w:noHBand="0" w:noVBand="0" w:val="0020"/>
      </w:tblPr>
      <w:tblGrid>
        <w:gridCol w:w="3600"/>
        <w:gridCol w:w="4320"/>
      </w:tblGrid>
      <w:tr>
        <w:trPr>
          <w:tblHeader w:val="true"/>
        </w:trPr>
        <w:tc>
          <w:tcPr/>
          <w:p>
            <w:pPr>
              <w:pStyle w:val="Compact"/>
              <w:jc w:val="left"/>
            </w:pPr>
            <w:r>
              <w:t xml:space="preserve">Timeline</w:t>
            </w:r>
          </w:p>
        </w:tc>
        <w:tc>
          <w:tcPr/>
          <w:p>
            <w:pPr>
              <w:pStyle w:val="Compact"/>
              <w:jc w:val="left"/>
            </w:pPr>
            <w:r>
              <w:t xml:space="preserve">Prediction</w:t>
            </w:r>
          </w:p>
        </w:tc>
      </w:tr>
      <w:tr>
        <w:tc>
          <w:tcPr/>
          <w:p>
            <w:pPr>
              <w:pStyle w:val="Compact"/>
              <w:jc w:val="left"/>
            </w:pPr>
            <w:r>
              <w:rPr>
                <w:bCs/>
                <w:b/>
              </w:rPr>
              <w:t xml:space="preserve">2025</w:t>
            </w:r>
          </w:p>
        </w:tc>
        <w:tc>
          <w:tcPr/>
          <w:p>
            <w:pPr>
              <w:pStyle w:val="Compact"/>
              <w:jc w:val="left"/>
            </w:pPr>
            <w:r>
              <w:t xml:space="preserve">Most enterprise apps have embedded assistants (precursor to agents)</w:t>
            </w:r>
          </w:p>
        </w:tc>
      </w:tr>
      <w:tr>
        <w:tc>
          <w:tcPr/>
          <w:p>
            <w:pPr>
              <w:pStyle w:val="Compact"/>
              <w:jc w:val="left"/>
            </w:pPr>
            <w:r>
              <w:rPr>
                <w:bCs/>
                <w:b/>
              </w:rPr>
              <w:t xml:space="preserve">2026</w:t>
            </w:r>
          </w:p>
        </w:tc>
        <w:tc>
          <w:tcPr/>
          <w:p>
            <w:pPr>
              <w:pStyle w:val="Compact"/>
              <w:jc w:val="left"/>
            </w:pPr>
            <w:r>
              <w:t xml:space="preserve">40% of enterprise applications feature task-specific AI agents (up from &lt;5%)</w:t>
            </w:r>
          </w:p>
        </w:tc>
      </w:tr>
      <w:tr>
        <w:tc>
          <w:tcPr/>
          <w:p>
            <w:pPr>
              <w:pStyle w:val="Compact"/>
              <w:jc w:val="left"/>
            </w:pPr>
            <w:r>
              <w:rPr>
                <w:bCs/>
                <w:b/>
              </w:rPr>
              <w:t xml:space="preserve">2027</w:t>
            </w:r>
          </w:p>
        </w:tc>
        <w:tc>
          <w:tcPr/>
          <w:p>
            <w:pPr>
              <w:pStyle w:val="Compact"/>
              <w:jc w:val="left"/>
            </w:pPr>
            <w:r>
              <w:t xml:space="preserve">1/3 of agentic AI implementations combine agents with different skills</w:t>
            </w:r>
          </w:p>
        </w:tc>
      </w:tr>
      <w:tr>
        <w:tc>
          <w:tcPr/>
          <w:p>
            <w:pPr>
              <w:pStyle w:val="Compact"/>
              <w:jc w:val="left"/>
            </w:pPr>
            <w:r>
              <w:rPr>
                <w:bCs/>
                <w:b/>
              </w:rPr>
              <w:t xml:space="preserve">2028</w:t>
            </w:r>
          </w:p>
        </w:tc>
        <w:tc>
          <w:tcPr/>
          <w:p>
            <w:pPr>
              <w:pStyle w:val="Compact"/>
              <w:jc w:val="left"/>
            </w:pPr>
            <w:r>
              <w:t xml:space="preserve">AI agent ecosystems enable cross-application collaboration; 1/3 of user experiences shift from native apps to agentic front ends</w:t>
            </w:r>
          </w:p>
        </w:tc>
      </w:tr>
      <w:tr>
        <w:tc>
          <w:tcPr/>
          <w:p>
            <w:pPr>
              <w:pStyle w:val="Compact"/>
              <w:jc w:val="left"/>
            </w:pPr>
            <w:r>
              <w:rPr>
                <w:bCs/>
                <w:b/>
              </w:rPr>
              <w:t xml:space="preserve">2029</w:t>
            </w:r>
          </w:p>
        </w:tc>
        <w:tc>
          <w:tcPr/>
          <w:p>
            <w:pPr>
              <w:pStyle w:val="Compact"/>
              <w:jc w:val="left"/>
            </w:pPr>
            <w:r>
              <w:t xml:space="preserve">50% of knowledge workers develop skills to work with/govern/create AI agents</w:t>
            </w:r>
          </w:p>
        </w:tc>
      </w:tr>
      <w:tr>
        <w:tc>
          <w:tcPr/>
          <w:p>
            <w:pPr>
              <w:pStyle w:val="Compact"/>
              <w:jc w:val="left"/>
            </w:pPr>
            <w:r>
              <w:rPr>
                <w:bCs/>
                <w:b/>
              </w:rPr>
              <w:t xml:space="preserve">2030</w:t>
            </w:r>
          </w:p>
        </w:tc>
        <w:tc>
          <w:tcPr/>
          <w:p>
            <w:pPr>
              <w:pStyle w:val="Compact"/>
              <w:jc w:val="left"/>
            </w:pPr>
            <w:r>
              <w:t xml:space="preserve">35% of point-product SaaS tools replaced by AI agents or absorbed into larger agent ecosystems</w:t>
            </w:r>
          </w:p>
        </w:tc>
      </w:tr>
      <w:tr>
        <w:tc>
          <w:tcPr/>
          <w:p>
            <w:pPr>
              <w:pStyle w:val="Compact"/>
              <w:jc w:val="left"/>
            </w:pPr>
            <w:r>
              <w:rPr>
                <w:bCs/>
                <w:b/>
              </w:rPr>
              <w:t xml:space="preserve">2035</w:t>
            </w:r>
          </w:p>
        </w:tc>
        <w:tc>
          <w:tcPr/>
          <w:p>
            <w:pPr>
              <w:pStyle w:val="Compact"/>
              <w:jc w:val="left"/>
            </w:pPr>
            <w:r>
              <w:t xml:space="preserve">Agentic AI drives ~30% of enterprise application software revenue (~$450B)</w:t>
            </w:r>
          </w:p>
        </w:tc>
      </w:tr>
    </w:tbl>
    <w:bookmarkEnd w:id="36"/>
    <w:bookmarkStart w:id="37" w:name="deloitte-november-2025"/>
    <w:p>
      <w:pPr>
        <w:pStyle w:val="Heading4"/>
      </w:pPr>
      <w:r>
        <w:t xml:space="preserve">Deloitte (November 2025)</w:t>
      </w:r>
    </w:p>
    <w:p>
      <w:pPr>
        <w:pStyle w:val="BlockText"/>
      </w:pPr>
      <w:r>
        <w:rPr>
          <w:bCs/>
          <w:b/>
        </w:rPr>
        <w:t xml:space="preserve">“</w:t>
      </w:r>
      <w:r>
        <w:rPr>
          <w:bCs/>
          <w:b/>
        </w:rPr>
        <w:t xml:space="preserve">By 2030, 35% of point-product SaaS tools will be replaced by AI agents or absorbed within larger agent ecosystems.</w:t>
      </w:r>
      <w:r>
        <w:rPr>
          <w:bCs/>
          <w:b/>
        </w:rPr>
        <w:t xml:space="preserve">”</w:t>
      </w:r>
    </w:p>
    <w:bookmarkEnd w:id="37"/>
    <w:bookmarkStart w:id="38" w:name="forrester-tei-total-economic-impact"/>
    <w:p>
      <w:pPr>
        <w:pStyle w:val="Heading4"/>
      </w:pPr>
      <w:r>
        <w:t xml:space="preserve">Forrester TEI (Total Economic Impact)</w:t>
      </w:r>
    </w:p>
    <w:p>
      <w:pPr>
        <w:pStyle w:val="FirstParagraph"/>
      </w:pPr>
      <w:r>
        <w:t xml:space="preserve">Forrester modeled the Microsoft Modern Work Partner revenue opportunity from AI:</w:t>
      </w:r>
    </w:p>
    <w:tbl>
      <w:tblPr>
        <w:tblStyle w:val="Table"/>
        <w:tblW w:type="pct" w:w="5000"/>
        <w:tblLook w:firstRow="1" w:lastRow="0" w:firstColumn="0" w:lastColumn="0" w:noHBand="0" w:noVBand="0" w:val="0020"/>
      </w:tblPr>
      <w:tblGrid>
        <w:gridCol w:w="1397"/>
        <w:gridCol w:w="1770"/>
        <w:gridCol w:w="1956"/>
        <w:gridCol w:w="2795"/>
      </w:tblGrid>
      <w:tr>
        <w:trPr>
          <w:tblHeader w:val="true"/>
        </w:trPr>
        <w:tc>
          <w:tcPr/>
          <w:p>
            <w:pPr>
              <w:pStyle w:val="Compact"/>
              <w:jc w:val="left"/>
            </w:pPr>
            <w:r>
              <w:t xml:space="preserve">Solution Area</w:t>
            </w:r>
          </w:p>
        </w:tc>
        <w:tc>
          <w:tcPr/>
          <w:p>
            <w:pPr>
              <w:pStyle w:val="Compact"/>
              <w:jc w:val="left"/>
            </w:pPr>
            <w:r>
              <w:t xml:space="preserve">Revenue/User/Month</w:t>
            </w:r>
          </w:p>
        </w:tc>
        <w:tc>
          <w:tcPr/>
          <w:p>
            <w:pPr>
              <w:pStyle w:val="Compact"/>
              <w:jc w:val="left"/>
            </w:pPr>
            <w:r>
              <w:t xml:space="preserve">Blended Attach Rate</w:t>
            </w:r>
          </w:p>
        </w:tc>
        <w:tc>
          <w:tcPr/>
          <w:p>
            <w:pPr>
              <w:pStyle w:val="Compact"/>
              <w:jc w:val="left"/>
            </w:pPr>
            <w:r>
              <w:t xml:space="preserve">Expected Revenue/ User/Month</w:t>
            </w:r>
          </w:p>
        </w:tc>
      </w:tr>
      <w:tr>
        <w:tc>
          <w:tcPr/>
          <w:p>
            <w:pPr>
              <w:pStyle w:val="Compact"/>
              <w:jc w:val="left"/>
            </w:pPr>
            <w:r>
              <w:t xml:space="preserve">Direct AI (M365 Copilot + Agentic AI)</w:t>
            </w:r>
          </w:p>
        </w:tc>
        <w:tc>
          <w:tcPr/>
          <w:p>
            <w:pPr>
              <w:pStyle w:val="Compact"/>
              <w:jc w:val="left"/>
            </w:pPr>
            <w:r>
              <w:t xml:space="preserve">$12.20</w:t>
            </w:r>
          </w:p>
        </w:tc>
        <w:tc>
          <w:tcPr/>
          <w:p>
            <w:pPr>
              <w:pStyle w:val="Compact"/>
              <w:jc w:val="left"/>
            </w:pPr>
            <w:r>
              <w:t xml:space="preserve">50%</w:t>
            </w:r>
          </w:p>
        </w:tc>
        <w:tc>
          <w:tcPr/>
          <w:p>
            <w:pPr>
              <w:pStyle w:val="Compact"/>
              <w:jc w:val="left"/>
            </w:pPr>
            <w:r>
              <w:t xml:space="preserve">$6.15</w:t>
            </w:r>
          </w:p>
        </w:tc>
      </w:tr>
      <w:tr>
        <w:tc>
          <w:tcPr/>
          <w:p>
            <w:pPr>
              <w:pStyle w:val="Compact"/>
              <w:jc w:val="left"/>
            </w:pPr>
            <w:r>
              <w:t xml:space="preserve">Low-Code (Power Platform)</w:t>
            </w:r>
          </w:p>
        </w:tc>
        <w:tc>
          <w:tcPr/>
          <w:p>
            <w:pPr>
              <w:pStyle w:val="Compact"/>
              <w:jc w:val="left"/>
            </w:pPr>
            <w:r>
              <w:t xml:space="preserve">$2.80</w:t>
            </w:r>
          </w:p>
        </w:tc>
        <w:tc>
          <w:tcPr/>
          <w:p>
            <w:pPr>
              <w:pStyle w:val="Compact"/>
              <w:jc w:val="left"/>
            </w:pPr>
            <w:r>
              <w:t xml:space="preserve">48%</w:t>
            </w:r>
          </w:p>
        </w:tc>
        <w:tc>
          <w:tcPr/>
          <w:p>
            <w:pPr>
              <w:pStyle w:val="Compact"/>
              <w:jc w:val="left"/>
            </w:pPr>
            <w:r>
              <w:t xml:space="preserve">$1.35</w:t>
            </w:r>
          </w:p>
        </w:tc>
      </w:tr>
      <w:tr>
        <w:tc>
          <w:tcPr/>
          <w:p>
            <w:pPr>
              <w:pStyle w:val="Compact"/>
              <w:jc w:val="left"/>
            </w:pPr>
            <w:r>
              <w:t xml:space="preserve">Secure Productivity</w:t>
            </w:r>
          </w:p>
        </w:tc>
        <w:tc>
          <w:tcPr/>
          <w:p>
            <w:pPr>
              <w:pStyle w:val="Compact"/>
              <w:jc w:val="left"/>
            </w:pPr>
            <w:r>
              <w:t xml:space="preserve">$5.30</w:t>
            </w:r>
          </w:p>
        </w:tc>
        <w:tc>
          <w:tcPr/>
          <w:p>
            <w:pPr>
              <w:pStyle w:val="Compact"/>
              <w:jc w:val="left"/>
            </w:pPr>
            <w:r>
              <w:t xml:space="preserve">40%</w:t>
            </w:r>
          </w:p>
        </w:tc>
        <w:tc>
          <w:tcPr/>
          <w:p>
            <w:pPr>
              <w:pStyle w:val="Compact"/>
              <w:jc w:val="left"/>
            </w:pPr>
            <w:r>
              <w:t xml:space="preserve">$2.10</w:t>
            </w:r>
          </w:p>
        </w:tc>
      </w:tr>
      <w:tr>
        <w:tc>
          <w:tcPr/>
          <w:p>
            <w:pPr>
              <w:pStyle w:val="Compact"/>
              <w:jc w:val="left"/>
            </w:pPr>
            <w:r>
              <w:t xml:space="preserve">Teams Phone</w:t>
            </w:r>
          </w:p>
        </w:tc>
        <w:tc>
          <w:tcPr/>
          <w:p>
            <w:pPr>
              <w:pStyle w:val="Compact"/>
              <w:jc w:val="left"/>
            </w:pPr>
            <w:r>
              <w:t xml:space="preserve">$1.10</w:t>
            </w:r>
          </w:p>
        </w:tc>
        <w:tc>
          <w:tcPr/>
          <w:p>
            <w:pPr>
              <w:pStyle w:val="Compact"/>
              <w:jc w:val="left"/>
            </w:pPr>
            <w:r>
              <w:t xml:space="preserve">50%</w:t>
            </w:r>
          </w:p>
        </w:tc>
        <w:tc>
          <w:tcPr/>
          <w:p>
            <w:pPr>
              <w:pStyle w:val="Compact"/>
              <w:jc w:val="left"/>
            </w:pPr>
            <w:r>
              <w:t xml:space="preserve">$0.55</w:t>
            </w:r>
          </w:p>
        </w:tc>
      </w:tr>
      <w:tr>
        <w:tc>
          <w:tcPr/>
          <w:p>
            <w:pPr>
              <w:pStyle w:val="Compact"/>
              <w:jc w:val="left"/>
            </w:pPr>
            <w:r>
              <w:rPr>
                <w:bCs/>
                <w:b/>
              </w:rPr>
              <w:t xml:space="preserve">Total</w:t>
            </w:r>
          </w:p>
        </w:tc>
        <w:tc>
          <w:tcPr/>
          <w:p>
            <w:pPr>
              <w:pStyle w:val="Compact"/>
              <w:jc w:val="left"/>
            </w:pPr>
            <w:r>
              <w:rPr>
                <w:bCs/>
                <w:b/>
              </w:rPr>
              <w:t xml:space="preserve">$26.10</w:t>
            </w:r>
          </w:p>
        </w:tc>
        <w:tc>
          <w:tcPr/>
          <w:p>
            <w:pPr>
              <w:pStyle w:val="Compact"/>
              <w:jc w:val="left"/>
            </w:pPr>
            <w:r>
              <w:rPr>
                <w:bCs/>
                <w:b/>
              </w:rPr>
              <w:t xml:space="preserve">48%</w:t>
            </w:r>
          </w:p>
        </w:tc>
        <w:tc>
          <w:tcPr/>
          <w:p>
            <w:pPr>
              <w:pStyle w:val="Compact"/>
              <w:jc w:val="left"/>
            </w:pPr>
            <w:r>
              <w:rPr>
                <w:bCs/>
                <w:b/>
              </w:rPr>
              <w:t xml:space="preserve">$12.45</w:t>
            </w:r>
          </w:p>
        </w:tc>
      </w:tr>
    </w:tbl>
    <w:bookmarkEnd w:id="38"/>
    <w:bookmarkStart w:id="39" w:name="idc"/>
    <w:p>
      <w:pPr>
        <w:pStyle w:val="Heading4"/>
      </w:pPr>
      <w:r>
        <w:t xml:space="preserve">IDC</w:t>
      </w:r>
    </w:p>
    <w:p>
      <w:pPr>
        <w:pStyle w:val="BlockText"/>
      </w:pPr>
      <w:r>
        <w:rPr>
          <w:bCs/>
          <w:b/>
        </w:rPr>
        <w:t xml:space="preserve">By 2026, 40% of Global 2000 roles will involve direct AI agent engagement.</w:t>
      </w:r>
    </w:p>
    <w:p>
      <w:r>
        <w:pict>
          <v:rect style="width:0;height:1.5pt" o:hralign="center" o:hrstd="t" o:hr="t"/>
        </w:pict>
      </w:r>
    </w:p>
    <w:bookmarkEnd w:id="39"/>
    <w:bookmarkEnd w:id="40"/>
    <w:bookmarkEnd w:id="41"/>
    <w:bookmarkStart w:id="48" w:name="what-replaces-saas"/>
    <w:p>
      <w:pPr>
        <w:pStyle w:val="Heading2"/>
      </w:pPr>
      <w:r>
        <w:t xml:space="preserve">2. WHAT REPLACES SaaS</w:t>
      </w:r>
    </w:p>
    <w:bookmarkStart w:id="42" w:name="agent-as-a-service-aaas"/>
    <w:p>
      <w:pPr>
        <w:pStyle w:val="Heading3"/>
      </w:pPr>
      <w:r>
        <w:t xml:space="preserve">2.1 Agent-as-a-Service (AaaS)</w:t>
      </w:r>
    </w:p>
    <w:p>
      <w:pPr>
        <w:pStyle w:val="FirstParagraph"/>
      </w:pPr>
      <w:r>
        <w:rPr>
          <w:bCs/>
          <w:b/>
        </w:rPr>
        <w:t xml:space="preserve">Definition:</w:t>
      </w:r>
      <w:r>
        <w:t xml:space="preserve"> </w:t>
      </w:r>
      <w:r>
        <w:t xml:space="preserve">A cloud-based delivery model where autonomous AI agents are provisioned, managed, and operated on behalf of a business to complete specific tasks, workflows, or goals without constant human direction.</w:t>
      </w:r>
    </w:p>
    <w:p>
      <w:pPr>
        <w:pStyle w:val="BodyText"/>
      </w:pPr>
      <w:r>
        <w:rPr>
          <w:bCs/>
          <w:b/>
        </w:rPr>
        <w:t xml:space="preserve">Core insight:</w:t>
      </w:r>
      <w:r>
        <w:t xml:space="preserve"> </w:t>
      </w:r>
      <w:r>
        <w:t xml:space="preserve">SaaS gives you tools. AaaS gives you workers.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SaaS</w:t>
            </w:r>
          </w:p>
        </w:tc>
        <w:tc>
          <w:tcPr/>
          <w:p>
            <w:pPr>
              <w:pStyle w:val="Compact"/>
              <w:jc w:val="left"/>
            </w:pPr>
            <w:r>
              <w:t xml:space="preserve">AaaS</w:t>
            </w:r>
          </w:p>
        </w:tc>
      </w:tr>
      <w:tr>
        <w:tc>
          <w:tcPr/>
          <w:p>
            <w:pPr>
              <w:pStyle w:val="Compact"/>
              <w:jc w:val="left"/>
            </w:pPr>
            <w:r>
              <w:rPr>
                <w:bCs/>
                <w:b/>
              </w:rPr>
              <w:t xml:space="preserve">What it delivers</w:t>
            </w:r>
          </w:p>
        </w:tc>
        <w:tc>
          <w:tcPr/>
          <w:p>
            <w:pPr>
              <w:pStyle w:val="Compact"/>
              <w:jc w:val="left"/>
            </w:pPr>
            <w:r>
              <w:t xml:space="preserve">Software tools</w:t>
            </w:r>
          </w:p>
        </w:tc>
        <w:tc>
          <w:tcPr/>
          <w:p>
            <w:pPr>
              <w:pStyle w:val="Compact"/>
              <w:jc w:val="left"/>
            </w:pPr>
            <w:r>
              <w:t xml:space="preserve">Autonomous workers</w:t>
            </w:r>
          </w:p>
        </w:tc>
      </w:tr>
      <w:tr>
        <w:tc>
          <w:tcPr/>
          <w:p>
            <w:pPr>
              <w:pStyle w:val="Compact"/>
              <w:jc w:val="left"/>
            </w:pPr>
            <w:r>
              <w:rPr>
                <w:bCs/>
                <w:b/>
              </w:rPr>
              <w:t xml:space="preserve">Interface</w:t>
            </w:r>
          </w:p>
        </w:tc>
        <w:tc>
          <w:tcPr/>
          <w:p>
            <w:pPr>
              <w:pStyle w:val="Compact"/>
              <w:jc w:val="left"/>
            </w:pPr>
            <w:r>
              <w:t xml:space="preserve">GUI, user-initiated</w:t>
            </w:r>
          </w:p>
        </w:tc>
        <w:tc>
          <w:tcPr/>
          <w:p>
            <w:pPr>
              <w:pStyle w:val="Compact"/>
              <w:jc w:val="left"/>
            </w:pPr>
            <w:r>
              <w:t xml:space="preserve">Intent-driven, agent-initiated</w:t>
            </w:r>
          </w:p>
        </w:tc>
      </w:tr>
      <w:tr>
        <w:tc>
          <w:tcPr/>
          <w:p>
            <w:pPr>
              <w:pStyle w:val="Compact"/>
              <w:jc w:val="left"/>
            </w:pPr>
            <w:r>
              <w:rPr>
                <w:bCs/>
                <w:b/>
              </w:rPr>
              <w:t xml:space="preserve">Intelligence</w:t>
            </w:r>
          </w:p>
        </w:tc>
        <w:tc>
          <w:tcPr/>
          <w:p>
            <w:pPr>
              <w:pStyle w:val="Compact"/>
              <w:jc w:val="left"/>
            </w:pPr>
            <w:r>
              <w:t xml:space="preserve">Rule/statistical</w:t>
            </w:r>
          </w:p>
        </w:tc>
        <w:tc>
          <w:tcPr/>
          <w:p>
            <w:pPr>
              <w:pStyle w:val="Compact"/>
              <w:jc w:val="left"/>
            </w:pPr>
            <w:r>
              <w:t xml:space="preserve">Adaptive, contextual</w:t>
            </w:r>
          </w:p>
        </w:tc>
      </w:tr>
      <w:tr>
        <w:tc>
          <w:tcPr/>
          <w:p>
            <w:pPr>
              <w:pStyle w:val="Compact"/>
              <w:jc w:val="left"/>
            </w:pPr>
            <w:r>
              <w:rPr>
                <w:bCs/>
                <w:b/>
              </w:rPr>
              <w:t xml:space="preserve">User effort</w:t>
            </w:r>
          </w:p>
        </w:tc>
        <w:tc>
          <w:tcPr/>
          <w:p>
            <w:pPr>
              <w:pStyle w:val="Compact"/>
              <w:jc w:val="left"/>
            </w:pPr>
            <w:r>
              <w:t xml:space="preserve">High (must operate)</w:t>
            </w:r>
          </w:p>
        </w:tc>
        <w:tc>
          <w:tcPr/>
          <w:p>
            <w:pPr>
              <w:pStyle w:val="Compact"/>
              <w:jc w:val="left"/>
            </w:pPr>
            <w:r>
              <w:t xml:space="preserve">Low (delegates execution)</w:t>
            </w:r>
          </w:p>
        </w:tc>
      </w:tr>
      <w:tr>
        <w:tc>
          <w:tcPr/>
          <w:p>
            <w:pPr>
              <w:pStyle w:val="Compact"/>
              <w:jc w:val="left"/>
            </w:pPr>
            <w:r>
              <w:rPr>
                <w:bCs/>
                <w:b/>
              </w:rPr>
              <w:t xml:space="preserve">Cost model</w:t>
            </w:r>
          </w:p>
        </w:tc>
        <w:tc>
          <w:tcPr/>
          <w:p>
            <w:pPr>
              <w:pStyle w:val="Compact"/>
              <w:jc w:val="left"/>
            </w:pPr>
            <w:r>
              <w:t xml:space="preserve">Per-seat subscription</w:t>
            </w:r>
          </w:p>
        </w:tc>
        <w:tc>
          <w:tcPr/>
          <w:p>
            <w:pPr>
              <w:pStyle w:val="Compact"/>
              <w:jc w:val="left"/>
            </w:pPr>
            <w:r>
              <w:t xml:space="preserve">Outcome/consumption-based</w:t>
            </w:r>
          </w:p>
        </w:tc>
      </w:tr>
      <w:tr>
        <w:tc>
          <w:tcPr/>
          <w:p>
            <w:pPr>
              <w:pStyle w:val="Compact"/>
              <w:jc w:val="left"/>
            </w:pPr>
            <w:r>
              <w:rPr>
                <w:bCs/>
                <w:b/>
              </w:rPr>
              <w:t xml:space="preserve">Workflow</w:t>
            </w:r>
          </w:p>
        </w:tc>
        <w:tc>
          <w:tcPr/>
          <w:p>
            <w:pPr>
              <w:pStyle w:val="Compact"/>
              <w:jc w:val="left"/>
            </w:pPr>
            <w:r>
              <w:t xml:space="preserve">Predefined</w:t>
            </w:r>
          </w:p>
        </w:tc>
        <w:tc>
          <w:tcPr/>
          <w:p>
            <w:pPr>
              <w:pStyle w:val="Compact"/>
              <w:jc w:val="left"/>
            </w:pPr>
            <w:r>
              <w:t xml:space="preserve">Dynamic, self-optimizing</w:t>
            </w:r>
          </w:p>
        </w:tc>
      </w:tr>
      <w:tr>
        <w:tc>
          <w:tcPr/>
          <w:p>
            <w:pPr>
              <w:pStyle w:val="Compact"/>
              <w:jc w:val="left"/>
            </w:pPr>
            <w:r>
              <w:rPr>
                <w:bCs/>
                <w:b/>
              </w:rPr>
              <w:t xml:space="preserve">Customization</w:t>
            </w:r>
          </w:p>
        </w:tc>
        <w:tc>
          <w:tcPr/>
          <w:p>
            <w:pPr>
              <w:pStyle w:val="Compact"/>
              <w:jc w:val="left"/>
            </w:pPr>
            <w:r>
              <w:t xml:space="preserve">Configurable</w:t>
            </w:r>
          </w:p>
        </w:tc>
        <w:tc>
          <w:tcPr/>
          <w:p>
            <w:pPr>
              <w:pStyle w:val="Compact"/>
              <w:jc w:val="left"/>
            </w:pPr>
            <w:r>
              <w:t xml:space="preserve">Self-learning</w:t>
            </w:r>
          </w:p>
        </w:tc>
      </w:tr>
    </w:tbl>
    <w:p>
      <w:pPr>
        <w:pStyle w:val="BodyText"/>
      </w:pPr>
      <w:r>
        <w:rPr>
          <w:bCs/>
          <w:b/>
        </w:rPr>
        <w:t xml:space="preserve">Market size:</w:t>
      </w:r>
      <w:r>
        <w:t xml:space="preserve"> </w:t>
      </w:r>
      <w:r>
        <w:t xml:space="preserve">$5.1B (2024) to $47.1B by 2030 (44.8% CAGR)</w:t>
      </w:r>
    </w:p>
    <w:p>
      <w:pPr>
        <w:pStyle w:val="BodyText"/>
      </w:pPr>
      <w:r>
        <w:rPr>
          <w:bCs/>
          <w:b/>
        </w:rPr>
        <w:t xml:space="preserve">Five core components of AaaS:</w:t>
      </w:r>
      <w:r>
        <w:t xml:space="preserve"> </w:t>
      </w:r>
      <w:r>
        <w:t xml:space="preserve">1.</w:t>
      </w:r>
      <w:r>
        <w:t xml:space="preserve"> </w:t>
      </w:r>
      <w:r>
        <w:rPr>
          <w:bCs/>
          <w:b/>
        </w:rPr>
        <w:t xml:space="preserve">Reasoning Engine</w:t>
      </w:r>
      <w:r>
        <w:t xml:space="preserve"> </w:t>
      </w:r>
      <w:r>
        <w:t xml:space="preserve">— LLM-powered decision layer</w:t>
      </w:r>
      <w:r>
        <w:t xml:space="preserve"> </w:t>
      </w:r>
      <w:r>
        <w:t xml:space="preserve">2.</w:t>
      </w:r>
      <w:r>
        <w:t xml:space="preserve"> </w:t>
      </w:r>
      <w:r>
        <w:rPr>
          <w:bCs/>
          <w:b/>
        </w:rPr>
        <w:t xml:space="preserve">Memory</w:t>
      </w:r>
      <w:r>
        <w:t xml:space="preserve"> </w:t>
      </w:r>
      <w:r>
        <w:t xml:space="preserve">— Short-term and long-term context</w:t>
      </w:r>
      <w:r>
        <w:t xml:space="preserve"> </w:t>
      </w:r>
      <w:r>
        <w:t xml:space="preserve">3.</w:t>
      </w:r>
      <w:r>
        <w:t xml:space="preserve"> </w:t>
      </w:r>
      <w:r>
        <w:rPr>
          <w:bCs/>
          <w:b/>
        </w:rPr>
        <w:t xml:space="preserve">Tool Access</w:t>
      </w:r>
      <w:r>
        <w:t xml:space="preserve"> </w:t>
      </w:r>
      <w:r>
        <w:t xml:space="preserve">— APIs, databases, enterprise systems</w:t>
      </w:r>
      <w:r>
        <w:t xml:space="preserve"> </w:t>
      </w:r>
      <w:r>
        <w:t xml:space="preserve">4.</w:t>
      </w:r>
      <w:r>
        <w:t xml:space="preserve"> </w:t>
      </w:r>
      <w:r>
        <w:rPr>
          <w:bCs/>
          <w:b/>
        </w:rPr>
        <w:t xml:space="preserve">Planning Module</w:t>
      </w:r>
      <w:r>
        <w:t xml:space="preserve"> </w:t>
      </w:r>
      <w:r>
        <w:t xml:space="preserve">— Goal decomposition into executable steps</w:t>
      </w:r>
      <w:r>
        <w:t xml:space="preserve"> </w:t>
      </w:r>
      <w:r>
        <w:t xml:space="preserve">5.</w:t>
      </w:r>
      <w:r>
        <w:t xml:space="preserve"> </w:t>
      </w:r>
      <w:r>
        <w:rPr>
          <w:bCs/>
          <w:b/>
        </w:rPr>
        <w:t xml:space="preserve">Real-Time Communication Layer</w:t>
      </w:r>
      <w:r>
        <w:t xml:space="preserve"> </w:t>
      </w:r>
      <w:r>
        <w:t xml:space="preserve">— WebRTC for voice/video agent interaction</w:t>
      </w:r>
    </w:p>
    <w:p>
      <w:pPr>
        <w:pStyle w:val="BodyText"/>
      </w:pPr>
      <w:r>
        <w:rPr>
          <w:bCs/>
          <w:b/>
        </w:rPr>
        <w:t xml:space="preserve">Example pricing models:</w:t>
      </w:r>
      <w:r>
        <w:t xml:space="preserve"> </w:t>
      </w:r>
      <w:r>
        <w:t xml:space="preserve">- Per-task pricing (pay per agent action)</w:t>
      </w:r>
      <w:r>
        <w:t xml:space="preserve"> </w:t>
      </w:r>
      <w:r>
        <w:t xml:space="preserve">- Outcome-based pricing (pay per qualified lead, resolved ticket, completed call)</w:t>
      </w:r>
      <w:r>
        <w:t xml:space="preserve"> </w:t>
      </w:r>
      <w:r>
        <w:t xml:space="preserve">- Compute-based pricing (pay for infrastructure used)</w:t>
      </w:r>
      <w:r>
        <w:t xml:space="preserve"> </w:t>
      </w:r>
      <w:r>
        <w:t xml:space="preserve">- Hybrid models</w:t>
      </w:r>
    </w:p>
    <w:bookmarkEnd w:id="42"/>
    <w:bookmarkStart w:id="43" w:name="outcome-as-a-service-oaas"/>
    <w:p>
      <w:pPr>
        <w:pStyle w:val="Heading3"/>
      </w:pPr>
      <w:r>
        <w:t xml:space="preserve">2.2 Outcome-as-a-Service (OaaS)</w:t>
      </w:r>
    </w:p>
    <w:p>
      <w:pPr>
        <w:pStyle w:val="FirstParagraph"/>
      </w:pPr>
      <w:r>
        <w:rPr>
          <w:bCs/>
          <w:b/>
        </w:rPr>
        <w:t xml:space="preserve">Definition:</w:t>
      </w:r>
      <w:r>
        <w:t xml:space="preserve"> </w:t>
      </w:r>
      <w:r>
        <w:t xml:space="preserve">Pay for results, not seats. The customer pays only when the AI agent delivers a measurable business outcome.</w:t>
      </w:r>
    </w:p>
    <w:p>
      <w:pPr>
        <w:pStyle w:val="BodyText"/>
      </w:pPr>
      <w:r>
        <w:rPr>
          <w:bCs/>
          <w:b/>
        </w:rPr>
        <w:t xml:space="preserve">Evidence this is real:</w:t>
      </w:r>
    </w:p>
    <w:tbl>
      <w:tblPr>
        <w:tblStyle w:val="Table"/>
        <w:tblW w:type="pct" w:w="5000"/>
        <w:tblLook w:firstRow="1" w:lastRow="0" w:firstColumn="0" w:lastColumn="0" w:noHBand="0" w:noVBand="0" w:val="0020"/>
      </w:tblPr>
      <w:tblGrid>
        <w:gridCol w:w="2036"/>
        <w:gridCol w:w="3168"/>
        <w:gridCol w:w="2715"/>
      </w:tblGrid>
      <w:tr>
        <w:trPr>
          <w:tblHeader w:val="true"/>
        </w:trPr>
        <w:tc>
          <w:tcPr/>
          <w:p>
            <w:pPr>
              <w:pStyle w:val="Compact"/>
              <w:jc w:val="left"/>
            </w:pPr>
            <w:r>
              <w:t xml:space="preserve">Company</w:t>
            </w:r>
          </w:p>
        </w:tc>
        <w:tc>
          <w:tcPr/>
          <w:p>
            <w:pPr>
              <w:pStyle w:val="Compact"/>
              <w:jc w:val="left"/>
            </w:pPr>
            <w:r>
              <w:t xml:space="preserve">Pricing Model</w:t>
            </w:r>
          </w:p>
        </w:tc>
        <w:tc>
          <w:tcPr/>
          <w:p>
            <w:pPr>
              <w:pStyle w:val="Compact"/>
              <w:jc w:val="left"/>
            </w:pPr>
            <w:r>
              <w:t xml:space="preserve">Unit Price</w:t>
            </w:r>
          </w:p>
        </w:tc>
      </w:tr>
      <w:tr>
        <w:tc>
          <w:tcPr/>
          <w:p>
            <w:pPr>
              <w:pStyle w:val="Compact"/>
              <w:jc w:val="left"/>
            </w:pPr>
            <w:r>
              <w:rPr>
                <w:bCs/>
                <w:b/>
              </w:rPr>
              <w:t xml:space="preserve">Intercom Fin</w:t>
            </w:r>
          </w:p>
        </w:tc>
        <w:tc>
          <w:tcPr/>
          <w:p>
            <w:pPr>
              <w:pStyle w:val="Compact"/>
              <w:jc w:val="left"/>
            </w:pPr>
            <w:r>
              <w:t xml:space="preserve">Per resolution</w:t>
            </w:r>
          </w:p>
        </w:tc>
        <w:tc>
          <w:tcPr/>
          <w:p>
            <w:pPr>
              <w:pStyle w:val="Compact"/>
              <w:jc w:val="left"/>
            </w:pPr>
            <w:r>
              <w:t xml:space="preserve">$0.99/resolution</w:t>
            </w:r>
          </w:p>
        </w:tc>
      </w:tr>
      <w:tr>
        <w:tc>
          <w:tcPr/>
          <w:p>
            <w:pPr>
              <w:pStyle w:val="Compact"/>
              <w:jc w:val="left"/>
            </w:pPr>
            <w:r>
              <w:rPr>
                <w:bCs/>
                <w:b/>
              </w:rPr>
              <w:t xml:space="preserve">Zendesk AI</w:t>
            </w:r>
          </w:p>
        </w:tc>
        <w:tc>
          <w:tcPr/>
          <w:p>
            <w:pPr>
              <w:pStyle w:val="Compact"/>
              <w:jc w:val="left"/>
            </w:pPr>
            <w:r>
              <w:t xml:space="preserve">Per automated resolution</w:t>
            </w:r>
          </w:p>
        </w:tc>
        <w:tc>
          <w:tcPr/>
          <w:p>
            <w:pPr>
              <w:pStyle w:val="Compact"/>
              <w:jc w:val="left"/>
            </w:pPr>
            <w:r>
              <w:t xml:space="preserve">$1.50-$2.00/resolution</w:t>
            </w:r>
          </w:p>
        </w:tc>
      </w:tr>
      <w:tr>
        <w:tc>
          <w:tcPr/>
          <w:p>
            <w:pPr>
              <w:pStyle w:val="Compact"/>
              <w:jc w:val="left"/>
            </w:pPr>
            <w:r>
              <w:rPr>
                <w:bCs/>
                <w:b/>
              </w:rPr>
              <w:t xml:space="preserve">Salesforce Agentforce</w:t>
            </w:r>
          </w:p>
        </w:tc>
        <w:tc>
          <w:tcPr/>
          <w:p>
            <w:pPr>
              <w:pStyle w:val="Compact"/>
              <w:jc w:val="left"/>
            </w:pPr>
            <w:r>
              <w:t xml:space="preserve">Per conversation</w:t>
            </w:r>
          </w:p>
        </w:tc>
        <w:tc>
          <w:tcPr/>
          <w:p>
            <w:pPr>
              <w:pStyle w:val="Compact"/>
              <w:jc w:val="left"/>
            </w:pPr>
            <w:r>
              <w:t xml:space="preserve">$2.00/conversation</w:t>
            </w:r>
          </w:p>
        </w:tc>
      </w:tr>
      <w:tr>
        <w:tc>
          <w:tcPr/>
          <w:p>
            <w:pPr>
              <w:pStyle w:val="Compact"/>
              <w:jc w:val="left"/>
            </w:pPr>
            <w:r>
              <w:rPr>
                <w:bCs/>
                <w:b/>
              </w:rPr>
              <w:t xml:space="preserve">Fini</w:t>
            </w:r>
          </w:p>
        </w:tc>
        <w:tc>
          <w:tcPr/>
          <w:p>
            <w:pPr>
              <w:pStyle w:val="Compact"/>
              <w:jc w:val="left"/>
            </w:pPr>
            <w:r>
              <w:t xml:space="preserve">Per resolution</w:t>
            </w:r>
          </w:p>
        </w:tc>
        <w:tc>
          <w:tcPr/>
          <w:p>
            <w:pPr>
              <w:pStyle w:val="Compact"/>
              <w:jc w:val="left"/>
            </w:pPr>
            <w:r>
              <w:t xml:space="preserve">$0.69/resolution</w:t>
            </w:r>
          </w:p>
        </w:tc>
      </w:tr>
      <w:tr>
        <w:tc>
          <w:tcPr/>
          <w:p>
            <w:pPr>
              <w:pStyle w:val="Compact"/>
              <w:jc w:val="left"/>
            </w:pPr>
            <w:r>
              <w:rPr>
                <w:bCs/>
                <w:b/>
              </w:rPr>
              <w:t xml:space="preserve">Helply</w:t>
            </w:r>
          </w:p>
        </w:tc>
        <w:tc>
          <w:tcPr/>
          <w:p>
            <w:pPr>
              <w:pStyle w:val="Compact"/>
              <w:jc w:val="left"/>
            </w:pPr>
            <w:r>
              <w:t xml:space="preserve">Per resolution + signals</w:t>
            </w:r>
          </w:p>
        </w:tc>
        <w:tc>
          <w:tcPr/>
          <w:p>
            <w:pPr>
              <w:pStyle w:val="Compact"/>
              <w:jc w:val="left"/>
            </w:pPr>
            <w:r>
              <w:t xml:space="preserve">$0.50/resolution, $2.99/churn signal</w:t>
            </w:r>
          </w:p>
        </w:tc>
      </w:tr>
      <w:tr>
        <w:tc>
          <w:tcPr/>
          <w:p>
            <w:pPr>
              <w:pStyle w:val="Compact"/>
              <w:jc w:val="left"/>
            </w:pPr>
            <w:r>
              <w:rPr>
                <w:bCs/>
                <w:b/>
              </w:rPr>
              <w:t xml:space="preserve">Enhanced.ai</w:t>
            </w:r>
          </w:p>
        </w:tc>
        <w:tc>
          <w:tcPr/>
          <w:p>
            <w:pPr>
              <w:pStyle w:val="Compact"/>
              <w:jc w:val="left"/>
            </w:pPr>
            <w:r>
              <w:t xml:space="preserve">Consumption-based</w:t>
            </w:r>
          </w:p>
        </w:tc>
        <w:tc>
          <w:tcPr/>
          <w:p>
            <w:pPr>
              <w:pStyle w:val="Compact"/>
              <w:jc w:val="left"/>
            </w:pPr>
            <w:r>
              <w:t xml:space="preserve">Replaces 4 SaaS tools, 60% cost reduction</w:t>
            </w:r>
          </w:p>
        </w:tc>
      </w:tr>
    </w:tbl>
    <w:p>
      <w:pPr>
        <w:pStyle w:val="BlockText"/>
      </w:pPr>
      <w:r>
        <w:rPr>
          <w:bCs/>
          <w:b/>
        </w:rPr>
        <w:t xml:space="preserve">“</w:t>
      </w:r>
      <w:r>
        <w:rPr>
          <w:bCs/>
          <w:b/>
        </w:rPr>
        <w:t xml:space="preserve">Enterprise buyers pay for outcomes, not seats. CFOs, Chief Risk Officers, and COOs now hold material AI budgets and measure value in basis points recovered, hours saved, and false-positives reduced — not seats.</w:t>
      </w:r>
      <w:r>
        <w:rPr>
          <w:bCs/>
          <w:b/>
        </w:rPr>
        <w:t xml:space="preserve">”</w:t>
      </w:r>
      <w:r>
        <w:t xml:space="preserve"> </w:t>
      </w:r>
      <w:r>
        <w:t xml:space="preserve">— Anthemis (VC firm), May 2026</w:t>
      </w:r>
    </w:p>
    <w:p>
      <w:pPr>
        <w:pStyle w:val="BlockText"/>
      </w:pPr>
      <w:r>
        <w:rPr>
          <w:bCs/>
          <w:b/>
        </w:rPr>
        <w:t xml:space="preserve">“</w:t>
      </w:r>
      <w:r>
        <w:rPr>
          <w:bCs/>
          <w:b/>
        </w:rPr>
        <w:t xml:space="preserve">Per-resolution is the right model for most teams. You pay for outcomes, not seats. The unit cost scales with success, which is the right alignment.</w:t>
      </w:r>
      <w:r>
        <w:rPr>
          <w:bCs/>
          <w:b/>
        </w:rPr>
        <w:t xml:space="preserve">”</w:t>
      </w:r>
      <w:r>
        <w:t xml:space="preserve"> </w:t>
      </w:r>
      <w:r>
        <w:t xml:space="preserve">— eCorpIT, AI Customer Service Analysis, 2026</w:t>
      </w:r>
    </w:p>
    <w:bookmarkEnd w:id="43"/>
    <w:bookmarkStart w:id="44" w:name="conversation-as-a-service-caas"/>
    <w:p>
      <w:pPr>
        <w:pStyle w:val="Heading3"/>
      </w:pPr>
      <w:r>
        <w:t xml:space="preserve">2.3 Conversation-as-a-Service (CaaS)</w:t>
      </w:r>
    </w:p>
    <w:p>
      <w:pPr>
        <w:pStyle w:val="FirstParagraph"/>
      </w:pPr>
      <w:r>
        <w:rPr>
          <w:bCs/>
          <w:b/>
        </w:rPr>
        <w:t xml:space="preserve">Definition:</w:t>
      </w:r>
      <w:r>
        <w:t xml:space="preserve"> </w:t>
      </w:r>
      <w:r>
        <w:t xml:space="preserve">The interface IS the product. Rather than navigating complex software UIs, users simply state what they want in natural language, and AI agents execute.</w:t>
      </w:r>
    </w:p>
    <w:p>
      <w:pPr>
        <w:pStyle w:val="BodyText"/>
      </w:pPr>
      <w:r>
        <w:rPr>
          <w:bCs/>
          <w:b/>
        </w:rPr>
        <w:t xml:space="preserve">Evidence:</w:t>
      </w:r>
      <w:r>
        <w:t xml:space="preserve"> </w:t>
      </w:r>
      <w:r>
        <w:t xml:space="preserve">-</w:t>
      </w:r>
      <w:r>
        <w:t xml:space="preserve"> </w:t>
      </w:r>
      <w:r>
        <w:rPr>
          <w:bCs/>
          <w:b/>
        </w:rPr>
        <w:t xml:space="preserve">Ant Digital Technologies</w:t>
      </w:r>
      <w:r>
        <w:t xml:space="preserve"> </w:t>
      </w:r>
      <w:r>
        <w:t xml:space="preserve">(November 2025): Launched</w:t>
      </w:r>
      <w:r>
        <w:t xml:space="preserve"> </w:t>
      </w:r>
      <w:r>
        <w:t xml:space="preserve">“</w:t>
      </w:r>
      <w:r>
        <w:t xml:space="preserve">conversation-as-a-service</w:t>
      </w:r>
      <w:r>
        <w:t xml:space="preserve">”</w:t>
      </w:r>
      <w:r>
        <w:t xml:space="preserve"> </w:t>
      </w:r>
      <w:r>
        <w:t xml:space="preserve">mobile banking — customers use natural language to request services, AI completes transactions (transfers, repayments, pension inquiries). Results:</w:t>
      </w:r>
      <w:r>
        <w:t xml:space="preserve"> </w:t>
      </w:r>
      <w:r>
        <w:rPr>
          <w:bCs/>
          <w:b/>
        </w:rPr>
        <w:t xml:space="preserve">10% lift in mobile banking conversion rates</w:t>
      </w:r>
      <w:r>
        <w:t xml:space="preserve"> </w:t>
      </w:r>
      <w:r>
        <w:t xml:space="preserve">at Bank of Shanghai.</w:t>
      </w:r>
      <w:r>
        <w:t xml:space="preserve"> </w:t>
      </w:r>
      <w:r>
        <w:t xml:space="preserve">-</w:t>
      </w:r>
      <w:r>
        <w:t xml:space="preserve"> </w:t>
      </w:r>
      <w:r>
        <w:rPr>
          <w:bCs/>
          <w:b/>
        </w:rPr>
        <w:t xml:space="preserve">Agricultural Bank of China</w:t>
      </w:r>
      <w:r>
        <w:t xml:space="preserve"> </w:t>
      </w:r>
      <w:r>
        <w:t xml:space="preserve">(2025 Annual Report): Built a new interactive model of</w:t>
      </w:r>
      <w:r>
        <w:t xml:space="preserve"> </w:t>
      </w:r>
      <w:r>
        <w:t xml:space="preserve">“</w:t>
      </w:r>
      <w:r>
        <w:t xml:space="preserve">Conversation-as-a-Service</w:t>
      </w:r>
      <w:r>
        <w:t xml:space="preserve">”</w:t>
      </w:r>
      <w:r>
        <w:t xml:space="preserve"> </w:t>
      </w:r>
      <w:r>
        <w:t xml:space="preserve">with intelligent agents.</w:t>
      </w:r>
      <w:r>
        <w:t xml:space="preserve"> </w:t>
      </w:r>
      <w:r>
        <w:rPr>
          <w:bCs/>
          <w:b/>
        </w:rPr>
        <w:t xml:space="preserve">276 million MAU</w:t>
      </w:r>
      <w:r>
        <w:t xml:space="preserve"> </w:t>
      </w:r>
      <w:r>
        <w:t xml:space="preserve">of mobile banking.</w:t>
      </w:r>
      <w:r>
        <w:t xml:space="preserve"> </w:t>
      </w:r>
      <w:r>
        <w:t xml:space="preserve">-</w:t>
      </w:r>
      <w:r>
        <w:t xml:space="preserve"> </w:t>
      </w:r>
      <w:r>
        <w:rPr>
          <w:bCs/>
          <w:b/>
        </w:rPr>
        <w:t xml:space="preserve">Salesforce State of Service:</w:t>
      </w:r>
      <w:r>
        <w:t xml:space="preserve"> </w:t>
      </w:r>
      <w:r>
        <w:t xml:space="preserve">89% of service professionals say conversational AI increases self-service resolution rates.</w:t>
      </w:r>
      <w:r>
        <w:t xml:space="preserve"> </w:t>
      </w:r>
      <w:r>
        <w:t xml:space="preserve">-</w:t>
      </w:r>
      <w:r>
        <w:t xml:space="preserve"> </w:t>
      </w:r>
      <w:r>
        <w:rPr>
          <w:bCs/>
          <w:b/>
        </w:rPr>
        <w:t xml:space="preserve">Google:</w:t>
      </w:r>
      <w:r>
        <w:t xml:space="preserve"> </w:t>
      </w:r>
      <w:r>
        <w:t xml:space="preserve">AI Mode queries are</w:t>
      </w:r>
      <w:r>
        <w:t xml:space="preserve"> </w:t>
      </w:r>
      <w:r>
        <w:rPr>
          <w:bCs/>
          <w:b/>
        </w:rPr>
        <w:t xml:space="preserve">3x longer</w:t>
      </w:r>
      <w:r>
        <w:t xml:space="preserve"> </w:t>
      </w:r>
      <w:r>
        <w:t xml:space="preserve">than traditional searches; 1 in 6 use voice/images — showing users are adapting to conversational interfaces.</w:t>
      </w:r>
    </w:p>
    <w:bookmarkEnd w:id="44"/>
    <w:bookmarkStart w:id="45" w:name="protocol-as-a-service-paas"/>
    <w:p>
      <w:pPr>
        <w:pStyle w:val="Heading3"/>
      </w:pPr>
      <w:r>
        <w:t xml:space="preserve">2.4 Protocol-as-a-Service (PaaS)</w:t>
      </w:r>
    </w:p>
    <w:p>
      <w:pPr>
        <w:pStyle w:val="FirstParagraph"/>
      </w:pPr>
      <w:r>
        <w:rPr>
          <w:bCs/>
          <w:b/>
        </w:rPr>
        <w:t xml:space="preserve">Definition:</w:t>
      </w:r>
      <w:r>
        <w:t xml:space="preserve"> </w:t>
      </w:r>
      <w:r>
        <w:t xml:space="preserve">Open protocols replace proprietary app interfaces. Agents communicate through standardized protocols rather than navigating individual app UIs.</w:t>
      </w:r>
    </w:p>
    <w:p>
      <w:pPr>
        <w:pStyle w:val="BodyText"/>
      </w:pPr>
      <w:r>
        <w:rPr>
          <w:bCs/>
          <w:b/>
        </w:rPr>
        <w:t xml:space="preserve">The x402 Protocol (Stripe, Coinbase, Vercel):</w:t>
      </w:r>
    </w:p>
    <w:p>
      <w:pPr>
        <w:pStyle w:val="BodyText"/>
      </w:pPr>
      <w:r>
        <w:t xml:space="preserve">x402 is an HTTP-native payment protocol designed for machine-to-machine transactions. It uses the long-reserved HTTP 402</w:t>
      </w:r>
      <w:r>
        <w:t xml:space="preserve"> </w:t>
      </w:r>
      <w:r>
        <w:t xml:space="preserve">“</w:t>
      </w:r>
      <w:r>
        <w:t xml:space="preserve">Payment Required</w:t>
      </w:r>
      <w:r>
        <w:t xml:space="preserve">”</w:t>
      </w:r>
      <w:r>
        <w:t xml:space="preserve"> </w:t>
      </w:r>
      <w:r>
        <w:t xml:space="preserve">status code.</w:t>
      </w:r>
    </w:p>
    <w:p>
      <w:pPr>
        <w:pStyle w:val="BodyText"/>
      </w:pPr>
      <w:r>
        <w:rPr>
          <w:bCs/>
          <w:b/>
        </w:rPr>
        <w:t xml:space="preserve">How it works:</w:t>
      </w:r>
      <w:r>
        <w:t xml:space="preserve"> </w:t>
      </w:r>
      <w:r>
        <w:t xml:space="preserve">An AI agent can autonomously pay for API calls, compute, data, or services — as low as $0.01 USDC per transaction — without human intervention, pre-registration, or account setup.</w:t>
      </w:r>
    </w:p>
    <w:p>
      <w:pPr>
        <w:pStyle w:val="BlockText"/>
      </w:pPr>
      <w:r>
        <w:rPr>
          <w:bCs/>
          <w:b/>
        </w:rPr>
        <w:t xml:space="preserve">“</w:t>
      </w:r>
      <w:r>
        <w:rPr>
          <w:bCs/>
          <w:b/>
        </w:rPr>
        <w:t xml:space="preserve">The agent didn’t need to pre-register an account or ask a human to complete a purchase. Payment is part of the conversation.</w:t>
      </w:r>
      <w:r>
        <w:rPr>
          <w:bCs/>
          <w:b/>
        </w:rPr>
        <w:t xml:space="preserve">”</w:t>
      </w:r>
      <w:r>
        <w:t xml:space="preserve"> </w:t>
      </w:r>
      <w:r>
        <w:t xml:space="preserve">— Circle Labs x402 tutorial</w:t>
      </w:r>
    </w:p>
    <w:p>
      <w:pPr>
        <w:pStyle w:val="FirstParagraph"/>
      </w:pPr>
      <w:r>
        <w:rPr>
          <w:bCs/>
          <w:b/>
        </w:rPr>
        <w:t xml:space="preserve">Key partners:</w:t>
      </w:r>
      <w:r>
        <w:t xml:space="preserve"> </w:t>
      </w:r>
      <w:r>
        <w:t xml:space="preserve">Stripe (for fiat on/off ramps and compliance), Coinbase (x402 protocol infrastructure), Vercel (x402-next middleware for API route paywalls), Circle Labs (USDC settlement).</w:t>
      </w:r>
    </w:p>
    <w:p>
      <w:pPr>
        <w:pStyle w:val="BodyText"/>
      </w:pPr>
      <w:r>
        <w:rPr>
          <w:bCs/>
          <w:b/>
        </w:rPr>
        <w:t xml:space="preserve">x402 enables:</w:t>
      </w:r>
      <w:r>
        <w:t xml:space="preserve"> </w:t>
      </w:r>
      <w:r>
        <w:t xml:space="preserve">- Pay-per-API-call without subscriptions</w:t>
      </w:r>
      <w:r>
        <w:t xml:space="preserve"> </w:t>
      </w:r>
      <w:r>
        <w:t xml:space="preserve">- AI agent commerce (autonomous purchasing)</w:t>
      </w:r>
      <w:r>
        <w:t xml:space="preserve"> </w:t>
      </w:r>
      <w:r>
        <w:t xml:space="preserve">- Micropayments for content (per-article, per-minute-viewed)</w:t>
      </w:r>
      <w:r>
        <w:t xml:space="preserve"> </w:t>
      </w:r>
      <w:r>
        <w:t xml:space="preserve">- Machine-to-machine payments without human authorization</w:t>
      </w:r>
    </w:p>
    <w:p>
      <w:pPr>
        <w:pStyle w:val="BodyText"/>
      </w:pPr>
      <w:r>
        <w:rPr>
          <w:bCs/>
          <w:b/>
        </w:rPr>
        <w:t xml:space="preserve">Anthropic’s MCP (Model Context Protocol):</w:t>
      </w:r>
      <w:r>
        <w:t xml:space="preserve"> </w:t>
      </w:r>
      <w:r>
        <w:t xml:space="preserve">An open standard that enables AI agents to securely connect to external data sources and tools. Described as the</w:t>
      </w:r>
      <w:r>
        <w:t xml:space="preserve"> </w:t>
      </w:r>
      <w:r>
        <w:t xml:space="preserve">“</w:t>
      </w:r>
      <w:r>
        <w:t xml:space="preserve">USB-C port for AI applications.</w:t>
      </w:r>
      <w:r>
        <w:t xml:space="preserve">”</w:t>
      </w:r>
    </w:p>
    <w:bookmarkEnd w:id="45"/>
    <w:bookmarkStart w:id="46" w:name="intelligence-as-a-service-iaas"/>
    <w:p>
      <w:pPr>
        <w:pStyle w:val="Heading3"/>
      </w:pPr>
      <w:r>
        <w:t xml:space="preserve">2.5 Intelligence-as-a-Service (IaaS)</w:t>
      </w:r>
    </w:p>
    <w:p>
      <w:pPr>
        <w:pStyle w:val="FirstParagraph"/>
      </w:pPr>
      <w:r>
        <w:rPr>
          <w:bCs/>
          <w:b/>
        </w:rPr>
        <w:t xml:space="preserve">Definition:</w:t>
      </w:r>
      <w:r>
        <w:t xml:space="preserve"> </w:t>
      </w:r>
      <w:r>
        <w:t xml:space="preserve">Raw AI capability delivered as a metered utility. Rather than buying software that contains AI features, you buy intelligence directly — reasoning, analysis, content generation, code writing — as a cloud service.</w:t>
      </w:r>
    </w:p>
    <w:p>
      <w:pPr>
        <w:pStyle w:val="BodyText"/>
      </w:pPr>
      <w:r>
        <w:rPr>
          <w:bCs/>
          <w:b/>
        </w:rPr>
        <w:t xml:space="preserve">Market:</w:t>
      </w:r>
      <w:r>
        <w:t xml:space="preserve"> </w:t>
      </w:r>
      <w:r>
        <w:t xml:space="preserve">$17B (2025) to $230B+ (2034)</w:t>
      </w:r>
    </w:p>
    <w:tbl>
      <w:tblPr>
        <w:tblStyle w:val="Table"/>
        <w:tblW w:type="pct" w:w="5000"/>
        <w:tblLook w:firstRow="1" w:lastRow="0" w:firstColumn="0" w:lastColumn="0" w:noHBand="0" w:noVBand="0" w:val="0020"/>
      </w:tblPr>
      <w:tblGrid>
        <w:gridCol w:w="2731"/>
        <w:gridCol w:w="2731"/>
        <w:gridCol w:w="2457"/>
      </w:tblGrid>
      <w:tr>
        <w:trPr>
          <w:tblHeader w:val="true"/>
        </w:trPr>
        <w:tc>
          <w:tcPr/>
          <w:p>
            <w:pPr>
              <w:pStyle w:val="Compact"/>
              <w:jc w:val="left"/>
            </w:pPr>
            <w:r>
              <w:t xml:space="preserve">Provider</w:t>
            </w:r>
          </w:p>
        </w:tc>
        <w:tc>
          <w:tcPr/>
          <w:p>
            <w:pPr>
              <w:pStyle w:val="Compact"/>
              <w:jc w:val="left"/>
            </w:pPr>
            <w:r>
              <w:t xml:space="preserve">Offering</w:t>
            </w:r>
          </w:p>
        </w:tc>
        <w:tc>
          <w:tcPr/>
          <w:p>
            <w:pPr>
              <w:pStyle w:val="Compact"/>
              <w:jc w:val="left"/>
            </w:pPr>
            <w:r>
              <w:t xml:space="preserve">Pricing</w:t>
            </w:r>
          </w:p>
        </w:tc>
      </w:tr>
      <w:tr>
        <w:tc>
          <w:tcPr/>
          <w:p>
            <w:pPr>
              <w:pStyle w:val="Compact"/>
              <w:jc w:val="left"/>
            </w:pPr>
            <w:r>
              <w:rPr>
                <w:bCs/>
                <w:b/>
              </w:rPr>
              <w:t xml:space="preserve">OpenAI</w:t>
            </w:r>
          </w:p>
        </w:tc>
        <w:tc>
          <w:tcPr/>
          <w:p>
            <w:pPr>
              <w:pStyle w:val="Compact"/>
              <w:jc w:val="left"/>
            </w:pPr>
            <w:r>
              <w:t xml:space="preserve">GPT API</w:t>
            </w:r>
          </w:p>
        </w:tc>
        <w:tc>
          <w:tcPr/>
          <w:p>
            <w:pPr>
              <w:pStyle w:val="Compact"/>
              <w:jc w:val="left"/>
            </w:pPr>
            <w:r>
              <w:t xml:space="preserve">Per-token ($2.50/1M input tokens for GPT-4o)</w:t>
            </w:r>
          </w:p>
        </w:tc>
      </w:tr>
      <w:tr>
        <w:tc>
          <w:tcPr/>
          <w:p>
            <w:pPr>
              <w:pStyle w:val="Compact"/>
              <w:jc w:val="left"/>
            </w:pPr>
            <w:r>
              <w:rPr>
                <w:bCs/>
                <w:b/>
              </w:rPr>
              <w:t xml:space="preserve">Google</w:t>
            </w:r>
          </w:p>
        </w:tc>
        <w:tc>
          <w:tcPr/>
          <w:p>
            <w:pPr>
              <w:pStyle w:val="Compact"/>
              <w:jc w:val="left"/>
            </w:pPr>
            <w:r>
              <w:t xml:space="preserve">Gemini API</w:t>
            </w:r>
          </w:p>
        </w:tc>
        <w:tc>
          <w:tcPr/>
          <w:p>
            <w:pPr>
              <w:pStyle w:val="Compact"/>
              <w:jc w:val="left"/>
            </w:pPr>
            <w:r>
              <w:t xml:space="preserve">Per-token ($0.50/1M input for Flash, $2/1M for Pro)</w:t>
            </w:r>
          </w:p>
        </w:tc>
      </w:tr>
      <w:tr>
        <w:tc>
          <w:tcPr/>
          <w:p>
            <w:pPr>
              <w:pStyle w:val="Compact"/>
              <w:jc w:val="left"/>
            </w:pPr>
            <w:r>
              <w:rPr>
                <w:bCs/>
                <w:b/>
              </w:rPr>
              <w:t xml:space="preserve">Anthropic</w:t>
            </w:r>
          </w:p>
        </w:tc>
        <w:tc>
          <w:tcPr/>
          <w:p>
            <w:pPr>
              <w:pStyle w:val="Compact"/>
              <w:jc w:val="left"/>
            </w:pPr>
            <w:r>
              <w:t xml:space="preserve">Claude API</w:t>
            </w:r>
          </w:p>
        </w:tc>
        <w:tc>
          <w:tcPr/>
          <w:p>
            <w:pPr>
              <w:pStyle w:val="Compact"/>
              <w:jc w:val="left"/>
            </w:pPr>
            <w:r>
              <w:t xml:space="preserve">Per-token</w:t>
            </w:r>
          </w:p>
        </w:tc>
      </w:tr>
      <w:tr>
        <w:tc>
          <w:tcPr/>
          <w:p>
            <w:pPr>
              <w:pStyle w:val="Compact"/>
              <w:jc w:val="left"/>
            </w:pPr>
            <w:r>
              <w:rPr>
                <w:bCs/>
                <w:b/>
              </w:rPr>
              <w:t xml:space="preserve">Microsoft</w:t>
            </w:r>
          </w:p>
        </w:tc>
        <w:tc>
          <w:tcPr/>
          <w:p>
            <w:pPr>
              <w:pStyle w:val="Compact"/>
              <w:jc w:val="left"/>
            </w:pPr>
            <w:r>
              <w:t xml:space="preserve">Azure OpenAI Service</w:t>
            </w:r>
          </w:p>
        </w:tc>
        <w:tc>
          <w:tcPr/>
          <w:p>
            <w:pPr>
              <w:pStyle w:val="Compact"/>
              <w:jc w:val="left"/>
            </w:pPr>
            <w:r>
              <w:t xml:space="preserve">Per-token + Azure infrastructure</w:t>
            </w:r>
          </w:p>
        </w:tc>
      </w:tr>
    </w:tbl>
    <w:p>
      <w:pPr>
        <w:pStyle w:val="BodyText"/>
      </w:pPr>
      <w:r>
        <w:rPr>
          <w:bCs/>
          <w:b/>
        </w:rPr>
        <w:t xml:space="preserve">Shift from CapEx to OpEx:</w:t>
      </w:r>
      <w:r>
        <w:t xml:space="preserve"> </w:t>
      </w:r>
      <w:r>
        <w:t xml:space="preserve">AI shifts from capital expenditure (building models, buying hardware) to controlled operating expense (consuming intelligence via API).</w:t>
      </w:r>
    </w:p>
    <w:bookmarkEnd w:id="46"/>
    <w:bookmarkStart w:id="47" w:name="which-model-is-winning-which-is-hype"/>
    <w:p>
      <w:pPr>
        <w:pStyle w:val="Heading3"/>
      </w:pPr>
      <w:r>
        <w:t xml:space="preserve">2.6 Which Model Is Winning? Which Is Hype?</w:t>
      </w:r>
    </w:p>
    <w:p>
      <w:pPr>
        <w:pStyle w:val="FirstParagraph"/>
      </w:pPr>
      <w:r>
        <w:rPr>
          <w:bCs/>
          <w:b/>
        </w:rPr>
        <w:t xml:space="preserve">Most likely winning model: Hybrid Outcome-Based Pricing</w:t>
      </w:r>
    </w:p>
    <w:p>
      <w:pPr>
        <w:pStyle w:val="BodyText"/>
      </w:pPr>
      <w:r>
        <w:t xml:space="preserve">The evidence suggests no single model dominates — instead, a hybrid:</w:t>
      </w:r>
    </w:p>
    <w:tbl>
      <w:tblPr>
        <w:tblStyle w:val="Table"/>
        <w:tblW w:type="pct" w:w="5000"/>
        <w:tblLook w:firstRow="1" w:lastRow="0" w:firstColumn="0" w:lastColumn="0" w:noHBand="0" w:noVBand="0" w:val="0020"/>
      </w:tblPr>
      <w:tblGrid>
        <w:gridCol w:w="3300"/>
        <w:gridCol w:w="4620"/>
      </w:tblGrid>
      <w:tr>
        <w:trPr>
          <w:tblHeader w:val="true"/>
        </w:trPr>
        <w:tc>
          <w:tcPr/>
          <w:p>
            <w:pPr>
              <w:pStyle w:val="Compact"/>
              <w:jc w:val="left"/>
            </w:pPr>
            <w:r>
              <w:t xml:space="preserve">Use Case</w:t>
            </w:r>
          </w:p>
        </w:tc>
        <w:tc>
          <w:tcPr/>
          <w:p>
            <w:pPr>
              <w:pStyle w:val="Compact"/>
              <w:jc w:val="left"/>
            </w:pPr>
            <w:r>
              <w:t xml:space="preserve">Winning Model</w:t>
            </w:r>
          </w:p>
        </w:tc>
      </w:tr>
      <w:tr>
        <w:tc>
          <w:tcPr/>
          <w:p>
            <w:pPr>
              <w:pStyle w:val="Compact"/>
              <w:jc w:val="left"/>
            </w:pPr>
            <w:r>
              <w:t xml:space="preserve">Customer service</w:t>
            </w:r>
          </w:p>
        </w:tc>
        <w:tc>
          <w:tcPr/>
          <w:p>
            <w:pPr>
              <w:pStyle w:val="Compact"/>
              <w:jc w:val="left"/>
            </w:pPr>
            <w:r>
              <w:t xml:space="preserve">Outcome-per-resolution + outcome-per-signal</w:t>
            </w:r>
          </w:p>
        </w:tc>
      </w:tr>
      <w:tr>
        <w:tc>
          <w:tcPr/>
          <w:p>
            <w:pPr>
              <w:pStyle w:val="Compact"/>
              <w:jc w:val="left"/>
            </w:pPr>
            <w:r>
              <w:t xml:space="preserve">Software development</w:t>
            </w:r>
          </w:p>
        </w:tc>
        <w:tc>
          <w:tcPr/>
          <w:p>
            <w:pPr>
              <w:pStyle w:val="Compact"/>
              <w:jc w:val="left"/>
            </w:pPr>
            <w:r>
              <w:t xml:space="preserve">Seat-based (GitHub Copilot $19/mo) + consumption</w:t>
            </w:r>
          </w:p>
        </w:tc>
      </w:tr>
      <w:tr>
        <w:tc>
          <w:tcPr/>
          <w:p>
            <w:pPr>
              <w:pStyle w:val="Compact"/>
              <w:jc w:val="left"/>
            </w:pPr>
            <w:r>
              <w:t xml:space="preserve">Enterprise productivity</w:t>
            </w:r>
          </w:p>
        </w:tc>
        <w:tc>
          <w:tcPr/>
          <w:p>
            <w:pPr>
              <w:pStyle w:val="Compact"/>
              <w:jc w:val="left"/>
            </w:pPr>
            <w:r>
              <w:t xml:space="preserve">Per-seat (M365 Copilot $30/seat) + attach</w:t>
            </w:r>
          </w:p>
        </w:tc>
      </w:tr>
      <w:tr>
        <w:tc>
          <w:tcPr/>
          <w:p>
            <w:pPr>
              <w:pStyle w:val="Compact"/>
              <w:jc w:val="left"/>
            </w:pPr>
            <w:r>
              <w:t xml:space="preserve">API/infrastructure</w:t>
            </w:r>
          </w:p>
        </w:tc>
        <w:tc>
          <w:tcPr/>
          <w:p>
            <w:pPr>
              <w:pStyle w:val="Compact"/>
              <w:jc w:val="left"/>
            </w:pPr>
            <w:r>
              <w:t xml:space="preserve">Per-token / per-call</w:t>
            </w:r>
          </w:p>
        </w:tc>
      </w:tr>
      <w:tr>
        <w:tc>
          <w:tcPr/>
          <w:p>
            <w:pPr>
              <w:pStyle w:val="Compact"/>
              <w:jc w:val="left"/>
            </w:pPr>
            <w:r>
              <w:t xml:space="preserve">Financial services</w:t>
            </w:r>
          </w:p>
        </w:tc>
        <w:tc>
          <w:tcPr/>
          <w:p>
            <w:pPr>
              <w:pStyle w:val="Compact"/>
              <w:jc w:val="left"/>
            </w:pPr>
            <w:r>
              <w:t xml:space="preserve">Outcome-based (basis points, risk reduced)</w:t>
            </w:r>
          </w:p>
        </w:tc>
      </w:tr>
      <w:tr>
        <w:tc>
          <w:tcPr/>
          <w:p>
            <w:pPr>
              <w:pStyle w:val="Compact"/>
              <w:jc w:val="left"/>
            </w:pPr>
            <w:r>
              <w:t xml:space="preserve">Content/media</w:t>
            </w:r>
          </w:p>
        </w:tc>
        <w:tc>
          <w:tcPr/>
          <w:p>
            <w:pPr>
              <w:pStyle w:val="Compact"/>
              <w:jc w:val="left"/>
            </w:pPr>
            <w:r>
              <w:t xml:space="preserve">Consumption (per-article, per-minute)</w:t>
            </w:r>
          </w:p>
        </w:tc>
      </w:tr>
    </w:tbl>
    <w:p>
      <w:pPr>
        <w:pStyle w:val="BodyText"/>
      </w:pPr>
      <w:r>
        <w:rPr>
          <w:bCs/>
          <w:b/>
        </w:rPr>
        <w:t xml:space="preserve">Hype:</w:t>
      </w:r>
      <w:r>
        <w:t xml:space="preserve"> </w:t>
      </w:r>
      <w:r>
        <w:t xml:space="preserve">Pure</w:t>
      </w:r>
      <w:r>
        <w:t xml:space="preserve"> </w:t>
      </w:r>
      <w:r>
        <w:t xml:space="preserve">“</w:t>
      </w:r>
      <w:r>
        <w:t xml:space="preserve">conversation-as-a-service</w:t>
      </w:r>
      <w:r>
        <w:t xml:space="preserve">”</w:t>
      </w:r>
      <w:r>
        <w:t xml:space="preserve"> </w:t>
      </w:r>
      <w:r>
        <w:t xml:space="preserve">as standalone. Most enterprise buyers want outcomes, not conversations.</w:t>
      </w:r>
      <w:r>
        <w:t xml:space="preserve"> </w:t>
      </w:r>
      <w:r>
        <w:rPr>
          <w:bCs/>
          <w:b/>
        </w:rPr>
        <w:t xml:space="preserve">Reality:</w:t>
      </w:r>
      <w:r>
        <w:t xml:space="preserve"> </w:t>
      </w:r>
      <w:r>
        <w:t xml:space="preserve">The pricing model shift is real — from per-seat to per-outcome is the most durable trend.</w:t>
      </w:r>
    </w:p>
    <w:p>
      <w:r>
        <w:pict>
          <v:rect style="width:0;height:1.5pt" o:hralign="center" o:hrstd="t" o:hr="t"/>
        </w:pict>
      </w:r>
    </w:p>
    <w:bookmarkEnd w:id="47"/>
    <w:bookmarkEnd w:id="48"/>
    <w:bookmarkStart w:id="56" w:name="real-companies-making-the-shift"/>
    <w:p>
      <w:pPr>
        <w:pStyle w:val="Heading2"/>
      </w:pPr>
      <w:r>
        <w:t xml:space="preserve">3. REAL COMPANIES MAKING THE SHIFT</w:t>
      </w:r>
    </w:p>
    <w:bookmarkStart w:id="49" w:name="salesforce-agentforce"/>
    <w:p>
      <w:pPr>
        <w:pStyle w:val="Heading3"/>
      </w:pPr>
      <w:r>
        <w:t xml:space="preserve">3.1 Salesforce — Agentforce</w:t>
      </w:r>
    </w:p>
    <w:p>
      <w:pPr>
        <w:pStyle w:val="FirstParagraph"/>
      </w:pPr>
      <w:r>
        <w:rPr>
          <w:bCs/>
          <w:b/>
        </w:rPr>
        <w:t xml:space="preserve">The Pivot:</w:t>
      </w:r>
      <w:r>
        <w:t xml:space="preserve"> </w:t>
      </w:r>
      <w:r>
        <w:t xml:space="preserve">From CRM to</w:t>
      </w:r>
      <w:r>
        <w:t xml:space="preserve"> </w:t>
      </w:r>
      <w:r>
        <w:t xml:space="preserve">“</w:t>
      </w:r>
      <w:r>
        <w:t xml:space="preserve">AI Agent Platform</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Q4 FY25 (Feb 2025)</w:t>
            </w:r>
          </w:p>
        </w:tc>
        <w:tc>
          <w:tcPr/>
          <w:p>
            <w:pPr>
              <w:pStyle w:val="Compact"/>
              <w:jc w:val="left"/>
            </w:pPr>
            <w:r>
              <w:t xml:space="preserve">Q4 FY26 (Feb 2026)</w:t>
            </w:r>
          </w:p>
        </w:tc>
        <w:tc>
          <w:tcPr/>
          <w:p>
            <w:pPr>
              <w:pStyle w:val="Compact"/>
              <w:jc w:val="left"/>
            </w:pPr>
            <w:r>
              <w:t xml:space="preserve">Growth</w:t>
            </w:r>
          </w:p>
        </w:tc>
      </w:tr>
      <w:tr>
        <w:tc>
          <w:tcPr/>
          <w:p>
            <w:pPr>
              <w:pStyle w:val="Compact"/>
              <w:jc w:val="left"/>
            </w:pPr>
            <w:r>
              <w:t xml:space="preserve">Total deals closed</w:t>
            </w:r>
          </w:p>
        </w:tc>
        <w:tc>
          <w:tcPr/>
          <w:p>
            <w:pPr>
              <w:pStyle w:val="Compact"/>
              <w:jc w:val="left"/>
            </w:pPr>
            <w:r>
              <w:t xml:space="preserve">5,000</w:t>
            </w:r>
          </w:p>
        </w:tc>
        <w:tc>
          <w:tcPr/>
          <w:p>
            <w:pPr>
              <w:pStyle w:val="Compact"/>
              <w:jc w:val="left"/>
            </w:pPr>
            <w:r>
              <w:t xml:space="preserve">29,000</w:t>
            </w:r>
          </w:p>
        </w:tc>
        <w:tc>
          <w:tcPr/>
          <w:p>
            <w:pPr>
              <w:pStyle w:val="Compact"/>
              <w:jc w:val="left"/>
            </w:pPr>
            <w:r>
              <w:t xml:space="preserve">5.8x</w:t>
            </w:r>
          </w:p>
        </w:tc>
      </w:tr>
      <w:tr>
        <w:tc>
          <w:tcPr/>
          <w:p>
            <w:pPr>
              <w:pStyle w:val="Compact"/>
              <w:jc w:val="left"/>
            </w:pPr>
            <w:r>
              <w:t xml:space="preserve">Agentforce + Data 360 ARR</w:t>
            </w:r>
          </w:p>
        </w:tc>
        <w:tc>
          <w:tcPr/>
          <w:p>
            <w:pPr>
              <w:pStyle w:val="Compact"/>
              <w:jc w:val="left"/>
            </w:pPr>
            <w:r>
              <w:t xml:space="preserve">$900M</w:t>
            </w:r>
          </w:p>
        </w:tc>
        <w:tc>
          <w:tcPr/>
          <w:p>
            <w:pPr>
              <w:pStyle w:val="Compact"/>
              <w:jc w:val="left"/>
            </w:pPr>
            <w:r>
              <w:t xml:space="preserve">$2.9B</w:t>
            </w:r>
          </w:p>
        </w:tc>
        <w:tc>
          <w:tcPr/>
          <w:p>
            <w:pPr>
              <w:pStyle w:val="Compact"/>
              <w:jc w:val="left"/>
            </w:pPr>
            <w:r>
              <w:t xml:space="preserve">222%</w:t>
            </w:r>
          </w:p>
        </w:tc>
      </w:tr>
      <w:tr>
        <w:tc>
          <w:tcPr/>
          <w:p>
            <w:pPr>
              <w:pStyle w:val="Compact"/>
              <w:jc w:val="left"/>
            </w:pPr>
            <w:r>
              <w:t xml:space="preserve">Agentforce ARR alone</w:t>
            </w:r>
          </w:p>
        </w:tc>
        <w:tc>
          <w:tcPr/>
          <w:p>
            <w:pPr>
              <w:pStyle w:val="Compact"/>
              <w:jc w:val="left"/>
            </w:pPr>
            <w:r>
              <w:t xml:space="preserve">—</w:t>
            </w:r>
          </w:p>
        </w:tc>
        <w:tc>
          <w:tcPr/>
          <w:p>
            <w:pPr>
              <w:pStyle w:val="Compact"/>
              <w:jc w:val="left"/>
            </w:pPr>
            <w:r>
              <w:t xml:space="preserve">$800M</w:t>
            </w:r>
          </w:p>
        </w:tc>
        <w:tc>
          <w:tcPr/>
          <w:p>
            <w:pPr>
              <w:pStyle w:val="Compact"/>
              <w:jc w:val="left"/>
            </w:pPr>
            <w:r>
              <w:t xml:space="preserve">169%</w:t>
            </w:r>
          </w:p>
        </w:tc>
      </w:tr>
      <w:tr>
        <w:tc>
          <w:tcPr/>
          <w:p>
            <w:pPr>
              <w:pStyle w:val="Compact"/>
              <w:jc w:val="left"/>
            </w:pPr>
            <w:r>
              <w:t xml:space="preserve">Tasks completed (AWUs)</w:t>
            </w:r>
          </w:p>
        </w:tc>
        <w:tc>
          <w:tcPr/>
          <w:p>
            <w:pPr>
              <w:pStyle w:val="Compact"/>
              <w:jc w:val="left"/>
            </w:pPr>
            <w:r>
              <w:t xml:space="preserve">—</w:t>
            </w:r>
          </w:p>
        </w:tc>
        <w:tc>
          <w:tcPr/>
          <w:p>
            <w:pPr>
              <w:pStyle w:val="Compact"/>
              <w:jc w:val="left"/>
            </w:pPr>
            <w:r>
              <w:t xml:space="preserve">2.4 billion</w:t>
            </w:r>
          </w:p>
        </w:tc>
        <w:tc>
          <w:tcPr/>
          <w:p>
            <w:pPr>
              <w:pStyle w:val="Compact"/>
              <w:jc w:val="left"/>
            </w:pPr>
            <w:r>
              <w:t xml:space="preserve">57% QoQ</w:t>
            </w:r>
          </w:p>
        </w:tc>
      </w:tr>
      <w:tr>
        <w:tc>
          <w:tcPr/>
          <w:p>
            <w:pPr>
              <w:pStyle w:val="Compact"/>
              <w:jc w:val="left"/>
            </w:pPr>
            <w:r>
              <w:t xml:space="preserve">Data 360 records ingested</w:t>
            </w:r>
          </w:p>
        </w:tc>
        <w:tc>
          <w:tcPr/>
          <w:p>
            <w:pPr>
              <w:pStyle w:val="Compact"/>
              <w:jc w:val="left"/>
            </w:pPr>
            <w:r>
              <w:t xml:space="preserve">50 trillion</w:t>
            </w:r>
          </w:p>
        </w:tc>
        <w:tc>
          <w:tcPr/>
          <w:p>
            <w:pPr>
              <w:pStyle w:val="Compact"/>
              <w:jc w:val="left"/>
            </w:pPr>
            <w:r>
              <w:t xml:space="preserve">112 trillion</w:t>
            </w:r>
          </w:p>
        </w:tc>
        <w:tc>
          <w:tcPr/>
          <w:p>
            <w:pPr>
              <w:pStyle w:val="Compact"/>
              <w:jc w:val="left"/>
            </w:pPr>
            <w:r>
              <w:t xml:space="preserve">114%</w:t>
            </w:r>
          </w:p>
        </w:tc>
      </w:tr>
    </w:tbl>
    <w:p>
      <w:pPr>
        <w:pStyle w:val="BodyText"/>
      </w:pPr>
      <w:r>
        <w:rPr>
          <w:bCs/>
          <w:b/>
        </w:rPr>
        <w:t xml:space="preserve">Key milestones:</w:t>
      </w:r>
      <w:r>
        <w:t xml:space="preserve"> </w:t>
      </w:r>
      <w:r>
        <w:t xml:space="preserve">-</w:t>
      </w:r>
      <w:r>
        <w:t xml:space="preserve"> </w:t>
      </w:r>
      <w:r>
        <w:rPr>
          <w:bCs/>
          <w:b/>
        </w:rPr>
        <w:t xml:space="preserve">October 2024:</w:t>
      </w:r>
      <w:r>
        <w:t xml:space="preserve"> </w:t>
      </w:r>
      <w:r>
        <w:t xml:space="preserve">Agentforce launched at Dreamforce 2024; 10,000+ agents created in 3 days</w:t>
      </w:r>
      <w:r>
        <w:t xml:space="preserve"> </w:t>
      </w:r>
      <w:r>
        <w:t xml:space="preserve">-</w:t>
      </w:r>
      <w:r>
        <w:t xml:space="preserve"> </w:t>
      </w:r>
      <w:r>
        <w:rPr>
          <w:bCs/>
          <w:b/>
        </w:rPr>
        <w:t xml:space="preserve">Internal use:</w:t>
      </w:r>
      <w:r>
        <w:t xml:space="preserve"> </w:t>
      </w:r>
      <w:r>
        <w:t xml:space="preserve">Salesforce’s own AI agents resolve</w:t>
      </w:r>
      <w:r>
        <w:t xml:space="preserve"> </w:t>
      </w:r>
      <w:r>
        <w:rPr>
          <w:bCs/>
          <w:b/>
        </w:rPr>
        <w:t xml:space="preserve">84% of support cases</w:t>
      </w:r>
      <w:r>
        <w:t xml:space="preserve"> </w:t>
      </w:r>
      <w:r>
        <w:t xml:space="preserve">without human help; Agentforce handled</w:t>
      </w:r>
      <w:r>
        <w:t xml:space="preserve"> </w:t>
      </w:r>
      <w:r>
        <w:rPr>
          <w:bCs/>
          <w:b/>
        </w:rPr>
        <w:t xml:space="preserve">2.8 million interactions</w:t>
      </w:r>
      <w:r>
        <w:t xml:space="preserve"> </w:t>
      </w:r>
      <w:r>
        <w:t xml:space="preserve">in Slack, saving</w:t>
      </w:r>
      <w:r>
        <w:t xml:space="preserve"> </w:t>
      </w:r>
      <w:r>
        <w:rPr>
          <w:bCs/>
          <w:b/>
        </w:rPr>
        <w:t xml:space="preserve">500,000+ employee hours</w:t>
      </w:r>
      <w:r>
        <w:t xml:space="preserve"> </w:t>
      </w:r>
      <w:r>
        <w:t xml:space="preserve">-</w:t>
      </w:r>
      <w:r>
        <w:t xml:space="preserve"> </w:t>
      </w:r>
      <w:r>
        <w:rPr>
          <w:bCs/>
          <w:b/>
        </w:rPr>
        <w:t xml:space="preserve">Every one of Salesforce’s Top 10 Q4 customer wins</w:t>
      </w:r>
      <w:r>
        <w:t xml:space="preserve"> </w:t>
      </w:r>
      <w:r>
        <w:t xml:space="preserve">included Agentforce Sales, Agentforce Service, and Data 360</w:t>
      </w:r>
      <w:r>
        <w:t xml:space="preserve"> </w:t>
      </w:r>
      <w:r>
        <w:t xml:space="preserve">-</w:t>
      </w:r>
      <w:r>
        <w:t xml:space="preserve"> </w:t>
      </w:r>
      <w:r>
        <w:rPr>
          <w:bCs/>
          <w:b/>
        </w:rPr>
        <w:t xml:space="preserve">60%+ of bookings</w:t>
      </w:r>
      <w:r>
        <w:t xml:space="preserve"> </w:t>
      </w:r>
      <w:r>
        <w:t xml:space="preserve">came from existing customer expansion</w:t>
      </w:r>
    </w:p>
    <w:p>
      <w:pPr>
        <w:pStyle w:val="BodyText"/>
      </w:pPr>
      <w:r>
        <w:rPr>
          <w:bCs/>
          <w:b/>
        </w:rPr>
        <w:t xml:space="preserve">Wiley case study:</w:t>
      </w:r>
      <w:r>
        <w:t xml:space="preserve"> </w:t>
      </w:r>
      <w:r>
        <w:t xml:space="preserve">Upgraded to Agentforce-powered service agents —</w:t>
      </w:r>
      <w:r>
        <w:t xml:space="preserve"> </w:t>
      </w:r>
      <w:r>
        <w:rPr>
          <w:bCs/>
          <w:b/>
        </w:rPr>
        <w:t xml:space="preserve">40% case resolution improvement</w:t>
      </w:r>
      <w:r>
        <w:t xml:space="preserve">,</w:t>
      </w:r>
      <w:r>
        <w:t xml:space="preserve"> </w:t>
      </w:r>
      <w:r>
        <w:rPr>
          <w:bCs/>
          <w:b/>
        </w:rPr>
        <w:t xml:space="preserve">50% faster seasonal agent onboarding</w:t>
      </w:r>
      <w:r>
        <w:t xml:space="preserve">,</w:t>
      </w:r>
      <w:r>
        <w:t xml:space="preserve"> </w:t>
      </w:r>
      <w:r>
        <w:rPr>
          <w:bCs/>
          <w:b/>
        </w:rPr>
        <w:t xml:space="preserve">213% ROI</w:t>
      </w:r>
      <w:r>
        <w:t xml:space="preserve">,</w:t>
      </w:r>
      <w:r>
        <w:t xml:space="preserve"> </w:t>
      </w:r>
      <w:r>
        <w:rPr>
          <w:bCs/>
          <w:b/>
        </w:rPr>
        <w:t xml:space="preserve">$230,000 in documented savings</w:t>
      </w:r>
      <w:r>
        <w:t xml:space="preserve">.</w:t>
      </w:r>
    </w:p>
    <w:p>
      <w:pPr>
        <w:pStyle w:val="BodyText"/>
      </w:pPr>
      <w:r>
        <w:rPr>
          <w:bCs/>
          <w:b/>
        </w:rPr>
        <w:t xml:space="preserve">Verdict:</w:t>
      </w:r>
      <w:r>
        <w:t xml:space="preserve"> </w:t>
      </w:r>
      <w:r>
        <w:t xml:space="preserve">Agentforce is the fastest-growing product in Salesforce history. But it’s important to note: Agentforce is priced at</w:t>
      </w:r>
      <w:r>
        <w:t xml:space="preserve"> </w:t>
      </w:r>
      <w:r>
        <w:rPr>
          <w:bCs/>
          <w:b/>
        </w:rPr>
        <w:t xml:space="preserve">$2 per conversation</w:t>
      </w:r>
      <w:r>
        <w:t xml:space="preserve"> </w:t>
      </w:r>
      <w:r>
        <w:t xml:space="preserve">— an outcome-based model, not per-seat. This is the shift.</w:t>
      </w:r>
    </w:p>
    <w:bookmarkEnd w:id="49"/>
    <w:bookmarkStart w:id="50" w:name="microsoft-copilot-ecosystem"/>
    <w:p>
      <w:pPr>
        <w:pStyle w:val="Heading3"/>
      </w:pPr>
      <w:r>
        <w:t xml:space="preserve">3.2 Microsoft — Copilot Ecosystem</w:t>
      </w:r>
    </w:p>
    <w:p>
      <w:pPr>
        <w:pStyle w:val="FirstParagraph"/>
      </w:pPr>
      <w:r>
        <w:rPr>
          <w:bCs/>
          <w:b/>
        </w:rPr>
        <w:t xml:space="preserve">The Pivot:</w:t>
      </w:r>
      <w:r>
        <w:t xml:space="preserve"> </w:t>
      </w:r>
      <w:r>
        <w:t xml:space="preserve">From Office/Cloud to</w:t>
      </w:r>
      <w:r>
        <w:t xml:space="preserve"> </w:t>
      </w:r>
      <w:r>
        <w:t xml:space="preserve">“</w:t>
      </w:r>
      <w:r>
        <w:t xml:space="preserve">Copilot Everywhere</w:t>
      </w:r>
      <w:r>
        <w:t xml:space="preserve">”</w:t>
      </w:r>
    </w:p>
    <w:tbl>
      <w:tblPr>
        <w:tblStyle w:val="Table"/>
        <w:tblW w:type="pct" w:w="5000"/>
        <w:tblLook w:firstRow="1" w:lastRow="0" w:firstColumn="0" w:lastColumn="0" w:noHBand="0" w:noVBand="0" w:val="0020"/>
      </w:tblPr>
      <w:tblGrid>
        <w:gridCol w:w="2545"/>
        <w:gridCol w:w="5374"/>
      </w:tblGrid>
      <w:tr>
        <w:trPr>
          <w:tblHeader w:val="true"/>
        </w:trPr>
        <w:tc>
          <w:tcPr/>
          <w:p>
            <w:pPr>
              <w:pStyle w:val="Compact"/>
              <w:jc w:val="left"/>
            </w:pPr>
            <w:r>
              <w:t xml:space="preserve">Product</w:t>
            </w:r>
          </w:p>
        </w:tc>
        <w:tc>
          <w:tcPr/>
          <w:p>
            <w:pPr>
              <w:pStyle w:val="Compact"/>
              <w:jc w:val="left"/>
            </w:pPr>
            <w:r>
              <w:t xml:space="preserve">Metric (Jan 2026)</w:t>
            </w:r>
          </w:p>
        </w:tc>
      </w:tr>
      <w:tr>
        <w:tc>
          <w:tcPr/>
          <w:p>
            <w:pPr>
              <w:pStyle w:val="Compact"/>
              <w:jc w:val="left"/>
            </w:pPr>
            <w:r>
              <w:rPr>
                <w:bCs/>
                <w:b/>
              </w:rPr>
              <w:t xml:space="preserve">M365 Copilot</w:t>
            </w:r>
          </w:p>
        </w:tc>
        <w:tc>
          <w:tcPr/>
          <w:p>
            <w:pPr>
              <w:pStyle w:val="Compact"/>
              <w:jc w:val="left"/>
            </w:pPr>
            <w:r>
              <w:t xml:space="preserve">15 million seats; 90% of Fortune 500 use it</w:t>
            </w:r>
          </w:p>
        </w:tc>
      </w:tr>
      <w:tr>
        <w:tc>
          <w:tcPr/>
          <w:p>
            <w:pPr>
              <w:pStyle w:val="Compact"/>
              <w:jc w:val="left"/>
            </w:pPr>
            <w:r>
              <w:rPr>
                <w:bCs/>
                <w:b/>
              </w:rPr>
              <w:t xml:space="preserve">GitHub Copilot</w:t>
            </w:r>
          </w:p>
        </w:tc>
        <w:tc>
          <w:tcPr/>
          <w:p>
            <w:pPr>
              <w:pStyle w:val="Compact"/>
              <w:jc w:val="left"/>
            </w:pPr>
            <w:r>
              <w:t xml:space="preserve">4.7 million paid subscribers (up 75% YoY); ~$1B+ estimated ARR</w:t>
            </w:r>
          </w:p>
        </w:tc>
      </w:tr>
      <w:tr>
        <w:tc>
          <w:tcPr/>
          <w:p>
            <w:pPr>
              <w:pStyle w:val="Compact"/>
              <w:jc w:val="left"/>
            </w:pPr>
            <w:r>
              <w:rPr>
                <w:bCs/>
                <w:b/>
              </w:rPr>
              <w:t xml:space="preserve">Total Copilot users</w:t>
            </w:r>
          </w:p>
        </w:tc>
        <w:tc>
          <w:tcPr/>
          <w:p>
            <w:pPr>
              <w:pStyle w:val="Compact"/>
              <w:jc w:val="left"/>
            </w:pPr>
            <w:r>
              <w:t xml:space="preserve">218 million active users across Windows, app, web</w:t>
            </w:r>
          </w:p>
        </w:tc>
      </w:tr>
      <w:tr>
        <w:tc>
          <w:tcPr/>
          <w:p>
            <w:pPr>
              <w:pStyle w:val="Compact"/>
              <w:jc w:val="left"/>
            </w:pPr>
            <w:r>
              <w:rPr>
                <w:bCs/>
                <w:b/>
              </w:rPr>
              <w:t xml:space="preserve">Azure AI</w:t>
            </w:r>
          </w:p>
        </w:tc>
        <w:tc>
          <w:tcPr/>
          <w:p>
            <w:pPr>
              <w:pStyle w:val="Compact"/>
              <w:jc w:val="left"/>
            </w:pPr>
            <w:r>
              <w:t xml:space="preserve">$75B annual revenue; 35-39% growth; 80,000+ customers (80% Fortune 500)</w:t>
            </w:r>
          </w:p>
        </w:tc>
      </w:tr>
      <w:tr>
        <w:tc>
          <w:tcPr/>
          <w:p>
            <w:pPr>
              <w:pStyle w:val="Compact"/>
              <w:jc w:val="left"/>
            </w:pPr>
            <w:r>
              <w:rPr>
                <w:bCs/>
                <w:b/>
              </w:rPr>
              <w:t xml:space="preserve">GitHub Copilot Pro+</w:t>
            </w:r>
          </w:p>
        </w:tc>
        <w:tc>
          <w:tcPr/>
          <w:p>
            <w:pPr>
              <w:pStyle w:val="Compact"/>
              <w:jc w:val="left"/>
            </w:pPr>
            <w:r>
              <w:t xml:space="preserve">Individual subs grew 77% QoQ</w:t>
            </w:r>
          </w:p>
        </w:tc>
      </w:tr>
    </w:tbl>
    <w:p>
      <w:pPr>
        <w:pStyle w:val="BodyText"/>
      </w:pPr>
      <w:r>
        <w:rPr>
          <w:bCs/>
          <w:b/>
        </w:rPr>
        <w:t xml:space="preserve">The Strategy:</w:t>
      </w:r>
      <w:r>
        <w:t xml:space="preserve"> </w:t>
      </w:r>
      <w:r>
        <w:t xml:space="preserve">- Nadella explicitly stated Microsoft is building toward an</w:t>
      </w:r>
      <w:r>
        <w:t xml:space="preserve"> </w:t>
      </w:r>
      <w:r>
        <w:rPr>
          <w:bCs/>
          <w:b/>
        </w:rPr>
        <w:t xml:space="preserve">“</w:t>
      </w:r>
      <w:r>
        <w:rPr>
          <w:bCs/>
          <w:b/>
        </w:rPr>
        <w:t xml:space="preserve">AI tier</w:t>
      </w:r>
      <w:r>
        <w:rPr>
          <w:bCs/>
          <w:b/>
        </w:rPr>
        <w:t xml:space="preserve">”</w:t>
      </w:r>
      <w:r>
        <w:t xml:space="preserve"> </w:t>
      </w:r>
      <w:r>
        <w:t xml:space="preserve">that will collapse traditional SaaS backends</w:t>
      </w:r>
      <w:r>
        <w:t xml:space="preserve"> </w:t>
      </w:r>
      <w:r>
        <w:t xml:space="preserve">- Copilot becomes the</w:t>
      </w:r>
      <w:r>
        <w:t xml:space="preserve"> </w:t>
      </w:r>
      <w:r>
        <w:rPr>
          <w:bCs/>
          <w:b/>
        </w:rPr>
        <w:t xml:space="preserve">organizing UI layer</w:t>
      </w:r>
      <w:r>
        <w:t xml:space="preserve"> </w:t>
      </w:r>
      <w:r>
        <w:t xml:space="preserve">— agents in Excel, Word, Dynamics all coordinate through Copilot</w:t>
      </w:r>
      <w:r>
        <w:t xml:space="preserve"> </w:t>
      </w:r>
      <w:r>
        <w:t xml:space="preserve">- Enterprise Agreement restructuring (November 2025): Eliminated A-D price tiers —</w:t>
      </w:r>
      <w:r>
        <w:t xml:space="preserve"> </w:t>
      </w:r>
      <w:r>
        <w:rPr>
          <w:bCs/>
          <w:b/>
        </w:rPr>
        <w:t xml:space="preserve">most significant pricing change in 25 years</w:t>
      </w:r>
      <w:r>
        <w:t xml:space="preserve"> </w:t>
      </w:r>
      <w:r>
        <w:t xml:space="preserve">- Microsoft stopped reporting AI-specific revenue after FY25 Q2 — when metric stops improving, companies stop reporting it</w:t>
      </w:r>
    </w:p>
    <w:p>
      <w:pPr>
        <w:pStyle w:val="BodyText"/>
      </w:pPr>
      <w:r>
        <w:rPr>
          <w:bCs/>
          <w:b/>
        </w:rPr>
        <w:t xml:space="preserve">The Problem:</w:t>
      </w:r>
      <w:r>
        <w:t xml:space="preserve"> </w:t>
      </w:r>
      <w:r>
        <w:t xml:space="preserve">Independent data shows competitive challenges:</w:t>
      </w:r>
      <w:r>
        <w:t xml:space="preserve"> </w:t>
      </w:r>
      <w:r>
        <w:t xml:space="preserve">- Recon Analytics (January 2026): When users had access to Copilot, ChatGPT, and Gemini,</w:t>
      </w:r>
      <w:r>
        <w:t xml:space="preserve"> </w:t>
      </w:r>
      <w:r>
        <w:rPr>
          <w:bCs/>
          <w:b/>
        </w:rPr>
        <w:t xml:space="preserve">only 8% chose Copilot</w:t>
      </w:r>
      <w:r>
        <w:t xml:space="preserve"> </w:t>
      </w:r>
      <w:r>
        <w:t xml:space="preserve">as preferred tool</w:t>
      </w:r>
      <w:r>
        <w:t xml:space="preserve"> </w:t>
      </w:r>
      <w:r>
        <w:t xml:space="preserve">- Copilot’s paid subscriber share dropped from 18.8% to 11.5% (July 2025 to Jan 2026) —</w:t>
      </w:r>
      <w:r>
        <w:t xml:space="preserve"> </w:t>
      </w:r>
      <w:r>
        <w:rPr>
          <w:bCs/>
          <w:b/>
        </w:rPr>
        <w:t xml:space="preserve">39% contraction in market position</w:t>
      </w:r>
      <w:r>
        <w:t xml:space="preserve"> </w:t>
      </w:r>
      <w:r>
        <w:t xml:space="preserve">- 70% initially preferred Copilot (it’s in Office), but after trying alternatives, only 8% stayed</w:t>
      </w:r>
    </w:p>
    <w:bookmarkEnd w:id="50"/>
    <w:bookmarkStart w:id="51" w:name="google-ai-agents-in-workspace-and-cloud"/>
    <w:p>
      <w:pPr>
        <w:pStyle w:val="Heading3"/>
      </w:pPr>
      <w:r>
        <w:t xml:space="preserve">3.3 Google — AI Agents in Workspace and Cloud</w:t>
      </w:r>
    </w:p>
    <w:p>
      <w:pPr>
        <w:pStyle w:val="FirstParagraph"/>
      </w:pPr>
      <w:r>
        <w:rPr>
          <w:bCs/>
          <w:b/>
        </w:rPr>
        <w:t xml:space="preserve">The Pivot:</w:t>
      </w:r>
      <w:r>
        <w:t xml:space="preserve"> </w:t>
      </w:r>
      <w:r>
        <w:t xml:space="preserve">From Search/Ads/Cloud to</w:t>
      </w:r>
      <w:r>
        <w:t xml:space="preserve"> </w:t>
      </w:r>
      <w:r>
        <w:t xml:space="preserve">“</w:t>
      </w:r>
      <w:r>
        <w:t xml:space="preserve">Gemini Everywhere</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Figure (Early 2026)</w:t>
            </w:r>
          </w:p>
        </w:tc>
      </w:tr>
      <w:tr>
        <w:tc>
          <w:tcPr/>
          <w:p>
            <w:pPr>
              <w:pStyle w:val="Compact"/>
              <w:jc w:val="left"/>
            </w:pPr>
            <w:r>
              <w:t xml:space="preserve">Gemini app MAU</w:t>
            </w:r>
          </w:p>
        </w:tc>
        <w:tc>
          <w:tcPr/>
          <w:p>
            <w:pPr>
              <w:pStyle w:val="Compact"/>
              <w:jc w:val="left"/>
            </w:pPr>
            <w:r>
              <w:t xml:space="preserve">750 million</w:t>
            </w:r>
          </w:p>
        </w:tc>
      </w:tr>
      <w:tr>
        <w:tc>
          <w:tcPr/>
          <w:p>
            <w:pPr>
              <w:pStyle w:val="Compact"/>
              <w:jc w:val="left"/>
            </w:pPr>
            <w:r>
              <w:t xml:space="preserve">AI Overviews monthly users</w:t>
            </w:r>
          </w:p>
        </w:tc>
        <w:tc>
          <w:tcPr/>
          <w:p>
            <w:pPr>
              <w:pStyle w:val="Compact"/>
              <w:jc w:val="left"/>
            </w:pPr>
            <w:r>
              <w:t xml:space="preserve">2 billion</w:t>
            </w:r>
          </w:p>
        </w:tc>
      </w:tr>
      <w:tr>
        <w:tc>
          <w:tcPr/>
          <w:p>
            <w:pPr>
              <w:pStyle w:val="Compact"/>
              <w:jc w:val="left"/>
            </w:pPr>
            <w:r>
              <w:t xml:space="preserve">AI Mode DAU</w:t>
            </w:r>
          </w:p>
        </w:tc>
        <w:tc>
          <w:tcPr/>
          <w:p>
            <w:pPr>
              <w:pStyle w:val="Compact"/>
              <w:jc w:val="left"/>
            </w:pPr>
            <w:r>
              <w:t xml:space="preserve">75 million</w:t>
            </w:r>
          </w:p>
        </w:tc>
      </w:tr>
      <w:tr>
        <w:tc>
          <w:tcPr/>
          <w:p>
            <w:pPr>
              <w:pStyle w:val="Compact"/>
              <w:jc w:val="left"/>
            </w:pPr>
            <w:r>
              <w:t xml:space="preserve">Gemini Enterprise paid seats</w:t>
            </w:r>
          </w:p>
        </w:tc>
        <w:tc>
          <w:tcPr/>
          <w:p>
            <w:pPr>
              <w:pStyle w:val="Compact"/>
              <w:jc w:val="left"/>
            </w:pPr>
            <w:r>
              <w:t xml:space="preserve">8 million+ across 2,800+ companies</w:t>
            </w:r>
          </w:p>
        </w:tc>
      </w:tr>
      <w:tr>
        <w:tc>
          <w:tcPr/>
          <w:p>
            <w:pPr>
              <w:pStyle w:val="Compact"/>
              <w:jc w:val="left"/>
            </w:pPr>
            <w:r>
              <w:t xml:space="preserve">Developers building with Gemini</w:t>
            </w:r>
          </w:p>
        </w:tc>
        <w:tc>
          <w:tcPr/>
          <w:p>
            <w:pPr>
              <w:pStyle w:val="Compact"/>
              <w:jc w:val="left"/>
            </w:pPr>
            <w:r>
              <w:t xml:space="preserve">13 million</w:t>
            </w:r>
          </w:p>
        </w:tc>
      </w:tr>
      <w:tr>
        <w:tc>
          <w:tcPr/>
          <w:p>
            <w:pPr>
              <w:pStyle w:val="Compact"/>
              <w:jc w:val="left"/>
            </w:pPr>
            <w:r>
              <w:t xml:space="preserve">Google Cloud customers using AI</w:t>
            </w:r>
          </w:p>
        </w:tc>
        <w:tc>
          <w:tcPr/>
          <w:p>
            <w:pPr>
              <w:pStyle w:val="Compact"/>
              <w:jc w:val="left"/>
            </w:pPr>
            <w:r>
              <w:t xml:space="preserve">70%+</w:t>
            </w:r>
          </w:p>
        </w:tc>
      </w:tr>
      <w:tr>
        <w:tc>
          <w:tcPr/>
          <w:p>
            <w:pPr>
              <w:pStyle w:val="Compact"/>
              <w:jc w:val="left"/>
            </w:pPr>
            <w:r>
              <w:t xml:space="preserve">Gemini Enterprise interactions (Q4 2025)</w:t>
            </w:r>
          </w:p>
        </w:tc>
        <w:tc>
          <w:tcPr/>
          <w:p>
            <w:pPr>
              <w:pStyle w:val="Compact"/>
              <w:jc w:val="left"/>
            </w:pPr>
            <w:r>
              <w:t xml:space="preserve">5 billion (up 65% YoY)</w:t>
            </w:r>
          </w:p>
        </w:tc>
      </w:tr>
    </w:tbl>
    <w:p>
      <w:pPr>
        <w:pStyle w:val="BodyText"/>
      </w:pPr>
      <w:r>
        <w:rPr>
          <w:bCs/>
          <w:b/>
        </w:rPr>
        <w:t xml:space="preserve">Google Workspace:</w:t>
      </w:r>
      <w:r>
        <w:t xml:space="preserve"> </w:t>
      </w:r>
      <w:r>
        <w:t xml:space="preserve">- Gemini for Google Workspace integrated across all 15 products with 500M+ users</w:t>
      </w:r>
      <w:r>
        <w:t xml:space="preserve"> </w:t>
      </w:r>
      <w:r>
        <w:t xml:space="preserve">- Enterprise customers save average</w:t>
      </w:r>
      <w:r>
        <w:t xml:space="preserve"> </w:t>
      </w:r>
      <w:r>
        <w:rPr>
          <w:bCs/>
          <w:b/>
        </w:rPr>
        <w:t xml:space="preserve">105 minutes per user per week</w:t>
      </w:r>
      <w:r>
        <w:t xml:space="preserve"> </w:t>
      </w:r>
      <w:r>
        <w:t xml:space="preserve">- 75% of daily Gemini Workspace users say it</w:t>
      </w:r>
      <w:r>
        <w:t xml:space="preserve"> </w:t>
      </w:r>
      <w:r>
        <w:rPr>
          <w:bCs/>
          <w:b/>
        </w:rPr>
        <w:t xml:space="preserve">improves quality of their work</w:t>
      </w:r>
      <w:r>
        <w:t xml:space="preserve"> </w:t>
      </w:r>
      <w:r>
        <w:t xml:space="preserve">- 95% of top 20 SaaS companies and 80% of top 100 use Gemini</w:t>
      </w:r>
    </w:p>
    <w:p>
      <w:pPr>
        <w:pStyle w:val="BodyText"/>
      </w:pPr>
      <w:r>
        <w:rPr>
          <w:bCs/>
          <w:b/>
        </w:rPr>
        <w:t xml:space="preserve">Key Google quote:</w:t>
      </w:r>
      <w:r>
        <w:t xml:space="preserve"> </w:t>
      </w:r>
      <w:r>
        <w:t xml:space="preserve">&gt;</w:t>
      </w:r>
      <w:r>
        <w:t xml:space="preserve"> </w:t>
      </w:r>
      <w:r>
        <w:rPr>
          <w:bCs/>
          <w:b/>
        </w:rPr>
        <w:t xml:space="preserve">“</w:t>
      </w:r>
      <w:r>
        <w:rPr>
          <w:bCs/>
          <w:b/>
        </w:rPr>
        <w:t xml:space="preserve">75% of the company’s new code is AI-generated</w:t>
      </w:r>
      <w:r>
        <w:rPr>
          <w:bCs/>
          <w:b/>
        </w:rPr>
        <w:t xml:space="preserve">”</w:t>
      </w:r>
      <w:r>
        <w:t xml:space="preserve"> </w:t>
      </w:r>
      <w:r>
        <w:t xml:space="preserve">— Sundar Pichai, April 2026</w:t>
      </w:r>
    </w:p>
    <w:bookmarkEnd w:id="51"/>
    <w:bookmarkStart w:id="52" w:name="stripe-x402-protocol-for-agent-payments"/>
    <w:p>
      <w:pPr>
        <w:pStyle w:val="Heading3"/>
      </w:pPr>
      <w:r>
        <w:t xml:space="preserve">3.4 Stripe — x402 Protocol for Agent Payments</w:t>
      </w:r>
    </w:p>
    <w:p>
      <w:pPr>
        <w:pStyle w:val="FirstParagraph"/>
      </w:pPr>
      <w:r>
        <w:rPr>
          <w:bCs/>
          <w:b/>
        </w:rPr>
        <w:t xml:space="preserve">The Pivot:</w:t>
      </w:r>
      <w:r>
        <w:t xml:space="preserve"> </w:t>
      </w:r>
      <w:r>
        <w:t xml:space="preserve">From human-to-business payments to machine-to-machine payments</w:t>
      </w:r>
    </w:p>
    <w:p>
      <w:pPr>
        <w:pStyle w:val="BodyText"/>
      </w:pPr>
      <w:r>
        <w:rPr>
          <w:bCs/>
          <w:b/>
        </w:rPr>
        <w:t xml:space="preserve">What x402 does:</w:t>
      </w:r>
      <w:r>
        <w:t xml:space="preserve"> </w:t>
      </w:r>
      <w:r>
        <w:t xml:space="preserve">- Uses HTTP 402</w:t>
      </w:r>
      <w:r>
        <w:t xml:space="preserve"> </w:t>
      </w:r>
      <w:r>
        <w:t xml:space="preserve">“</w:t>
      </w:r>
      <w:r>
        <w:t xml:space="preserve">Payment Required</w:t>
      </w:r>
      <w:r>
        <w:t xml:space="preserve">”</w:t>
      </w:r>
      <w:r>
        <w:t xml:space="preserve"> </w:t>
      </w:r>
      <w:r>
        <w:t xml:space="preserve">status code</w:t>
      </w:r>
      <w:r>
        <w:t xml:space="preserve"> </w:t>
      </w:r>
      <w:r>
        <w:t xml:space="preserve">- Enables AI agents to autonomously pay for API calls, compute, data</w:t>
      </w:r>
      <w:r>
        <w:t xml:space="preserve"> </w:t>
      </w:r>
      <w:r>
        <w:t xml:space="preserve">- Transactions as low as $0.01 USDC</w:t>
      </w:r>
      <w:r>
        <w:t xml:space="preserve"> </w:t>
      </w:r>
      <w:r>
        <w:t xml:space="preserve">- No account registration required</w:t>
      </w:r>
      <w:r>
        <w:t xml:space="preserve"> </w:t>
      </w:r>
      <w:r>
        <w:t xml:space="preserve">- Payments land directly in Stripe balance, settle in fiat</w:t>
      </w:r>
    </w:p>
    <w:p>
      <w:pPr>
        <w:pStyle w:val="BodyText"/>
      </w:pPr>
      <w:r>
        <w:rPr>
          <w:bCs/>
          <w:b/>
        </w:rPr>
        <w:t xml:space="preserve">The Ecosystem:</w:t>
      </w:r>
      <w:r>
        <w:t xml:space="preserve"> </w:t>
      </w:r>
      <w:r>
        <w:t xml:space="preserve">- Stripe: Fiat on/off ramps, compliance, reporting</w:t>
      </w:r>
      <w:r>
        <w:t xml:space="preserve"> </w:t>
      </w:r>
      <w:r>
        <w:t xml:space="preserve">- Coinbase: x402 protocol infrastructure</w:t>
      </w:r>
      <w:r>
        <w:t xml:space="preserve"> </w:t>
      </w:r>
      <w:r>
        <w:t xml:space="preserve">- Vercel: x402-next middleware for API paywalls</w:t>
      </w:r>
      <w:r>
        <w:t xml:space="preserve"> </w:t>
      </w:r>
      <w:r>
        <w:t xml:space="preserve">- Circle Labs: USDC settlement</w:t>
      </w:r>
      <w:r>
        <w:t xml:space="preserve"> </w:t>
      </w:r>
      <w:r>
        <w:t xml:space="preserve">- Solana: High-throughput micropayments</w:t>
      </w:r>
      <w:r>
        <w:t xml:space="preserve"> </w:t>
      </w:r>
      <w:r>
        <w:t xml:space="preserve">- Lightning Network: Instant microtransactions</w:t>
      </w:r>
    </w:p>
    <w:p>
      <w:pPr>
        <w:pStyle w:val="BodyText"/>
      </w:pPr>
      <w:r>
        <w:rPr>
          <w:bCs/>
          <w:b/>
        </w:rPr>
        <w:t xml:space="preserve">The Significance:</w:t>
      </w:r>
      <w:r>
        <w:t xml:space="preserve"> </w:t>
      </w:r>
      <w:r>
        <w:t xml:space="preserve">x402 is the payment layer for the agent economy. If agents can’t pay, the agent economy can’t function. Stripe is positioning itself as the financial infrastructure for AaaS.</w:t>
      </w:r>
    </w:p>
    <w:bookmarkEnd w:id="52"/>
    <w:bookmarkStart w:id="53" w:name="vercel-eve-agent-framework"/>
    <w:p>
      <w:pPr>
        <w:pStyle w:val="Heading3"/>
      </w:pPr>
      <w:r>
        <w:t xml:space="preserve">3.5 Vercel — EVE (Agent Framework)</w:t>
      </w:r>
    </w:p>
    <w:p>
      <w:pPr>
        <w:pStyle w:val="FirstParagraph"/>
      </w:pPr>
      <w:r>
        <w:rPr>
          <w:bCs/>
          <w:b/>
        </w:rPr>
        <w:t xml:space="preserve">The Pivot:</w:t>
      </w:r>
      <w:r>
        <w:t xml:space="preserve"> </w:t>
      </w:r>
      <w:r>
        <w:t xml:space="preserve">From web deployment platform to</w:t>
      </w:r>
      <w:r>
        <w:t xml:space="preserve"> </w:t>
      </w:r>
      <w:r>
        <w:t xml:space="preserve">“</w:t>
      </w:r>
      <w:r>
        <w:t xml:space="preserve">Next.js for Agents</w:t>
      </w:r>
      <w:r>
        <w:t xml:space="preserve">”</w:t>
      </w:r>
    </w:p>
    <w:p>
      <w:pPr>
        <w:pStyle w:val="BodyText"/>
      </w:pPr>
      <w:r>
        <w:rPr>
          <w:bCs/>
          <w:b/>
        </w:rPr>
        <w:t xml:space="preserve">EVE (launched June 2026):</w:t>
      </w:r>
      <w:r>
        <w:t xml:space="preserve"> </w:t>
      </w:r>
      <w:r>
        <w:t xml:space="preserve">- Open-source framework (Apache 2.0) treating each agent as a directory</w:t>
      </w:r>
      <w:r>
        <w:t xml:space="preserve"> </w:t>
      </w:r>
      <w:r>
        <w:t xml:space="preserve">- Described as</w:t>
      </w:r>
      <w:r>
        <w:t xml:space="preserve"> </w:t>
      </w:r>
      <w:r>
        <w:rPr>
          <w:bCs/>
          <w:b/>
        </w:rPr>
        <w:t xml:space="preserve">“</w:t>
      </w:r>
      <w:r>
        <w:rPr>
          <w:bCs/>
          <w:b/>
        </w:rPr>
        <w:t xml:space="preserve">Next.js for agents</w:t>
      </w:r>
      <w:r>
        <w:rPr>
          <w:bCs/>
          <w:b/>
        </w:rPr>
        <w:t xml:space="preserve">”</w:t>
      </w:r>
      <w:r>
        <w:t xml:space="preserve"> </w:t>
      </w:r>
      <w:r>
        <w:t xml:space="preserve">- Agents trigger</w:t>
      </w:r>
      <w:r>
        <w:t xml:space="preserve"> </w:t>
      </w:r>
      <w:r>
        <w:rPr>
          <w:bCs/>
          <w:b/>
        </w:rPr>
        <w:t xml:space="preserve">29% of deployments</w:t>
      </w:r>
      <w:r>
        <w:t xml:space="preserve"> </w:t>
      </w:r>
      <w:r>
        <w:t xml:space="preserve">on Vercel (up from &lt;3% a year ago)</w:t>
      </w:r>
      <w:r>
        <w:t xml:space="preserve"> </w:t>
      </w:r>
      <w:r>
        <w:t xml:space="preserve">- Expected to reach</w:t>
      </w:r>
      <w:r>
        <w:t xml:space="preserve"> </w:t>
      </w:r>
      <w:r>
        <w:rPr>
          <w:bCs/>
          <w:b/>
        </w:rPr>
        <w:t xml:space="preserve">50%</w:t>
      </w:r>
      <w:r>
        <w:t xml:space="preserve"> </w:t>
      </w:r>
      <w:r>
        <w:t xml:space="preserve">of deployments</w:t>
      </w:r>
      <w:r>
        <w:t xml:space="preserve"> </w:t>
      </w:r>
      <w:r>
        <w:t xml:space="preserve">- Vercel runs</w:t>
      </w:r>
      <w:r>
        <w:t xml:space="preserve"> </w:t>
      </w:r>
      <w:r>
        <w:rPr>
          <w:bCs/>
          <w:b/>
        </w:rPr>
        <w:t xml:space="preserve">100+ agents internally</w:t>
      </w:r>
      <w:r>
        <w:t xml:space="preserve"> </w:t>
      </w:r>
      <w:r>
        <w:t xml:space="preserve">on eve</w:t>
      </w:r>
    </w:p>
    <w:p>
      <w:pPr>
        <w:pStyle w:val="BodyText"/>
      </w:pPr>
      <w:r>
        <w:rPr>
          <w:bCs/>
          <w:b/>
        </w:rPr>
        <w:t xml:space="preserve">Components:</w:t>
      </w:r>
      <w:r>
        <w:t xml:space="preserve"> </w:t>
      </w:r>
      <w:r>
        <w:t xml:space="preserve">- AI Gateway for model provider fallbacks</w:t>
      </w:r>
      <w:r>
        <w:t xml:space="preserve"> </w:t>
      </w:r>
      <w:r>
        <w:t xml:space="preserve">- Markdown-based system prompts</w:t>
      </w:r>
      <w:r>
        <w:t xml:space="preserve"> </w:t>
      </w:r>
      <w:r>
        <w:t xml:space="preserve">- TypeScript tool files (filename becomes tool name)</w:t>
      </w:r>
      <w:r>
        <w:t xml:space="preserve"> </w:t>
      </w:r>
      <w:r>
        <w:t xml:space="preserve">- MCP servers for external tool connections</w:t>
      </w:r>
      <w:r>
        <w:t xml:space="preserve"> </w:t>
      </w:r>
      <w:r>
        <w:t xml:space="preserve">- Durable workflow execution (survives crashes)</w:t>
      </w:r>
      <w:r>
        <w:t xml:space="preserve"> </w:t>
      </w:r>
      <w:r>
        <w:t xml:space="preserve">- Sandboxed code execution for security</w:t>
      </w:r>
      <w:r>
        <w:t xml:space="preserve"> </w:t>
      </w:r>
      <w:r>
        <w:t xml:space="preserve">- Human approval gates for sensitive actions</w:t>
      </w:r>
      <w:r>
        <w:t xml:space="preserve"> </w:t>
      </w:r>
      <w:r>
        <w:t xml:space="preserve">- OpenTelemetry tracing for observability</w:t>
      </w:r>
    </w:p>
    <w:p>
      <w:pPr>
        <w:pStyle w:val="BodyText"/>
      </w:pPr>
      <w:r>
        <w:rPr>
          <w:bCs/>
          <w:b/>
        </w:rPr>
        <w:t xml:space="preserve">The Bigger Picture —</w:t>
      </w:r>
      <w:r>
        <w:rPr>
          <w:bCs/>
          <w:b/>
        </w:rPr>
        <w:t xml:space="preserve"> </w:t>
      </w:r>
      <w:r>
        <w:rPr>
          <w:bCs/>
          <w:b/>
        </w:rPr>
        <w:t xml:space="preserve">“</w:t>
      </w:r>
      <w:r>
        <w:rPr>
          <w:bCs/>
          <w:b/>
        </w:rPr>
        <w:t xml:space="preserve">Agent Stack</w:t>
      </w:r>
      <w:r>
        <w:rPr>
          <w:bCs/>
          <w:b/>
        </w:rPr>
        <w:t xml:space="preserve">”</w:t>
      </w:r>
      <w:r>
        <w:rPr>
          <w:bCs/>
          <w:b/>
        </w:rPr>
        <w:t xml:space="preserve">:</w:t>
      </w:r>
      <w:r>
        <w:t xml:space="preserve"> </w:t>
      </w:r>
      <w:r>
        <w:t xml:space="preserve">Vercel is building the deployment infrastructure for AaaS — the equivalent of what AWS was for SaaS.</w:t>
      </w:r>
    </w:p>
    <w:bookmarkEnd w:id="53"/>
    <w:bookmarkStart w:id="54" w:name="klarna-the-cautionary-tale"/>
    <w:p>
      <w:pPr>
        <w:pStyle w:val="Heading3"/>
      </w:pPr>
      <w:r>
        <w:t xml:space="preserve">3.6 Klarna — The Cautionary Tale</w:t>
      </w:r>
    </w:p>
    <w:p>
      <w:pPr>
        <w:pStyle w:val="FirstParagraph"/>
      </w:pPr>
      <w:r>
        <w:rPr>
          <w:bCs/>
          <w:b/>
        </w:rPr>
        <w:t xml:space="preserve">The Pivot:</w:t>
      </w:r>
      <w:r>
        <w:t xml:space="preserve"> </w:t>
      </w:r>
      <w:r>
        <w:t xml:space="preserve">From human customer service to AI-first, then back to hybrid</w:t>
      </w:r>
    </w:p>
    <w:tbl>
      <w:tblPr>
        <w:tblStyle w:val="Table"/>
        <w:tblW w:type="pct" w:w="5000"/>
        <w:tblLook w:firstRow="1" w:lastRow="0" w:firstColumn="0" w:lastColumn="0" w:noHBand="0" w:noVBand="0" w:val="0020"/>
      </w:tblPr>
      <w:tblGrid>
        <w:gridCol w:w="1152"/>
        <w:gridCol w:w="1584"/>
        <w:gridCol w:w="2304"/>
        <w:gridCol w:w="2880"/>
      </w:tblGrid>
      <w:tr>
        <w:trPr>
          <w:tblHeader w:val="true"/>
        </w:trPr>
        <w:tc>
          <w:tcPr/>
          <w:p>
            <w:pPr>
              <w:pStyle w:val="Compact"/>
              <w:jc w:val="left"/>
            </w:pPr>
            <w:r>
              <w:t xml:space="preserve">Metric</w:t>
            </w:r>
          </w:p>
        </w:tc>
        <w:tc>
          <w:tcPr/>
          <w:p>
            <w:pPr>
              <w:pStyle w:val="Compact"/>
              <w:jc w:val="left"/>
            </w:pPr>
            <w:r>
              <w:t xml:space="preserve">Before AI</w:t>
            </w:r>
          </w:p>
        </w:tc>
        <w:tc>
          <w:tcPr/>
          <w:p>
            <w:pPr>
              <w:pStyle w:val="Compact"/>
              <w:jc w:val="left"/>
            </w:pPr>
            <w:r>
              <w:t xml:space="preserve">After AI (2024)</w:t>
            </w:r>
          </w:p>
        </w:tc>
        <w:tc>
          <w:tcPr/>
          <w:p>
            <w:pPr>
              <w:pStyle w:val="Compact"/>
              <w:jc w:val="left"/>
            </w:pPr>
            <w:r>
              <w:t xml:space="preserve">Hybrid (2025-2026)</w:t>
            </w:r>
          </w:p>
        </w:tc>
      </w:tr>
      <w:tr>
        <w:tc>
          <w:tcPr/>
          <w:p>
            <w:pPr>
              <w:pStyle w:val="Compact"/>
              <w:jc w:val="left"/>
            </w:pPr>
            <w:r>
              <w:t xml:space="preserve">Chats handled by AI</w:t>
            </w:r>
          </w:p>
        </w:tc>
        <w:tc>
          <w:tcPr/>
          <w:p>
            <w:pPr>
              <w:pStyle w:val="Compact"/>
              <w:jc w:val="left"/>
            </w:pPr>
            <w:r>
              <w:t xml:space="preserve">0%</w:t>
            </w:r>
          </w:p>
        </w:tc>
        <w:tc>
          <w:tcPr/>
          <w:p>
            <w:pPr>
              <w:pStyle w:val="Compact"/>
              <w:jc w:val="left"/>
            </w:pPr>
            <w:r>
              <w:t xml:space="preserve">67%</w:t>
            </w:r>
          </w:p>
        </w:tc>
        <w:tc>
          <w:tcPr/>
          <w:p>
            <w:pPr>
              <w:pStyle w:val="Compact"/>
              <w:jc w:val="left"/>
            </w:pPr>
            <w:r>
              <w:t xml:space="preserve">~67% (with human escalation)</w:t>
            </w:r>
          </w:p>
        </w:tc>
      </w:tr>
      <w:tr>
        <w:tc>
          <w:tcPr/>
          <w:p>
            <w:pPr>
              <w:pStyle w:val="Compact"/>
              <w:jc w:val="left"/>
            </w:pPr>
            <w:r>
              <w:t xml:space="preserve">Avg resolution time</w:t>
            </w:r>
          </w:p>
        </w:tc>
        <w:tc>
          <w:tcPr/>
          <w:p>
            <w:pPr>
              <w:pStyle w:val="Compact"/>
              <w:jc w:val="left"/>
            </w:pPr>
            <w:r>
              <w:t xml:space="preserve">11 minutes</w:t>
            </w:r>
          </w:p>
        </w:tc>
        <w:tc>
          <w:tcPr/>
          <w:p>
            <w:pPr>
              <w:pStyle w:val="Compact"/>
              <w:jc w:val="left"/>
            </w:pPr>
            <w:r>
              <w:t xml:space="preserve">&lt;2 minutes</w:t>
            </w:r>
          </w:p>
        </w:tc>
        <w:tc>
          <w:tcPr/>
          <w:p>
            <w:pPr>
              <w:pStyle w:val="Compact"/>
              <w:jc w:val="left"/>
            </w:pPr>
            <w:r>
              <w:t xml:space="preserve">&lt;2 minutes</w:t>
            </w:r>
          </w:p>
        </w:tc>
      </w:tr>
      <w:tr>
        <w:tc>
          <w:tcPr/>
          <w:p>
            <w:pPr>
              <w:pStyle w:val="Compact"/>
              <w:jc w:val="left"/>
            </w:pPr>
            <w:r>
              <w:t xml:space="preserve">Estimated savings</w:t>
            </w:r>
          </w:p>
        </w:tc>
        <w:tc>
          <w:tcPr/>
          <w:p>
            <w:pPr>
              <w:pStyle w:val="Compact"/>
              <w:jc w:val="left"/>
            </w:pPr>
            <w:r>
              <w:t xml:space="preserve">—</w:t>
            </w:r>
          </w:p>
        </w:tc>
        <w:tc>
          <w:tcPr/>
          <w:p>
            <w:pPr>
              <w:pStyle w:val="Compact"/>
              <w:jc w:val="left"/>
            </w:pPr>
            <w:r>
              <w:t xml:space="preserve">$40M/year</w:t>
            </w:r>
          </w:p>
        </w:tc>
        <w:tc>
          <w:tcPr/>
          <w:p>
            <w:pPr>
              <w:pStyle w:val="Compact"/>
              <w:jc w:val="left"/>
            </w:pPr>
            <w:r>
              <w:t xml:space="preserve">~$60M/year</w:t>
            </w:r>
          </w:p>
        </w:tc>
      </w:tr>
      <w:tr>
        <w:tc>
          <w:tcPr/>
          <w:p>
            <w:pPr>
              <w:pStyle w:val="Compact"/>
              <w:jc w:val="left"/>
            </w:pPr>
            <w:r>
              <w:t xml:space="preserve">Human agents</w:t>
            </w:r>
          </w:p>
        </w:tc>
        <w:tc>
          <w:tcPr/>
          <w:p>
            <w:pPr>
              <w:pStyle w:val="Compact"/>
              <w:jc w:val="left"/>
            </w:pPr>
            <w:r>
              <w:t xml:space="preserve">~3,000 outsourced</w:t>
            </w:r>
          </w:p>
        </w:tc>
        <w:tc>
          <w:tcPr/>
          <w:p>
            <w:pPr>
              <w:pStyle w:val="Compact"/>
              <w:jc w:val="left"/>
            </w:pPr>
            <w:r>
              <w:t xml:space="preserve">Avoided hiring 700</w:t>
            </w:r>
          </w:p>
        </w:tc>
        <w:tc>
          <w:tcPr/>
          <w:p>
            <w:pPr>
              <w:pStyle w:val="Compact"/>
              <w:jc w:val="left"/>
            </w:pPr>
            <w:r>
              <w:t xml:space="preserve">Rehiring humans for complex cases</w:t>
            </w:r>
          </w:p>
        </w:tc>
      </w:tr>
    </w:tbl>
    <w:p>
      <w:pPr>
        <w:pStyle w:val="BodyText"/>
      </w:pPr>
      <w:r>
        <w:rPr>
          <w:bCs/>
          <w:b/>
        </w:rPr>
        <w:t xml:space="preserve">What went wrong (May 2025):</w:t>
      </w:r>
      <w:r>
        <w:t xml:space="preserve"> </w:t>
      </w:r>
      <w:r>
        <w:t xml:space="preserve">- Complex cases degraded CSAT</w:t>
      </w:r>
      <w:r>
        <w:t xml:space="preserve"> </w:t>
      </w:r>
      <w:r>
        <w:t xml:space="preserve">- Hallucinations on edge cases (compliance risk in fintech)</w:t>
      </w:r>
      <w:r>
        <w:t xml:space="preserve"> </w:t>
      </w:r>
      <w:r>
        <w:t xml:space="preserve">-</w:t>
      </w:r>
      <w:r>
        <w:t xml:space="preserve"> </w:t>
      </w:r>
      <w:r>
        <w:t xml:space="preserve">“</w:t>
      </w:r>
      <w:r>
        <w:t xml:space="preserve">We replaced 700 agents</w:t>
      </w:r>
      <w:r>
        <w:t xml:space="preserve">”</w:t>
      </w:r>
      <w:r>
        <w:t xml:space="preserve"> </w:t>
      </w:r>
      <w:r>
        <w:t xml:space="preserve">framing was misleading (they avoided hiring, didn’t fire)</w:t>
      </w:r>
      <w:r>
        <w:t xml:space="preserve"> </w:t>
      </w:r>
      <w:r>
        <w:t xml:space="preserve">- Customers wanted humans for sensitive financial matters</w:t>
      </w:r>
    </w:p>
    <w:p>
      <w:pPr>
        <w:pStyle w:val="BodyText"/>
      </w:pPr>
      <w:r>
        <w:rPr>
          <w:bCs/>
          <w:b/>
        </w:rPr>
        <w:t xml:space="preserve">The lesson:</w:t>
      </w:r>
      <w:r>
        <w:t xml:space="preserve"> </w:t>
      </w:r>
      <w:r>
        <w:t xml:space="preserve">AI agents work for routine work, but full replacement is premature in regulated, high-trust contexts. The hybrid model — AI handles volume, humans handle complexity — is the practical near-term outcome.</w:t>
      </w:r>
    </w:p>
    <w:bookmarkEnd w:id="54"/>
    <w:bookmarkStart w:id="55" w:name="summary-whos-actually-making-money"/>
    <w:p>
      <w:pPr>
        <w:pStyle w:val="Heading3"/>
      </w:pPr>
      <w:r>
        <w:t xml:space="preserve">3.7 Summary: Who’s Actually Making Money</w:t>
      </w:r>
    </w:p>
    <w:tbl>
      <w:tblPr>
        <w:tblStyle w:val="Table"/>
        <w:tblW w:type="pct" w:w="5000"/>
        <w:tblLook w:firstRow="1" w:lastRow="0" w:firstColumn="0" w:lastColumn="0" w:noHBand="0" w:noVBand="0" w:val="0020"/>
      </w:tblPr>
      <w:tblGrid>
        <w:gridCol w:w="1980"/>
        <w:gridCol w:w="4180"/>
        <w:gridCol w:w="1760"/>
      </w:tblGrid>
      <w:tr>
        <w:trPr>
          <w:tblHeader w:val="true"/>
        </w:trPr>
        <w:tc>
          <w:tcPr/>
          <w:p>
            <w:pPr>
              <w:pStyle w:val="Compact"/>
              <w:jc w:val="left"/>
            </w:pPr>
            <w:r>
              <w:t xml:space="preserve">Company</w:t>
            </w:r>
          </w:p>
        </w:tc>
        <w:tc>
          <w:tcPr/>
          <w:p>
            <w:pPr>
              <w:pStyle w:val="Compact"/>
              <w:jc w:val="left"/>
            </w:pPr>
            <w:r>
              <w:t xml:space="preserve">AI Revenue Metric</w:t>
            </w:r>
          </w:p>
        </w:tc>
        <w:tc>
          <w:tcPr/>
          <w:p>
            <w:pPr>
              <w:pStyle w:val="Compact"/>
              <w:jc w:val="left"/>
            </w:pPr>
            <w:r>
              <w:t xml:space="preserve">Status</w:t>
            </w:r>
          </w:p>
        </w:tc>
      </w:tr>
      <w:tr>
        <w:tc>
          <w:tcPr/>
          <w:p>
            <w:pPr>
              <w:pStyle w:val="Compact"/>
              <w:jc w:val="left"/>
            </w:pPr>
            <w:r>
              <w:rPr>
                <w:bCs/>
                <w:b/>
              </w:rPr>
              <w:t xml:space="preserve">Salesforce Agentforce</w:t>
            </w:r>
          </w:p>
        </w:tc>
        <w:tc>
          <w:tcPr/>
          <w:p>
            <w:pPr>
              <w:pStyle w:val="Compact"/>
              <w:jc w:val="left"/>
            </w:pPr>
            <w:r>
              <w:t xml:space="preserve">$800M ARR (Feb 2026), up 169%</w:t>
            </w:r>
          </w:p>
        </w:tc>
        <w:tc>
          <w:tcPr/>
          <w:p>
            <w:pPr>
              <w:pStyle w:val="Compact"/>
              <w:jc w:val="left"/>
            </w:pPr>
            <w:r>
              <w:t xml:space="preserve">✅ Real, growing fast</w:t>
            </w:r>
          </w:p>
        </w:tc>
      </w:tr>
      <w:tr>
        <w:tc>
          <w:tcPr/>
          <w:p>
            <w:pPr>
              <w:pStyle w:val="Compact"/>
              <w:jc w:val="left"/>
            </w:pPr>
            <w:r>
              <w:rPr>
                <w:bCs/>
                <w:b/>
              </w:rPr>
              <w:t xml:space="preserve">Microsoft GitHub Copilot</w:t>
            </w:r>
          </w:p>
        </w:tc>
        <w:tc>
          <w:tcPr/>
          <w:p>
            <w:pPr>
              <w:pStyle w:val="Compact"/>
              <w:jc w:val="left"/>
            </w:pPr>
            <w:r>
              <w:t xml:space="preserve">~$1B ARR estimated, 4.7M paid subs</w:t>
            </w:r>
          </w:p>
        </w:tc>
        <w:tc>
          <w:tcPr/>
          <w:p>
            <w:pPr>
              <w:pStyle w:val="Compact"/>
              <w:jc w:val="left"/>
            </w:pPr>
            <w:r>
              <w:t xml:space="preserve">✅ Real, market leader</w:t>
            </w:r>
          </w:p>
        </w:tc>
      </w:tr>
      <w:tr>
        <w:tc>
          <w:tcPr/>
          <w:p>
            <w:pPr>
              <w:pStyle w:val="Compact"/>
              <w:jc w:val="left"/>
            </w:pPr>
            <w:r>
              <w:rPr>
                <w:bCs/>
                <w:b/>
              </w:rPr>
              <w:t xml:space="preserve">Microsoft M365 Copilot</w:t>
            </w:r>
          </w:p>
        </w:tc>
        <w:tc>
          <w:tcPr/>
          <w:p>
            <w:pPr>
              <w:pStyle w:val="Compact"/>
              <w:jc w:val="left"/>
            </w:pPr>
            <w:r>
              <w:t xml:space="preserve">15M seats, undisclosed revenue</w:t>
            </w:r>
          </w:p>
        </w:tc>
        <w:tc>
          <w:tcPr/>
          <w:p>
            <w:pPr>
              <w:pStyle w:val="Compact"/>
              <w:jc w:val="left"/>
            </w:pPr>
            <w:r>
              <w:t xml:space="preserve">⚠️ Growing but competitive pressure</w:t>
            </w:r>
          </w:p>
        </w:tc>
      </w:tr>
      <w:tr>
        <w:tc>
          <w:tcPr/>
          <w:p>
            <w:pPr>
              <w:pStyle w:val="Compact"/>
              <w:jc w:val="left"/>
            </w:pPr>
            <w:r>
              <w:rPr>
                <w:bCs/>
                <w:b/>
              </w:rPr>
              <w:t xml:space="preserve">Google Gemini Enterprise</w:t>
            </w:r>
          </w:p>
        </w:tc>
        <w:tc>
          <w:tcPr/>
          <w:p>
            <w:pPr>
              <w:pStyle w:val="Compact"/>
              <w:jc w:val="left"/>
            </w:pPr>
            <w:r>
              <w:t xml:space="preserve">8M seats, undisclosed revenue</w:t>
            </w:r>
          </w:p>
        </w:tc>
        <w:tc>
          <w:tcPr/>
          <w:p>
            <w:pPr>
              <w:pStyle w:val="Compact"/>
              <w:jc w:val="left"/>
            </w:pPr>
            <w:r>
              <w:t xml:space="preserve">⚠️ Strong adoption, monetizing</w:t>
            </w:r>
          </w:p>
        </w:tc>
      </w:tr>
      <w:tr>
        <w:tc>
          <w:tcPr/>
          <w:p>
            <w:pPr>
              <w:pStyle w:val="Compact"/>
              <w:jc w:val="left"/>
            </w:pPr>
            <w:r>
              <w:rPr>
                <w:bCs/>
                <w:b/>
              </w:rPr>
              <w:t xml:space="preserve">Stripe x402</w:t>
            </w:r>
          </w:p>
        </w:tc>
        <w:tc>
          <w:tcPr/>
          <w:p>
            <w:pPr>
              <w:pStyle w:val="Compact"/>
              <w:jc w:val="left"/>
            </w:pPr>
            <w:r>
              <w:t xml:space="preserve">Infrastructure play, early</w:t>
            </w:r>
          </w:p>
        </w:tc>
        <w:tc>
          <w:tcPr/>
          <w:p>
            <w:pPr>
              <w:pStyle w:val="Compact"/>
              <w:jc w:val="left"/>
            </w:pPr>
            <w:r>
              <w:t xml:space="preserve">🔮 Positioning for future</w:t>
            </w:r>
          </w:p>
        </w:tc>
      </w:tr>
      <w:tr>
        <w:tc>
          <w:tcPr/>
          <w:p>
            <w:pPr>
              <w:pStyle w:val="Compact"/>
              <w:jc w:val="left"/>
            </w:pPr>
            <w:r>
              <w:rPr>
                <w:bCs/>
                <w:b/>
              </w:rPr>
              <w:t xml:space="preserve">Vercel EVE</w:t>
            </w:r>
          </w:p>
        </w:tc>
        <w:tc>
          <w:tcPr/>
          <w:p>
            <w:pPr>
              <w:pStyle w:val="Compact"/>
              <w:jc w:val="left"/>
            </w:pPr>
            <w:r>
              <w:t xml:space="preserve">Platform play, agents = 29% of deployments</w:t>
            </w:r>
          </w:p>
        </w:tc>
        <w:tc>
          <w:tcPr/>
          <w:p>
            <w:pPr>
              <w:pStyle w:val="Compact"/>
              <w:jc w:val="left"/>
            </w:pPr>
            <w:r>
              <w:t xml:space="preserve">🔮 Positioning for future</w:t>
            </w:r>
          </w:p>
        </w:tc>
      </w:tr>
      <w:tr>
        <w:tc>
          <w:tcPr/>
          <w:p>
            <w:pPr>
              <w:pStyle w:val="Compact"/>
              <w:jc w:val="left"/>
            </w:pPr>
            <w:r>
              <w:rPr>
                <w:bCs/>
                <w:b/>
              </w:rPr>
              <w:t xml:space="preserve">Klarna AI</w:t>
            </w:r>
          </w:p>
        </w:tc>
        <w:tc>
          <w:tcPr/>
          <w:p>
            <w:pPr>
              <w:pStyle w:val="Compact"/>
              <w:jc w:val="left"/>
            </w:pPr>
            <w:r>
              <w:t xml:space="preserve">$60M annual savings</w:t>
            </w:r>
          </w:p>
        </w:tc>
        <w:tc>
          <w:tcPr/>
          <w:p>
            <w:pPr>
              <w:pStyle w:val="Compact"/>
              <w:jc w:val="left"/>
            </w:pPr>
            <w:r>
              <w:t xml:space="preserve">✅ Cost savings real, but hybrid model</w:t>
            </w:r>
          </w:p>
        </w:tc>
      </w:tr>
    </w:tbl>
    <w:p>
      <w:r>
        <w:pict>
          <v:rect style="width:0;height:1.5pt" o:hralign="center" o:hrstd="t" o:hr="t"/>
        </w:pict>
      </w:r>
    </w:p>
    <w:bookmarkEnd w:id="55"/>
    <w:bookmarkEnd w:id="56"/>
    <w:bookmarkStart w:id="61" w:name="the-timeline"/>
    <w:p>
      <w:pPr>
        <w:pStyle w:val="Heading2"/>
      </w:pPr>
      <w:r>
        <w:t xml:space="preserve">4. THE TIMELINE</w:t>
      </w:r>
    </w:p>
    <w:bookmarkStart w:id="57" w:name="X7fd7a031deb6786b6e65472e626bcee63cfeedd"/>
    <w:p>
      <w:pPr>
        <w:pStyle w:val="Heading3"/>
      </w:pPr>
      <w:r>
        <w:t xml:space="preserve">4.1 When Do Analysts Predict the Tipping Point?</w:t>
      </w:r>
    </w:p>
    <w:p>
      <w:pPr>
        <w:pStyle w:val="FirstParagraph"/>
      </w:pPr>
      <w:r>
        <w:rPr>
          <w:bCs/>
          <w:b/>
        </w:rPr>
        <w:t xml:space="preserve">The consensus: 2025-2026 is the inflection point.</w:t>
      </w:r>
    </w:p>
    <w:tbl>
      <w:tblPr>
        <w:tblStyle w:val="Table"/>
        <w:tblW w:type="pct" w:w="5000"/>
        <w:tblLook w:firstRow="1" w:lastRow="0" w:firstColumn="0" w:lastColumn="0" w:noHBand="0" w:noVBand="0" w:val="0020"/>
      </w:tblPr>
      <w:tblGrid>
        <w:gridCol w:w="2795"/>
        <w:gridCol w:w="5124"/>
      </w:tblGrid>
      <w:tr>
        <w:trPr>
          <w:tblHeader w:val="true"/>
        </w:trPr>
        <w:tc>
          <w:tcPr/>
          <w:p>
            <w:pPr>
              <w:pStyle w:val="Compact"/>
              <w:jc w:val="left"/>
            </w:pPr>
            <w:r>
              <w:t xml:space="preserve">Year</w:t>
            </w:r>
          </w:p>
        </w:tc>
        <w:tc>
          <w:tcPr/>
          <w:p>
            <w:pPr>
              <w:pStyle w:val="Compact"/>
              <w:jc w:val="left"/>
            </w:pPr>
            <w:r>
              <w:t xml:space="preserve">Milestone</w:t>
            </w:r>
          </w:p>
        </w:tc>
      </w:tr>
      <w:tr>
        <w:tc>
          <w:tcPr/>
          <w:p>
            <w:pPr>
              <w:pStyle w:val="Compact"/>
              <w:jc w:val="left"/>
            </w:pPr>
            <w:r>
              <w:rPr>
                <w:bCs/>
                <w:b/>
              </w:rPr>
              <w:t xml:space="preserve">2024</w:t>
            </w:r>
          </w:p>
        </w:tc>
        <w:tc>
          <w:tcPr/>
          <w:p>
            <w:pPr>
              <w:pStyle w:val="Compact"/>
              <w:jc w:val="left"/>
            </w:pPr>
            <w:r>
              <w:t xml:space="preserve">AI assistants (copilots) in most enterprise apps — precursor phase</w:t>
            </w:r>
          </w:p>
        </w:tc>
      </w:tr>
      <w:tr>
        <w:tc>
          <w:tcPr/>
          <w:p>
            <w:pPr>
              <w:pStyle w:val="Compact"/>
              <w:jc w:val="left"/>
            </w:pPr>
            <w:r>
              <w:rPr>
                <w:bCs/>
                <w:b/>
              </w:rPr>
              <w:t xml:space="preserve">2025</w:t>
            </w:r>
          </w:p>
        </w:tc>
        <w:tc>
          <w:tcPr/>
          <w:p>
            <w:pPr>
              <w:pStyle w:val="Compact"/>
              <w:jc w:val="left"/>
            </w:pPr>
            <w:r>
              <w:t xml:space="preserve">40% of enterprise apps feature task-specific agents (Gartner); 62% of organizations experimenting with agents (McKinsey)</w:t>
            </w:r>
          </w:p>
        </w:tc>
      </w:tr>
      <w:tr>
        <w:tc>
          <w:tcPr/>
          <w:p>
            <w:pPr>
              <w:pStyle w:val="Compact"/>
              <w:jc w:val="left"/>
            </w:pPr>
            <w:r>
              <w:rPr>
                <w:bCs/>
                <w:b/>
              </w:rPr>
              <w:t xml:space="preserve">2026</w:t>
            </w:r>
          </w:p>
        </w:tc>
        <w:tc>
          <w:tcPr/>
          <w:p>
            <w:pPr>
              <w:pStyle w:val="Compact"/>
              <w:jc w:val="left"/>
            </w:pPr>
            <w:r>
              <w:t xml:space="preserve">“</w:t>
            </w:r>
            <w:r>
              <w:t xml:space="preserve">The Year of Agentic AI</w:t>
            </w:r>
            <w:r>
              <w:t xml:space="preserve">”</w:t>
            </w:r>
            <w:r>
              <w:t xml:space="preserve"> </w:t>
            </w:r>
            <w:r>
              <w:t xml:space="preserve">— April 2026 marked the enterprise tipping point with launches from Google, Microsoft, Snowflake, OpenAI, Infosys</w:t>
            </w:r>
          </w:p>
        </w:tc>
      </w:tr>
      <w:tr>
        <w:tc>
          <w:tcPr/>
          <w:p>
            <w:pPr>
              <w:pStyle w:val="Compact"/>
              <w:jc w:val="left"/>
            </w:pPr>
            <w:r>
              <w:rPr>
                <w:bCs/>
                <w:b/>
              </w:rPr>
              <w:t xml:space="preserve">2027</w:t>
            </w:r>
          </w:p>
        </w:tc>
        <w:tc>
          <w:tcPr/>
          <w:p>
            <w:pPr>
              <w:pStyle w:val="Compact"/>
              <w:jc w:val="left"/>
            </w:pPr>
            <w:r>
              <w:t xml:space="preserve">1/3 of agentic AI implementations combine multi-skill agents; 50% of companies that planned to cut service workforce due to AI will abandon those plans (Gartner)</w:t>
            </w:r>
          </w:p>
        </w:tc>
      </w:tr>
      <w:tr>
        <w:tc>
          <w:tcPr/>
          <w:p>
            <w:pPr>
              <w:pStyle w:val="Compact"/>
              <w:jc w:val="left"/>
            </w:pPr>
            <w:r>
              <w:rPr>
                <w:bCs/>
                <w:b/>
              </w:rPr>
              <w:t xml:space="preserve">2028</w:t>
            </w:r>
          </w:p>
        </w:tc>
        <w:tc>
          <w:tcPr/>
          <w:p>
            <w:pPr>
              <w:pStyle w:val="Compact"/>
              <w:jc w:val="left"/>
            </w:pPr>
            <w:r>
              <w:t xml:space="preserve">1/3 of user experiences shift from native apps to agentic front ends; agent ecosystems enable cross-application collaboration</w:t>
            </w:r>
          </w:p>
        </w:tc>
      </w:tr>
      <w:tr>
        <w:tc>
          <w:tcPr/>
          <w:p>
            <w:pPr>
              <w:pStyle w:val="Compact"/>
              <w:jc w:val="left"/>
            </w:pPr>
            <w:r>
              <w:rPr>
                <w:bCs/>
                <w:b/>
              </w:rPr>
              <w:t xml:space="preserve">2029</w:t>
            </w:r>
          </w:p>
        </w:tc>
        <w:tc>
          <w:tcPr/>
          <w:p>
            <w:pPr>
              <w:pStyle w:val="Compact"/>
              <w:jc w:val="left"/>
            </w:pPr>
            <w:r>
              <w:t xml:space="preserve">50% of knowledge workers develop skills to work with/govern/create AI agents</w:t>
            </w:r>
          </w:p>
        </w:tc>
      </w:tr>
      <w:tr>
        <w:tc>
          <w:tcPr/>
          <w:p>
            <w:pPr>
              <w:pStyle w:val="Compact"/>
              <w:jc w:val="left"/>
            </w:pPr>
            <w:r>
              <w:rPr>
                <w:bCs/>
                <w:b/>
              </w:rPr>
              <w:t xml:space="preserve">2030</w:t>
            </w:r>
          </w:p>
        </w:tc>
        <w:tc>
          <w:tcPr/>
          <w:p>
            <w:pPr>
              <w:pStyle w:val="Compact"/>
              <w:jc w:val="left"/>
            </w:pPr>
            <w:r>
              <w:t xml:space="preserve">35% of point-product SaaS tools replaced by AI agents or absorbed into larger ecosystems (Deloitte/Gartner)</w:t>
            </w:r>
          </w:p>
        </w:tc>
      </w:tr>
      <w:tr>
        <w:tc>
          <w:tcPr/>
          <w:p>
            <w:pPr>
              <w:pStyle w:val="Compact"/>
              <w:jc w:val="left"/>
            </w:pPr>
            <w:r>
              <w:rPr>
                <w:bCs/>
                <w:b/>
              </w:rPr>
              <w:t xml:space="preserve">2035</w:t>
            </w:r>
          </w:p>
        </w:tc>
        <w:tc>
          <w:tcPr/>
          <w:p>
            <w:pPr>
              <w:pStyle w:val="Compact"/>
              <w:jc w:val="left"/>
            </w:pPr>
            <w:r>
              <w:t xml:space="preserve">Agentic AI drives ~30% of enterprise application software revenue (~$450B)</w:t>
            </w:r>
          </w:p>
        </w:tc>
      </w:tr>
    </w:tbl>
    <w:bookmarkEnd w:id="57"/>
    <w:bookmarkStart w:id="58" w:name="which-industries-are-most-at-risk"/>
    <w:p>
      <w:pPr>
        <w:pStyle w:val="Heading3"/>
      </w:pPr>
      <w:r>
        <w:t xml:space="preserve">4.2 Which Industries Are Most at Risk?</w:t>
      </w:r>
    </w:p>
    <w:tbl>
      <w:tblPr>
        <w:tblStyle w:val="Table"/>
        <w:tblW w:type="pct" w:w="5000"/>
        <w:tblLook w:firstRow="1" w:lastRow="0" w:firstColumn="0" w:lastColumn="0" w:noHBand="0" w:noVBand="0" w:val="0020"/>
      </w:tblPr>
      <w:tblGrid>
        <w:gridCol w:w="3394"/>
        <w:gridCol w:w="3111"/>
        <w:gridCol w:w="1414"/>
      </w:tblGrid>
      <w:tr>
        <w:trPr>
          <w:tblHeader w:val="true"/>
        </w:trPr>
        <w:tc>
          <w:tcPr/>
          <w:p>
            <w:pPr>
              <w:pStyle w:val="Compact"/>
              <w:jc w:val="left"/>
            </w:pPr>
            <w:r>
              <w:t xml:space="preserve">Risk Level</w:t>
            </w:r>
          </w:p>
        </w:tc>
        <w:tc>
          <w:tcPr/>
          <w:p>
            <w:pPr>
              <w:pStyle w:val="Compact"/>
              <w:jc w:val="left"/>
            </w:pPr>
            <w:r>
              <w:t xml:space="preserve">Industries</w:t>
            </w:r>
          </w:p>
        </w:tc>
        <w:tc>
          <w:tcPr/>
          <w:p>
            <w:pPr>
              <w:pStyle w:val="Compact"/>
              <w:jc w:val="left"/>
            </w:pPr>
            <w:r>
              <w:t xml:space="preserve">Why</w:t>
            </w:r>
          </w:p>
        </w:tc>
      </w:tr>
      <w:tr>
        <w:tc>
          <w:tcPr/>
          <w:p>
            <w:pPr>
              <w:pStyle w:val="Compact"/>
              <w:jc w:val="left"/>
            </w:pPr>
            <w:r>
              <w:rPr>
                <w:bCs/>
                <w:b/>
              </w:rPr>
              <w:t xml:space="preserve">🔴 Most at risk</w:t>
            </w:r>
          </w:p>
        </w:tc>
        <w:tc>
          <w:tcPr/>
          <w:p>
            <w:pPr>
              <w:pStyle w:val="Compact"/>
              <w:jc w:val="left"/>
            </w:pPr>
            <w:r>
              <w:t xml:space="preserve">Customer service, Sales/CRM, Content creation, Document processing, Data entry</w:t>
            </w:r>
          </w:p>
        </w:tc>
        <w:tc>
          <w:tcPr/>
          <w:p>
            <w:pPr>
              <w:pStyle w:val="Compact"/>
              <w:jc w:val="left"/>
            </w:pPr>
            <w:r>
              <w:t xml:space="preserve">High-volume, rules-based, repetitive — exactly what agents automate first</w:t>
            </w:r>
          </w:p>
        </w:tc>
      </w:tr>
      <w:tr>
        <w:tc>
          <w:tcPr/>
          <w:p>
            <w:pPr>
              <w:pStyle w:val="Compact"/>
              <w:jc w:val="left"/>
            </w:pPr>
            <w:r>
              <w:rPr>
                <w:bCs/>
                <w:b/>
              </w:rPr>
              <w:t xml:space="preserve">🟡 Moderate risk</w:t>
            </w:r>
          </w:p>
        </w:tc>
        <w:tc>
          <w:tcPr/>
          <w:p>
            <w:pPr>
              <w:pStyle w:val="Compact"/>
              <w:jc w:val="left"/>
            </w:pPr>
            <w:r>
              <w:t xml:space="preserve">Marketing, HR/recruiting, Legal research, Financial analysis, IT operations</w:t>
            </w:r>
          </w:p>
        </w:tc>
        <w:tc>
          <w:tcPr/>
          <w:p>
            <w:pPr>
              <w:pStyle w:val="Compact"/>
              <w:jc w:val="left"/>
            </w:pPr>
            <w:r>
              <w:t xml:space="preserve">Requires judgment + domain expertise; agents augment but don’t fully replace</w:t>
            </w:r>
          </w:p>
        </w:tc>
      </w:tr>
      <w:tr>
        <w:tc>
          <w:tcPr/>
          <w:p>
            <w:pPr>
              <w:pStyle w:val="Compact"/>
              <w:jc w:val="left"/>
            </w:pPr>
            <w:r>
              <w:rPr>
                <w:bCs/>
                <w:b/>
              </w:rPr>
              <w:t xml:space="preserve">🟢 Most resistant</w:t>
            </w:r>
          </w:p>
        </w:tc>
        <w:tc>
          <w:tcPr/>
          <w:p>
            <w:pPr>
              <w:pStyle w:val="Compact"/>
              <w:jc w:val="left"/>
            </w:pPr>
            <w:r>
              <w:t xml:space="preserve">Healthcare diagnosis, Strategic consulting, Creative design, Executive decision-making, Regulatory compliance</w:t>
            </w:r>
          </w:p>
        </w:tc>
        <w:tc>
          <w:tcPr/>
          <w:p>
            <w:pPr>
              <w:pStyle w:val="Compact"/>
              <w:jc w:val="left"/>
            </w:pPr>
            <w:r>
              <w:t xml:space="preserve">High-stakes, contextual, trust-dependent; human judgment remains essential</w:t>
            </w:r>
          </w:p>
        </w:tc>
      </w:tr>
    </w:tbl>
    <w:bookmarkEnd w:id="58"/>
    <w:bookmarkStart w:id="59" w:name="which-industries-are-adopting-fastest"/>
    <w:p>
      <w:pPr>
        <w:pStyle w:val="Heading3"/>
      </w:pPr>
      <w:r>
        <w:t xml:space="preserve">4.3 Which Industries Are Adopting Fastest?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Industry</w:t>
            </w:r>
          </w:p>
        </w:tc>
        <w:tc>
          <w:tcPr/>
          <w:p>
            <w:pPr>
              <w:pStyle w:val="Compact"/>
              <w:jc w:val="left"/>
            </w:pPr>
            <w:r>
              <w:t xml:space="preserve">Adoption Rate</w:t>
            </w:r>
          </w:p>
        </w:tc>
      </w:tr>
      <w:tr>
        <w:tc>
          <w:tcPr/>
          <w:p>
            <w:pPr>
              <w:pStyle w:val="Compact"/>
              <w:jc w:val="left"/>
            </w:pPr>
            <w:r>
              <w:t xml:space="preserve">Financial services</w:t>
            </w:r>
          </w:p>
        </w:tc>
        <w:tc>
          <w:tcPr/>
          <w:p>
            <w:pPr>
              <w:pStyle w:val="Compact"/>
              <w:jc w:val="left"/>
            </w:pPr>
            <w:r>
              <w:t xml:space="preserve">91%</w:t>
            </w:r>
          </w:p>
        </w:tc>
      </w:tr>
      <w:tr>
        <w:tc>
          <w:tcPr/>
          <w:p>
            <w:pPr>
              <w:pStyle w:val="Compact"/>
              <w:jc w:val="left"/>
            </w:pPr>
            <w:r>
              <w:t xml:space="preserve">Technology</w:t>
            </w:r>
          </w:p>
        </w:tc>
        <w:tc>
          <w:tcPr/>
          <w:p>
            <w:pPr>
              <w:pStyle w:val="Compact"/>
              <w:jc w:val="left"/>
            </w:pPr>
            <w:r>
              <w:t xml:space="preserve">88%</w:t>
            </w:r>
          </w:p>
        </w:tc>
      </w:tr>
      <w:tr>
        <w:tc>
          <w:tcPr/>
          <w:p>
            <w:pPr>
              <w:pStyle w:val="Compact"/>
              <w:jc w:val="left"/>
            </w:pPr>
            <w:r>
              <w:t xml:space="preserve">Healthcare</w:t>
            </w:r>
          </w:p>
        </w:tc>
        <w:tc>
          <w:tcPr/>
          <w:p>
            <w:pPr>
              <w:pStyle w:val="Compact"/>
              <w:jc w:val="left"/>
            </w:pPr>
            <w:r>
              <w:t xml:space="preserve">74%</w:t>
            </w:r>
          </w:p>
        </w:tc>
      </w:tr>
      <w:tr>
        <w:tc>
          <w:tcPr/>
          <w:p>
            <w:pPr>
              <w:pStyle w:val="Compact"/>
              <w:jc w:val="left"/>
            </w:pPr>
            <w:r>
              <w:t xml:space="preserve">Retail/eCommerce</w:t>
            </w:r>
          </w:p>
        </w:tc>
        <w:tc>
          <w:tcPr/>
          <w:p>
            <w:pPr>
              <w:pStyle w:val="Compact"/>
              <w:jc w:val="left"/>
            </w:pPr>
            <w:r>
              <w:t xml:space="preserve">72%</w:t>
            </w:r>
          </w:p>
        </w:tc>
      </w:tr>
      <w:tr>
        <w:tc>
          <w:tcPr/>
          <w:p>
            <w:pPr>
              <w:pStyle w:val="Compact"/>
              <w:jc w:val="left"/>
            </w:pPr>
            <w:r>
              <w:t xml:space="preserve">Manufacturing</w:t>
            </w:r>
          </w:p>
        </w:tc>
        <w:tc>
          <w:tcPr/>
          <w:p>
            <w:pPr>
              <w:pStyle w:val="Compact"/>
              <w:jc w:val="left"/>
            </w:pPr>
            <w:r>
              <w:t xml:space="preserve">68%</w:t>
            </w:r>
          </w:p>
        </w:tc>
      </w:tr>
      <w:tr>
        <w:tc>
          <w:tcPr/>
          <w:p>
            <w:pPr>
              <w:pStyle w:val="Compact"/>
              <w:jc w:val="left"/>
            </w:pPr>
            <w:r>
              <w:t xml:space="preserve">Professional services</w:t>
            </w:r>
          </w:p>
        </w:tc>
        <w:tc>
          <w:tcPr/>
          <w:p>
            <w:pPr>
              <w:pStyle w:val="Compact"/>
              <w:jc w:val="left"/>
            </w:pPr>
            <w:r>
              <w:t xml:space="preserve">65%</w:t>
            </w:r>
          </w:p>
        </w:tc>
      </w:tr>
      <w:tr>
        <w:tc>
          <w:tcPr/>
          <w:p>
            <w:pPr>
              <w:pStyle w:val="Compact"/>
              <w:jc w:val="left"/>
            </w:pPr>
            <w:r>
              <w:t xml:space="preserve">Government</w:t>
            </w:r>
          </w:p>
        </w:tc>
        <w:tc>
          <w:tcPr/>
          <w:p>
            <w:pPr>
              <w:pStyle w:val="Compact"/>
              <w:jc w:val="left"/>
            </w:pPr>
            <w:r>
              <w:t xml:space="preserve">41%</w:t>
            </w:r>
          </w:p>
        </w:tc>
      </w:tr>
      <w:tr>
        <w:tc>
          <w:tcPr/>
          <w:p>
            <w:pPr>
              <w:pStyle w:val="Compact"/>
              <w:jc w:val="left"/>
            </w:pPr>
            <w:r>
              <w:t xml:space="preserve">Education</w:t>
            </w:r>
          </w:p>
        </w:tc>
        <w:tc>
          <w:tcPr/>
          <w:p>
            <w:pPr>
              <w:pStyle w:val="Compact"/>
              <w:jc w:val="left"/>
            </w:pPr>
            <w:r>
              <w:t xml:space="preserve">38%</w:t>
            </w:r>
          </w:p>
        </w:tc>
      </w:tr>
    </w:tbl>
    <w:bookmarkEnd w:id="59"/>
    <w:bookmarkStart w:id="60" w:name="what-does-the-transition-look-like"/>
    <w:p>
      <w:pPr>
        <w:pStyle w:val="Heading3"/>
      </w:pPr>
      <w:r>
        <w:t xml:space="preserve">4.4 What Does the Transition Look Like?</w:t>
      </w:r>
    </w:p>
    <w:p>
      <w:pPr>
        <w:pStyle w:val="FirstParagraph"/>
      </w:pPr>
      <w:r>
        <w:rPr>
          <w:bCs/>
          <w:b/>
        </w:rPr>
        <w:t xml:space="preserve">Phase 1 (2024-2025): The Copilot Phase</w:t>
      </w:r>
      <w:r>
        <w:t xml:space="preserve"> </w:t>
      </w:r>
      <w:r>
        <w:t xml:space="preserve">- AI assists within existing SaaS apps</w:t>
      </w:r>
      <w:r>
        <w:t xml:space="preserve"> </w:t>
      </w:r>
      <w:r>
        <w:t xml:space="preserve">- Per-seat pricing still dominant</w:t>
      </w:r>
      <w:r>
        <w:t xml:space="preserve"> </w:t>
      </w:r>
      <w:r>
        <w:t xml:space="preserve">- Early adopters see productivity gains</w:t>
      </w:r>
      <w:r>
        <w:t xml:space="preserve"> </w:t>
      </w:r>
      <w:r>
        <w:t xml:space="preserve">- Wall Street prices in disruption risk</w:t>
      </w:r>
    </w:p>
    <w:p>
      <w:pPr>
        <w:pStyle w:val="BodyText"/>
      </w:pPr>
      <w:r>
        <w:rPr>
          <w:bCs/>
          <w:b/>
        </w:rPr>
        <w:t xml:space="preserve">Phase 2 (2025-2026): The Agent Phase</w:t>
      </w:r>
      <w:r>
        <w:t xml:space="preserve"> </w:t>
      </w:r>
      <w:r>
        <w:t xml:space="preserve">← WE ARE HERE</w:t>
      </w:r>
      <w:r>
        <w:t xml:space="preserve"> </w:t>
      </w:r>
      <w:r>
        <w:t xml:space="preserve">- Agents begin executing end-to-end tasks</w:t>
      </w:r>
      <w:r>
        <w:t xml:space="preserve"> </w:t>
      </w:r>
      <w:r>
        <w:t xml:space="preserve">- Outcome-based pricing emerges</w:t>
      </w:r>
      <w:r>
        <w:t xml:space="preserve"> </w:t>
      </w:r>
      <w:r>
        <w:t xml:space="preserve">- Klarna-style cautionary tales temper expectations</w:t>
      </w:r>
      <w:r>
        <w:t xml:space="preserve"> </w:t>
      </w:r>
      <w:r>
        <w:t xml:space="preserve">- Enterprises run 10+ pilots simultaneously (34%)</w:t>
      </w:r>
    </w:p>
    <w:p>
      <w:pPr>
        <w:pStyle w:val="BodyText"/>
      </w:pPr>
      <w:r>
        <w:rPr>
          <w:bCs/>
          <w:b/>
        </w:rPr>
        <w:t xml:space="preserve">Phase 3 (2026-2028): The Orchestration Phase</w:t>
      </w:r>
      <w:r>
        <w:t xml:space="preserve"> </w:t>
      </w:r>
      <w:r>
        <w:t xml:space="preserve">- Multi-agent systems collaborate</w:t>
      </w:r>
      <w:r>
        <w:t xml:space="preserve"> </w:t>
      </w:r>
      <w:r>
        <w:t xml:space="preserve">- Agent ecosystems form across applications</w:t>
      </w:r>
      <w:r>
        <w:t xml:space="preserve"> </w:t>
      </w:r>
      <w:r>
        <w:t xml:space="preserve">- Protocols (x402, MCP) become standard</w:t>
      </w:r>
      <w:r>
        <w:t xml:space="preserve"> </w:t>
      </w:r>
      <w:r>
        <w:t xml:space="preserve">- Seat counts decline as agents replace human tasks</w:t>
      </w:r>
    </w:p>
    <w:p>
      <w:pPr>
        <w:pStyle w:val="BodyText"/>
      </w:pPr>
      <w:r>
        <w:rPr>
          <w:bCs/>
          <w:b/>
        </w:rPr>
        <w:t xml:space="preserve">Phase 4 (2028-2030): The Agent-Native Phase</w:t>
      </w:r>
      <w:r>
        <w:t xml:space="preserve"> </w:t>
      </w:r>
      <w:r>
        <w:t xml:space="preserve">- New businesses built</w:t>
      </w:r>
      <w:r>
        <w:t xml:space="preserve"> </w:t>
      </w:r>
      <w:r>
        <w:t xml:space="preserve">“</w:t>
      </w:r>
      <w:r>
        <w:t xml:space="preserve">agent-first</w:t>
      </w:r>
      <w:r>
        <w:t xml:space="preserve">”</w:t>
      </w:r>
      <w:r>
        <w:t xml:space="preserve"> </w:t>
      </w:r>
      <w:r>
        <w:t xml:space="preserve">- Traditional SaaS becomes</w:t>
      </w:r>
      <w:r>
        <w:t xml:space="preserve"> </w:t>
      </w:r>
      <w:r>
        <w:t xml:space="preserve">“</w:t>
      </w:r>
      <w:r>
        <w:t xml:space="preserve">legacy</w:t>
      </w:r>
      <w:r>
        <w:t xml:space="preserve">”</w:t>
      </w:r>
      <w:r>
        <w:t xml:space="preserve"> </w:t>
      </w:r>
      <w:r>
        <w:t xml:space="preserve">- Governance frameworks mature</w:t>
      </w:r>
      <w:r>
        <w:t xml:space="preserve"> </w:t>
      </w:r>
      <w:r>
        <w:t xml:space="preserve">- Human roles shift to strategy, exceptions, oversight</w:t>
      </w:r>
    </w:p>
    <w:p>
      <w:pPr>
        <w:pStyle w:val="BodyText"/>
      </w:pPr>
      <w:r>
        <w:rPr>
          <w:bCs/>
          <w:b/>
        </w:rPr>
        <w:t xml:space="preserve">Phase 5 (2030+): The</w:t>
      </w:r>
      <w:r>
        <w:rPr>
          <w:bCs/>
          <w:b/>
        </w:rPr>
        <w:t xml:space="preserve"> </w:t>
      </w:r>
      <w:r>
        <w:rPr>
          <w:bCs/>
          <w:b/>
        </w:rPr>
        <w:t xml:space="preserve">“</w:t>
      </w:r>
      <w:r>
        <w:rPr>
          <w:bCs/>
          <w:b/>
        </w:rPr>
        <w:t xml:space="preserve">New Normal</w:t>
      </w:r>
      <w:r>
        <w:rPr>
          <w:bCs/>
          <w:b/>
        </w:rPr>
        <w:t xml:space="preserve">”</w:t>
      </w:r>
      <w:r>
        <w:t xml:space="preserve"> </w:t>
      </w:r>
      <w:r>
        <w:t xml:space="preserve">- Agents are invisible infrastructure</w:t>
      </w:r>
      <w:r>
        <w:t xml:space="preserve"> </w:t>
      </w:r>
      <w:r>
        <w:t xml:space="preserve">- Business logic lives in AI tier (per Nadella)</w:t>
      </w:r>
      <w:r>
        <w:t xml:space="preserve"> </w:t>
      </w:r>
      <w:r>
        <w:t xml:space="preserve">- Human-computer interaction is primarily conversational</w:t>
      </w:r>
      <w:r>
        <w:t xml:space="preserve"> </w:t>
      </w:r>
      <w:r>
        <w:t xml:space="preserve">- Software becomes a utility, intelligence is the product</w:t>
      </w:r>
    </w:p>
    <w:p>
      <w:r>
        <w:pict>
          <v:rect style="width:0;height:1.5pt" o:hralign="center" o:hrstd="t" o:hr="t"/>
        </w:pict>
      </w:r>
    </w:p>
    <w:bookmarkEnd w:id="60"/>
    <w:bookmarkEnd w:id="61"/>
    <w:bookmarkStart w:id="67" w:name="implications-for-csoaimeok"/>
    <w:p>
      <w:pPr>
        <w:pStyle w:val="Heading2"/>
      </w:pPr>
      <w:r>
        <w:t xml:space="preserve">5. IMPLICATIONS FOR CSOAI/MEOK</w:t>
      </w:r>
    </w:p>
    <w:bookmarkStart w:id="62" w:name="X31dfe9d2e397d8e851f75fabee5666afaf1cf6d"/>
    <w:p>
      <w:pPr>
        <w:pStyle w:val="Heading3"/>
      </w:pPr>
      <w:r>
        <w:t xml:space="preserve">5.1 If SaaS Dies, What Does the Governance Stack Look Like?</w:t>
      </w:r>
    </w:p>
    <w:p>
      <w:pPr>
        <w:pStyle w:val="FirstParagraph"/>
      </w:pPr>
      <w:r>
        <w:rPr>
          <w:bCs/>
          <w:b/>
        </w:rPr>
        <w:t xml:space="preserve">Current governance assumes:</w:t>
      </w:r>
      <w:r>
        <w:t xml:space="preserve"> </w:t>
      </w:r>
      <w:r>
        <w:t xml:space="preserve">- Humans use software through UIs</w:t>
      </w:r>
      <w:r>
        <w:t xml:space="preserve"> </w:t>
      </w:r>
      <w:r>
        <w:t xml:space="preserve">- Actions are logged by applications</w:t>
      </w:r>
      <w:r>
        <w:t xml:space="preserve"> </w:t>
      </w:r>
      <w:r>
        <w:t xml:space="preserve">- Compliance is enforced by app features</w:t>
      </w:r>
      <w:r>
        <w:t xml:space="preserve"> </w:t>
      </w:r>
      <w:r>
        <w:t xml:space="preserve">- Audits review human actions in software</w:t>
      </w:r>
    </w:p>
    <w:p>
      <w:pPr>
        <w:pStyle w:val="BodyText"/>
      </w:pPr>
      <w:r>
        <w:rPr>
          <w:bCs/>
          <w:b/>
        </w:rPr>
        <w:t xml:space="preserve">Agent-native governance requires:</w:t>
      </w:r>
      <w:r>
        <w:t xml:space="preserve"> </w:t>
      </w:r>
      <w:r>
        <w:t xml:space="preserve">- Agents take actions autonomously</w:t>
      </w:r>
      <w:r>
        <w:t xml:space="preserve"> </w:t>
      </w:r>
      <w:r>
        <w:t xml:space="preserve">- Every agent decision must be logged, auditable, explainable</w:t>
      </w:r>
      <w:r>
        <w:t xml:space="preserve"> </w:t>
      </w:r>
      <w:r>
        <w:t xml:space="preserve">- Human-in-the-loop checkpoints for high-risk actions</w:t>
      </w:r>
      <w:r>
        <w:t xml:space="preserve"> </w:t>
      </w:r>
      <w:r>
        <w:t xml:space="preserve">- Real-time monitoring of agent behavior (drift, bias, errors)</w:t>
      </w:r>
      <w:r>
        <w:t xml:space="preserve"> </w:t>
      </w:r>
      <w:r>
        <w:t xml:space="preserve">- Cross-system audit trails (agents span multiple SaaS backends)</w:t>
      </w:r>
      <w:r>
        <w:t xml:space="preserve"> </w:t>
      </w:r>
      <w:r>
        <w:t xml:space="preserve">- Attribution:</w:t>
      </w:r>
      <w:r>
        <w:t xml:space="preserve"> </w:t>
      </w:r>
      <w:r>
        <w:t xml:space="preserve">“</w:t>
      </w:r>
      <w:r>
        <w:t xml:space="preserve">Who approved that agent decision?</w:t>
      </w:r>
      <w:r>
        <w:t xml:space="preserve">”</w:t>
      </w:r>
      <w:r>
        <w:t xml:space="preserve"> </w:t>
      </w:r>
      <w:r>
        <w:t xml:space="preserve">must have a clear answer</w:t>
      </w:r>
    </w:p>
    <w:p>
      <w:pPr>
        <w:pStyle w:val="BodyText"/>
      </w:pPr>
      <w:r>
        <w:rPr>
          <w:bCs/>
          <w:b/>
        </w:rPr>
        <w:t xml:space="preserve">The governance stack for AaaS:</w:t>
      </w:r>
    </w:p>
    <w:tbl>
      <w:tblPr>
        <w:tblStyle w:val="Table"/>
        <w:tblW w:type="pct" w:w="5000"/>
        <w:tblLook w:firstRow="1" w:lastRow="0" w:firstColumn="0" w:lastColumn="0" w:noHBand="0" w:noVBand="0" w:val="0020"/>
      </w:tblPr>
      <w:tblGrid>
        <w:gridCol w:w="3261"/>
        <w:gridCol w:w="4658"/>
      </w:tblGrid>
      <w:tr>
        <w:trPr>
          <w:tblHeader w:val="true"/>
        </w:trPr>
        <w:tc>
          <w:tcPr/>
          <w:p>
            <w:pPr>
              <w:pStyle w:val="Compact"/>
              <w:jc w:val="left"/>
            </w:pPr>
            <w:r>
              <w:t xml:space="preserve">Layer</w:t>
            </w:r>
          </w:p>
        </w:tc>
        <w:tc>
          <w:tcPr/>
          <w:p>
            <w:pPr>
              <w:pStyle w:val="Compact"/>
              <w:jc w:val="left"/>
            </w:pPr>
            <w:r>
              <w:t xml:space="preserve">Function</w:t>
            </w:r>
          </w:p>
        </w:tc>
      </w:tr>
      <w:tr>
        <w:tc>
          <w:tcPr/>
          <w:p>
            <w:pPr>
              <w:pStyle w:val="Compact"/>
              <w:jc w:val="left"/>
            </w:pPr>
            <w:r>
              <w:rPr>
                <w:bCs/>
                <w:b/>
              </w:rPr>
              <w:t xml:space="preserve">Agent Identity</w:t>
            </w:r>
          </w:p>
        </w:tc>
        <w:tc>
          <w:tcPr/>
          <w:p>
            <w:pPr>
              <w:pStyle w:val="Compact"/>
              <w:jc w:val="left"/>
            </w:pPr>
            <w:r>
              <w:t xml:space="preserve">Each agent has verified identity, permissions, scope</w:t>
            </w:r>
          </w:p>
        </w:tc>
      </w:tr>
      <w:tr>
        <w:tc>
          <w:tcPr/>
          <w:p>
            <w:pPr>
              <w:pStyle w:val="Compact"/>
              <w:jc w:val="left"/>
            </w:pPr>
            <w:r>
              <w:rPr>
                <w:bCs/>
                <w:b/>
              </w:rPr>
              <w:t xml:space="preserve">Action Logging</w:t>
            </w:r>
          </w:p>
        </w:tc>
        <w:tc>
          <w:tcPr/>
          <w:p>
            <w:pPr>
              <w:pStyle w:val="Compact"/>
              <w:jc w:val="left"/>
            </w:pPr>
            <w:r>
              <w:t xml:space="preserve">Every tool call, API request, decision logged immutably</w:t>
            </w:r>
          </w:p>
        </w:tc>
      </w:tr>
      <w:tr>
        <w:tc>
          <w:tcPr/>
          <w:p>
            <w:pPr>
              <w:pStyle w:val="Compact"/>
              <w:jc w:val="left"/>
            </w:pPr>
            <w:r>
              <w:rPr>
                <w:bCs/>
                <w:b/>
              </w:rPr>
              <w:t xml:space="preserve">Human-in-the-Loop</w:t>
            </w:r>
          </w:p>
        </w:tc>
        <w:tc>
          <w:tcPr/>
          <w:p>
            <w:pPr>
              <w:pStyle w:val="Compact"/>
              <w:jc w:val="left"/>
            </w:pPr>
            <w:r>
              <w:t xml:space="preserve">Approval gates for high-risk or high-value actions</w:t>
            </w:r>
          </w:p>
        </w:tc>
      </w:tr>
      <w:tr>
        <w:tc>
          <w:tcPr/>
          <w:p>
            <w:pPr>
              <w:pStyle w:val="Compact"/>
              <w:jc w:val="left"/>
            </w:pPr>
            <w:r>
              <w:rPr>
                <w:bCs/>
                <w:b/>
              </w:rPr>
              <w:t xml:space="preserve">Explainability</w:t>
            </w:r>
          </w:p>
        </w:tc>
        <w:tc>
          <w:tcPr/>
          <w:p>
            <w:pPr>
              <w:pStyle w:val="Compact"/>
              <w:jc w:val="left"/>
            </w:pPr>
            <w:r>
              <w:t xml:space="preserve">Agent decisions must be interpretable and justifiable</w:t>
            </w:r>
          </w:p>
        </w:tc>
      </w:tr>
      <w:tr>
        <w:tc>
          <w:tcPr/>
          <w:p>
            <w:pPr>
              <w:pStyle w:val="Compact"/>
              <w:jc w:val="left"/>
            </w:pPr>
            <w:r>
              <w:rPr>
                <w:bCs/>
                <w:b/>
              </w:rPr>
              <w:t xml:space="preserve">Bias/Drift Monitoring</w:t>
            </w:r>
          </w:p>
        </w:tc>
        <w:tc>
          <w:tcPr/>
          <w:p>
            <w:pPr>
              <w:pStyle w:val="Compact"/>
              <w:jc w:val="left"/>
            </w:pPr>
            <w:r>
              <w:t xml:space="preserve">Continuous monitoring for model drift, bias, quality degradation</w:t>
            </w:r>
          </w:p>
        </w:tc>
      </w:tr>
      <w:tr>
        <w:tc>
          <w:tcPr/>
          <w:p>
            <w:pPr>
              <w:pStyle w:val="Compact"/>
              <w:jc w:val="left"/>
            </w:pPr>
            <w:r>
              <w:rPr>
                <w:bCs/>
                <w:b/>
              </w:rPr>
              <w:t xml:space="preserve">Compliance Mapping</w:t>
            </w:r>
          </w:p>
        </w:tc>
        <w:tc>
          <w:tcPr/>
          <w:p>
            <w:pPr>
              <w:pStyle w:val="Compact"/>
              <w:jc w:val="left"/>
            </w:pPr>
            <w:r>
              <w:t xml:space="preserve">Agent actions mapped to regulatory requirements (SOX, GDPR, etc.)</w:t>
            </w:r>
          </w:p>
        </w:tc>
      </w:tr>
      <w:tr>
        <w:tc>
          <w:tcPr/>
          <w:p>
            <w:pPr>
              <w:pStyle w:val="Compact"/>
              <w:jc w:val="left"/>
            </w:pPr>
            <w:r>
              <w:rPr>
                <w:bCs/>
                <w:b/>
              </w:rPr>
              <w:t xml:space="preserve">Incident Response</w:t>
            </w:r>
          </w:p>
        </w:tc>
        <w:tc>
          <w:tcPr/>
          <w:p>
            <w:pPr>
              <w:pStyle w:val="Compact"/>
              <w:jc w:val="left"/>
            </w:pPr>
            <w:r>
              <w:t xml:space="preserve">Escalation protocols when agents make errors</w:t>
            </w:r>
          </w:p>
        </w:tc>
      </w:tr>
    </w:tbl>
    <w:bookmarkEnd w:id="62"/>
    <w:bookmarkStart w:id="63" w:name="who-pays-for-agent-governance"/>
    <w:p>
      <w:pPr>
        <w:pStyle w:val="Heading3"/>
      </w:pPr>
      <w:r>
        <w:t xml:space="preserve">5.2 Who Pays for Agent Governance?</w:t>
      </w:r>
    </w:p>
    <w:p>
      <w:pPr>
        <w:pStyle w:val="FirstParagraph"/>
      </w:pPr>
      <w:r>
        <w:rPr>
          <w:bCs/>
          <w:b/>
        </w:rPr>
        <w:t xml:space="preserve">Three emerging models:</w:t>
      </w:r>
    </w:p>
    <w:p>
      <w:pPr>
        <w:numPr>
          <w:ilvl w:val="0"/>
          <w:numId w:val="1004"/>
        </w:numPr>
        <w:pStyle w:val="Compact"/>
      </w:pPr>
      <w:r>
        <w:rPr>
          <w:bCs/>
          <w:b/>
        </w:rPr>
        <w:t xml:space="preserve">Embedded in Agent Platform (Salesforce/Microsoft model):</w:t>
      </w:r>
    </w:p>
    <w:p>
      <w:pPr>
        <w:numPr>
          <w:ilvl w:val="1"/>
          <w:numId w:val="1005"/>
        </w:numPr>
        <w:pStyle w:val="Compact"/>
      </w:pPr>
      <w:r>
        <w:t xml:space="preserve">Governance is bundled with the agent platform</w:t>
      </w:r>
    </w:p>
    <w:p>
      <w:pPr>
        <w:numPr>
          <w:ilvl w:val="1"/>
          <w:numId w:val="1005"/>
        </w:numPr>
        <w:pStyle w:val="Compact"/>
      </w:pPr>
      <w:r>
        <w:t xml:space="preserve">Customer pays for the platform, governance is included</w:t>
      </w:r>
    </w:p>
    <w:p>
      <w:pPr>
        <w:numPr>
          <w:ilvl w:val="1"/>
          <w:numId w:val="1005"/>
        </w:numPr>
        <w:pStyle w:val="Compact"/>
      </w:pPr>
      <w:r>
        <w:t xml:space="preserve">Similar to how SaaS bundles security/compliance features today</w:t>
      </w:r>
    </w:p>
    <w:p>
      <w:pPr>
        <w:numPr>
          <w:ilvl w:val="0"/>
          <w:numId w:val="1004"/>
        </w:numPr>
        <w:pStyle w:val="Compact"/>
      </w:pPr>
      <w:r>
        <w:rPr>
          <w:bCs/>
          <w:b/>
        </w:rPr>
        <w:t xml:space="preserve">Separate Governance Layer (CSOAI/MEOK opportunity):</w:t>
      </w:r>
    </w:p>
    <w:p>
      <w:pPr>
        <w:numPr>
          <w:ilvl w:val="1"/>
          <w:numId w:val="1006"/>
        </w:numPr>
        <w:pStyle w:val="Compact"/>
      </w:pPr>
      <w:r>
        <w:t xml:space="preserve">Governance is a separate service/product</w:t>
      </w:r>
    </w:p>
    <w:p>
      <w:pPr>
        <w:numPr>
          <w:ilvl w:val="1"/>
          <w:numId w:val="1006"/>
        </w:numPr>
        <w:pStyle w:val="Compact"/>
      </w:pPr>
      <w:r>
        <w:t xml:space="preserve">Priced per-agent, per-action, or as platform fee</w:t>
      </w:r>
    </w:p>
    <w:p>
      <w:pPr>
        <w:numPr>
          <w:ilvl w:val="1"/>
          <w:numId w:val="1006"/>
        </w:numPr>
        <w:pStyle w:val="Compact"/>
      </w:pPr>
      <w:r>
        <w:t xml:space="preserve">Comparable to how Datadog/observability tools charge separately from infrastructure</w:t>
      </w:r>
    </w:p>
    <w:p>
      <w:pPr>
        <w:numPr>
          <w:ilvl w:val="0"/>
          <w:numId w:val="1004"/>
        </w:numPr>
        <w:pStyle w:val="Compact"/>
      </w:pPr>
      <w:r>
        <w:rPr>
          <w:bCs/>
          <w:b/>
        </w:rPr>
        <w:t xml:space="preserve">Outcome-Attached Governance:</w:t>
      </w:r>
    </w:p>
    <w:p>
      <w:pPr>
        <w:numPr>
          <w:ilvl w:val="1"/>
          <w:numId w:val="1007"/>
        </w:numPr>
        <w:pStyle w:val="Compact"/>
      </w:pPr>
      <w:r>
        <w:t xml:space="preserve">Governance cost bundled into outcome-based pricing</w:t>
      </w:r>
    </w:p>
    <w:p>
      <w:pPr>
        <w:numPr>
          <w:ilvl w:val="1"/>
          <w:numId w:val="1007"/>
        </w:numPr>
        <w:pStyle w:val="Compact"/>
      </w:pPr>
      <w:r>
        <w:t xml:space="preserve">“</w:t>
      </w:r>
      <w:r>
        <w:t xml:space="preserve">We guarantee compliant outcomes</w:t>
      </w:r>
      <w:r>
        <w:t xml:space="preserve">”</w:t>
      </w:r>
      <w:r>
        <w:t xml:space="preserve"> </w:t>
      </w:r>
      <w:r>
        <w:t xml:space="preserve">— governance is the value prop</w:t>
      </w:r>
    </w:p>
    <w:p>
      <w:pPr>
        <w:numPr>
          <w:ilvl w:val="1"/>
          <w:numId w:val="1007"/>
        </w:numPr>
        <w:pStyle w:val="Compact"/>
      </w:pPr>
      <w:r>
        <w:t xml:space="preserve">Premium pricing for guaranteed compliance</w:t>
      </w:r>
    </w:p>
    <w:p>
      <w:pPr>
        <w:pStyle w:val="FirstParagraph"/>
      </w:pPr>
      <w:r>
        <w:rPr>
          <w:bCs/>
          <w:b/>
        </w:rPr>
        <w:t xml:space="preserve">Evidence for willingness to pay:</w:t>
      </w:r>
      <w:r>
        <w:t xml:space="preserve"> </w:t>
      </w:r>
      <w:r>
        <w:t xml:space="preserve">-</w:t>
      </w:r>
      <w:r>
        <w:t xml:space="preserve"> </w:t>
      </w:r>
      <w:r>
        <w:rPr>
          <w:bCs/>
          <w:b/>
        </w:rPr>
        <w:t xml:space="preserve">ISO/IEC 42001</w:t>
      </w:r>
      <w:r>
        <w:t xml:space="preserve"> </w:t>
      </w:r>
      <w:r>
        <w:t xml:space="preserve">(AI management systems standard) requires documented governance</w:t>
      </w:r>
      <w:r>
        <w:t xml:space="preserve"> </w:t>
      </w:r>
      <w:r>
        <w:t xml:space="preserve">-</w:t>
      </w:r>
      <w:r>
        <w:t xml:space="preserve"> </w:t>
      </w:r>
      <w:r>
        <w:rPr>
          <w:bCs/>
          <w:b/>
        </w:rPr>
        <w:t xml:space="preserve">EU AI Act</w:t>
      </w:r>
      <w:r>
        <w:t xml:space="preserve"> </w:t>
      </w:r>
      <w:r>
        <w:t xml:space="preserve">mandates explainability, human oversight, risk management for high-risk AI</w:t>
      </w:r>
      <w:r>
        <w:t xml:space="preserve"> </w:t>
      </w:r>
      <w:r>
        <w:t xml:space="preserve">-</w:t>
      </w:r>
      <w:r>
        <w:t xml:space="preserve"> </w:t>
      </w:r>
      <w:r>
        <w:rPr>
          <w:bCs/>
          <w:b/>
        </w:rPr>
        <w:t xml:space="preserve">Financial services:</w:t>
      </w:r>
      <w:r>
        <w:t xml:space="preserve"> </w:t>
      </w:r>
      <w:r>
        <w:t xml:space="preserve">91% adoption of AI agents, heavily regulated — governance is non-negotiable</w:t>
      </w:r>
      <w:r>
        <w:t xml:space="preserve"> </w:t>
      </w:r>
      <w:r>
        <w:t xml:space="preserve">- Enterprise buyers already pay for compliance tools (Drata, Vanta, etc.) — ~$50K-$200K/year</w:t>
      </w:r>
    </w:p>
    <w:bookmarkEnd w:id="63"/>
    <w:bookmarkStart w:id="64" w:name="Xe98fad1f1dabd4ca34eb7951ade3d88fd636675"/>
    <w:p>
      <w:pPr>
        <w:pStyle w:val="Heading3"/>
      </w:pPr>
      <w:r>
        <w:t xml:space="preserve">5.3 How Is Compliance Enforced in an Agent-Native World?</w:t>
      </w:r>
    </w:p>
    <w:p>
      <w:pPr>
        <w:pStyle w:val="FirstParagraph"/>
      </w:pPr>
      <w:r>
        <w:rPr>
          <w:bCs/>
          <w:b/>
        </w:rPr>
        <w:t xml:space="preserve">Current enforcement:</w:t>
      </w:r>
      <w:r>
        <w:t xml:space="preserve"> </w:t>
      </w:r>
      <w:r>
        <w:t xml:space="preserve">- Software enforces rules through UI constraints</w:t>
      </w:r>
      <w:r>
        <w:t xml:space="preserve"> </w:t>
      </w:r>
      <w:r>
        <w:t xml:space="preserve">- Human review and approval workflows</w:t>
      </w:r>
      <w:r>
        <w:t xml:space="preserve"> </w:t>
      </w:r>
      <w:r>
        <w:t xml:space="preserve">- Periodic audits of human actions</w:t>
      </w:r>
    </w:p>
    <w:p>
      <w:pPr>
        <w:pStyle w:val="BodyText"/>
      </w:pPr>
      <w:r>
        <w:rPr>
          <w:bCs/>
          <w:b/>
        </w:rPr>
        <w:t xml:space="preserve">Agent-native enforcement:</w:t>
      </w:r>
    </w:p>
    <w:tbl>
      <w:tblPr>
        <w:tblStyle w:val="Table"/>
        <w:tblW w:type="pct" w:w="5000"/>
        <w:tblLook w:firstRow="1" w:lastRow="0" w:firstColumn="0" w:lastColumn="0" w:noHBand="0" w:noVBand="0" w:val="0020"/>
      </w:tblPr>
      <w:tblGrid>
        <w:gridCol w:w="3630"/>
        <w:gridCol w:w="4290"/>
      </w:tblGrid>
      <w:tr>
        <w:trPr>
          <w:tblHeader w:val="true"/>
        </w:trPr>
        <w:tc>
          <w:tcPr/>
          <w:p>
            <w:pPr>
              <w:pStyle w:val="Compact"/>
              <w:jc w:val="left"/>
            </w:pPr>
            <w:r>
              <w:t xml:space="preserve">Mechanism</w:t>
            </w:r>
          </w:p>
        </w:tc>
        <w:tc>
          <w:tcPr/>
          <w:p>
            <w:pPr>
              <w:pStyle w:val="Compact"/>
              <w:jc w:val="left"/>
            </w:pPr>
            <w:r>
              <w:t xml:space="preserve">Description</w:t>
            </w:r>
          </w:p>
        </w:tc>
      </w:tr>
      <w:tr>
        <w:tc>
          <w:tcPr/>
          <w:p>
            <w:pPr>
              <w:pStyle w:val="Compact"/>
              <w:jc w:val="left"/>
            </w:pPr>
            <w:r>
              <w:rPr>
                <w:bCs/>
                <w:b/>
              </w:rPr>
              <w:t xml:space="preserve">Programmable Guardrails</w:t>
            </w:r>
          </w:p>
        </w:tc>
        <w:tc>
          <w:tcPr/>
          <w:p>
            <w:pPr>
              <w:pStyle w:val="Compact"/>
              <w:jc w:val="left"/>
            </w:pPr>
            <w:r>
              <w:t xml:space="preserve">Agents operate within defined constraint sets (spending limits, approved actions, prohibited domains)</w:t>
            </w:r>
          </w:p>
        </w:tc>
      </w:tr>
      <w:tr>
        <w:tc>
          <w:tcPr/>
          <w:p>
            <w:pPr>
              <w:pStyle w:val="Compact"/>
              <w:jc w:val="left"/>
            </w:pPr>
            <w:r>
              <w:rPr>
                <w:bCs/>
                <w:b/>
              </w:rPr>
              <w:t xml:space="preserve">Smart-Wallet Policies</w:t>
            </w:r>
          </w:p>
        </w:tc>
        <w:tc>
          <w:tcPr/>
          <w:p>
            <w:pPr>
              <w:pStyle w:val="Compact"/>
              <w:jc w:val="left"/>
            </w:pPr>
            <w:r>
              <w:t xml:space="preserve">ERC-4337 smart accounts with programmable spending limits, authorized domains, scheduled tasks — EIP-7702 delegation for agent permissions</w:t>
            </w:r>
          </w:p>
        </w:tc>
      </w:tr>
      <w:tr>
        <w:tc>
          <w:tcPr/>
          <w:p>
            <w:pPr>
              <w:pStyle w:val="Compact"/>
              <w:jc w:val="left"/>
            </w:pPr>
            <w:r>
              <w:rPr>
                <w:bCs/>
                <w:b/>
              </w:rPr>
              <w:t xml:space="preserve">Automated Governance Gates</w:t>
            </w:r>
          </w:p>
        </w:tc>
        <w:tc>
          <w:tcPr/>
          <w:p>
            <w:pPr>
              <w:pStyle w:val="Compact"/>
              <w:jc w:val="left"/>
            </w:pPr>
            <w:r>
              <w:t xml:space="preserve">CI/CD-integrated: failed bias test or undocumented model change blocks deployment</w:t>
            </w:r>
          </w:p>
        </w:tc>
      </w:tr>
      <w:tr>
        <w:tc>
          <w:tcPr/>
          <w:p>
            <w:pPr>
              <w:pStyle w:val="Compact"/>
              <w:jc w:val="left"/>
            </w:pPr>
            <w:r>
              <w:rPr>
                <w:bCs/>
                <w:b/>
              </w:rPr>
              <w:t xml:space="preserve">Real-Time Monitoring</w:t>
            </w:r>
          </w:p>
        </w:tc>
        <w:tc>
          <w:tcPr/>
          <w:p>
            <w:pPr>
              <w:pStyle w:val="Compact"/>
              <w:jc w:val="left"/>
            </w:pPr>
            <w:r>
              <w:t xml:space="preserve">Centralized dashboards surfacing drift scores, audit-log completeness, unresolved policy waivers</w:t>
            </w:r>
          </w:p>
        </w:tc>
      </w:tr>
      <w:tr>
        <w:tc>
          <w:tcPr/>
          <w:p>
            <w:pPr>
              <w:pStyle w:val="Compact"/>
              <w:jc w:val="left"/>
            </w:pPr>
            <w:r>
              <w:rPr>
                <w:bCs/>
                <w:b/>
              </w:rPr>
              <w:t xml:space="preserve">Human-in-the-Loop Checkpoints</w:t>
            </w:r>
          </w:p>
        </w:tc>
        <w:tc>
          <w:tcPr/>
          <w:p>
            <w:pPr>
              <w:pStyle w:val="Compact"/>
              <w:jc w:val="left"/>
            </w:pPr>
            <w:r>
              <w:t xml:space="preserve">Required human approval for actions exceeding risk thresholds</w:t>
            </w:r>
          </w:p>
        </w:tc>
      </w:tr>
      <w:tr>
        <w:tc>
          <w:tcPr/>
          <w:p>
            <w:pPr>
              <w:pStyle w:val="Compact"/>
              <w:jc w:val="left"/>
            </w:pPr>
            <w:r>
              <w:rPr>
                <w:bCs/>
                <w:b/>
              </w:rPr>
              <w:t xml:space="preserve">Audit Trails</w:t>
            </w:r>
          </w:p>
        </w:tc>
        <w:tc>
          <w:tcPr/>
          <w:p>
            <w:pPr>
              <w:pStyle w:val="Compact"/>
              <w:jc w:val="left"/>
            </w:pPr>
            <w:r>
              <w:t xml:space="preserve">Every authorization, override, exception timestamped and hash-linked for forensics</w:t>
            </w:r>
          </w:p>
        </w:tc>
      </w:tr>
      <w:tr>
        <w:tc>
          <w:tcPr/>
          <w:p>
            <w:pPr>
              <w:pStyle w:val="Compact"/>
              <w:jc w:val="left"/>
            </w:pPr>
            <w:r>
              <w:rPr>
                <w:bCs/>
                <w:b/>
              </w:rPr>
              <w:t xml:space="preserve">Policy-Enforced KYC</w:t>
            </w:r>
          </w:p>
        </w:tc>
        <w:tc>
          <w:tcPr/>
          <w:p>
            <w:pPr>
              <w:pStyle w:val="Compact"/>
              <w:jc w:val="left"/>
            </w:pPr>
            <w:r>
              <w:t xml:space="preserve">Wallet capabilities gated behind programmable verifications and jurisdictional rules</w:t>
            </w:r>
          </w:p>
        </w:tc>
      </w:tr>
    </w:tbl>
    <w:p>
      <w:pPr>
        <w:pStyle w:val="BodyText"/>
      </w:pPr>
      <w:r>
        <w:rPr>
          <w:bCs/>
          <w:b/>
        </w:rPr>
        <w:t xml:space="preserve">Key quote:</w:t>
      </w:r>
      <w:r>
        <w:t xml:space="preserve"> </w:t>
      </w:r>
      <w:r>
        <w:t xml:space="preserve">&gt;</w:t>
      </w:r>
      <w:r>
        <w:t xml:space="preserve"> </w:t>
      </w:r>
      <w:r>
        <w:rPr>
          <w:bCs/>
          <w:b/>
        </w:rPr>
        <w:t xml:space="preserve">“</w:t>
      </w:r>
      <w:r>
        <w:rPr>
          <w:bCs/>
          <w:b/>
        </w:rPr>
        <w:t xml:space="preserve">Autonomous payments must meet the same—or higher—standards of consumer protection and AML screening… Because x402 is protocol-first, these safeguards can be composable, transparent, and testable—unlike opaque merchant logic.</w:t>
      </w:r>
      <w:r>
        <w:rPr>
          <w:bCs/>
          <w:b/>
        </w:rPr>
        <w:t xml:space="preserve">”</w:t>
      </w:r>
    </w:p>
    <w:bookmarkEnd w:id="64"/>
    <w:bookmarkStart w:id="65" w:name="what-is-the-business-model"/>
    <w:p>
      <w:pPr>
        <w:pStyle w:val="Heading3"/>
      </w:pPr>
      <w:r>
        <w:t xml:space="preserve">5.4 What Is the Business Model?</w:t>
      </w:r>
    </w:p>
    <w:p>
      <w:pPr>
        <w:pStyle w:val="FirstParagraph"/>
      </w:pPr>
      <w:r>
        <w:rPr>
          <w:bCs/>
          <w:b/>
        </w:rPr>
        <w:t xml:space="preserve">Governance-as-a-Service (GaaS):</w:t>
      </w:r>
    </w:p>
    <w:tbl>
      <w:tblPr>
        <w:tblStyle w:val="Table"/>
        <w:tblW w:type="pct" w:w="5000"/>
        <w:tblLook w:firstRow="1" w:lastRow="0" w:firstColumn="0" w:lastColumn="0" w:noHBand="0" w:noVBand="0" w:val="0020"/>
      </w:tblPr>
      <w:tblGrid>
        <w:gridCol w:w="2217"/>
        <w:gridCol w:w="2851"/>
        <w:gridCol w:w="2851"/>
      </w:tblGrid>
      <w:tr>
        <w:trPr>
          <w:tblHeader w:val="true"/>
        </w:trPr>
        <w:tc>
          <w:tcPr/>
          <w:p>
            <w:pPr>
              <w:pStyle w:val="Compact"/>
              <w:jc w:val="left"/>
            </w:pPr>
            <w:r>
              <w:t xml:space="preserve">Model</w:t>
            </w:r>
          </w:p>
        </w:tc>
        <w:tc>
          <w:tcPr/>
          <w:p>
            <w:pPr>
              <w:pStyle w:val="Compact"/>
              <w:jc w:val="left"/>
            </w:pPr>
            <w:r>
              <w:t xml:space="preserve">Pricing</w:t>
            </w:r>
          </w:p>
        </w:tc>
        <w:tc>
          <w:tcPr/>
          <w:p>
            <w:pPr>
              <w:pStyle w:val="Compact"/>
              <w:jc w:val="left"/>
            </w:pPr>
            <w:r>
              <w:t xml:space="preserve">Example</w:t>
            </w:r>
          </w:p>
        </w:tc>
      </w:tr>
      <w:tr>
        <w:tc>
          <w:tcPr/>
          <w:p>
            <w:pPr>
              <w:pStyle w:val="Compact"/>
              <w:jc w:val="left"/>
            </w:pPr>
            <w:r>
              <w:rPr>
                <w:bCs/>
                <w:b/>
              </w:rPr>
              <w:t xml:space="preserve">Per-agent licensing</w:t>
            </w:r>
          </w:p>
        </w:tc>
        <w:tc>
          <w:tcPr/>
          <w:p>
            <w:pPr>
              <w:pStyle w:val="Compact"/>
              <w:jc w:val="left"/>
            </w:pPr>
            <w:r>
              <w:t xml:space="preserve">$X/agent/month</w:t>
            </w:r>
          </w:p>
        </w:tc>
        <w:tc>
          <w:tcPr/>
          <w:p>
            <w:pPr>
              <w:pStyle w:val="Compact"/>
              <w:jc w:val="left"/>
            </w:pPr>
            <w:r>
              <w:t xml:space="preserve">Per-seat equivalent for agent era</w:t>
            </w:r>
          </w:p>
        </w:tc>
      </w:tr>
      <w:tr>
        <w:tc>
          <w:tcPr/>
          <w:p>
            <w:pPr>
              <w:pStyle w:val="Compact"/>
              <w:jc w:val="left"/>
            </w:pPr>
            <w:r>
              <w:rPr>
                <w:bCs/>
                <w:b/>
              </w:rPr>
              <w:t xml:space="preserve">Per-action monitoring</w:t>
            </w:r>
          </w:p>
        </w:tc>
        <w:tc>
          <w:tcPr/>
          <w:p>
            <w:pPr>
              <w:pStyle w:val="Compact"/>
              <w:jc w:val="left"/>
            </w:pPr>
            <w:r>
              <w:t xml:space="preserve">$0.00X per agent action</w:t>
            </w:r>
          </w:p>
        </w:tc>
        <w:tc>
          <w:tcPr/>
          <w:p>
            <w:pPr>
              <w:pStyle w:val="Compact"/>
              <w:jc w:val="left"/>
            </w:pPr>
            <w:r>
              <w:t xml:space="preserve">Usage-based, scales with adoption</w:t>
            </w:r>
          </w:p>
        </w:tc>
      </w:tr>
      <w:tr>
        <w:tc>
          <w:tcPr/>
          <w:p>
            <w:pPr>
              <w:pStyle w:val="Compact"/>
              <w:jc w:val="left"/>
            </w:pPr>
            <w:r>
              <w:rPr>
                <w:bCs/>
                <w:b/>
              </w:rPr>
              <w:t xml:space="preserve">Platform fee</w:t>
            </w:r>
          </w:p>
        </w:tc>
        <w:tc>
          <w:tcPr/>
          <w:p>
            <w:pPr>
              <w:pStyle w:val="Compact"/>
              <w:jc w:val="left"/>
            </w:pPr>
            <w:r>
              <w:t xml:space="preserve">$XX,XXX/year platform license</w:t>
            </w:r>
          </w:p>
        </w:tc>
        <w:tc>
          <w:tcPr/>
          <w:p>
            <w:pPr>
              <w:pStyle w:val="Compact"/>
              <w:jc w:val="left"/>
            </w:pPr>
            <w:r>
              <w:t xml:space="preserve">Enterprise-wide governance</w:t>
            </w:r>
          </w:p>
        </w:tc>
      </w:tr>
      <w:tr>
        <w:tc>
          <w:tcPr/>
          <w:p>
            <w:pPr>
              <w:pStyle w:val="Compact"/>
              <w:jc w:val="left"/>
            </w:pPr>
            <w:r>
              <w:rPr>
                <w:bCs/>
                <w:b/>
              </w:rPr>
              <w:t xml:space="preserve">Outcome-attached</w:t>
            </w:r>
          </w:p>
        </w:tc>
        <w:tc>
          <w:tcPr/>
          <w:p>
            <w:pPr>
              <w:pStyle w:val="Compact"/>
              <w:jc w:val="left"/>
            </w:pPr>
            <w:r>
              <w:t xml:space="preserve">% of outcome value</w:t>
            </w:r>
          </w:p>
        </w:tc>
        <w:tc>
          <w:tcPr/>
          <w:p>
            <w:pPr>
              <w:pStyle w:val="Compact"/>
              <w:jc w:val="left"/>
            </w:pPr>
            <w:r>
              <w:t xml:space="preserve">Governance guarantees compliance</w:t>
            </w:r>
          </w:p>
        </w:tc>
      </w:tr>
      <w:tr>
        <w:tc>
          <w:tcPr/>
          <w:p>
            <w:pPr>
              <w:pStyle w:val="Compact"/>
              <w:jc w:val="left"/>
            </w:pPr>
            <w:r>
              <w:rPr>
                <w:bCs/>
                <w:b/>
              </w:rPr>
              <w:t xml:space="preserve">Risk-based</w:t>
            </w:r>
          </w:p>
        </w:tc>
        <w:tc>
          <w:tcPr/>
          <w:p>
            <w:pPr>
              <w:pStyle w:val="Compact"/>
              <w:jc w:val="left"/>
            </w:pPr>
            <w:r>
              <w:t xml:space="preserve">Higher cost for higher-risk agents</w:t>
            </w:r>
          </w:p>
        </w:tc>
        <w:tc>
          <w:tcPr/>
          <w:p>
            <w:pPr>
              <w:pStyle w:val="Compact"/>
              <w:jc w:val="left"/>
            </w:pPr>
            <w:r>
              <w:t xml:space="preserve">Tiered by autonomy level (L0-L4)</w:t>
            </w:r>
          </w:p>
        </w:tc>
      </w:tr>
    </w:tbl>
    <w:p>
      <w:pPr>
        <w:pStyle w:val="BodyText"/>
      </w:pPr>
      <w:r>
        <w:rPr>
          <w:bCs/>
          <w:b/>
        </w:rPr>
        <w:t xml:space="preserve">The Gartner L0-L4 Autonomy Framework:</w:t>
      </w:r>
      <w:r>
        <w:t xml:space="preserve"> </w:t>
      </w:r>
      <w:r>
        <w:t xml:space="preserve">-</w:t>
      </w:r>
      <w:r>
        <w:t xml:space="preserve"> </w:t>
      </w:r>
      <w:r>
        <w:rPr>
          <w:bCs/>
          <w:b/>
        </w:rPr>
        <w:t xml:space="preserve">L0:</w:t>
      </w:r>
      <w:r>
        <w:t xml:space="preserve"> </w:t>
      </w:r>
      <w:r>
        <w:t xml:space="preserve">Human executes, AI suggests (copilot mode)</w:t>
      </w:r>
      <w:r>
        <w:t xml:space="preserve"> </w:t>
      </w:r>
      <w:r>
        <w:t xml:space="preserve">-</w:t>
      </w:r>
      <w:r>
        <w:t xml:space="preserve"> </w:t>
      </w:r>
      <w:r>
        <w:rPr>
          <w:bCs/>
          <w:b/>
        </w:rPr>
        <w:t xml:space="preserve">L1:</w:t>
      </w:r>
      <w:r>
        <w:t xml:space="preserve"> </w:t>
      </w:r>
      <w:r>
        <w:t xml:space="preserve">AI executes, human reviews before action</w:t>
      </w:r>
      <w:r>
        <w:t xml:space="preserve"> </w:t>
      </w:r>
      <w:r>
        <w:t xml:space="preserve">-</w:t>
      </w:r>
      <w:r>
        <w:t xml:space="preserve"> </w:t>
      </w:r>
      <w:r>
        <w:rPr>
          <w:bCs/>
          <w:b/>
        </w:rPr>
        <w:t xml:space="preserve">L2:</w:t>
      </w:r>
      <w:r>
        <w:t xml:space="preserve"> </w:t>
      </w:r>
      <w:r>
        <w:t xml:space="preserve">AI executes, human reviews after action</w:t>
      </w:r>
      <w:r>
        <w:t xml:space="preserve"> </w:t>
      </w:r>
      <w:r>
        <w:t xml:space="preserve">-</w:t>
      </w:r>
      <w:r>
        <w:t xml:space="preserve"> </w:t>
      </w:r>
      <w:r>
        <w:rPr>
          <w:bCs/>
          <w:b/>
        </w:rPr>
        <w:t xml:space="preserve">L3:</w:t>
      </w:r>
      <w:r>
        <w:t xml:space="preserve"> </w:t>
      </w:r>
      <w:r>
        <w:t xml:space="preserve">AI executes autonomously, human available for escalation</w:t>
      </w:r>
      <w:r>
        <w:t xml:space="preserve"> </w:t>
      </w:r>
      <w:r>
        <w:t xml:space="preserve">-</w:t>
      </w:r>
      <w:r>
        <w:t xml:space="preserve"> </w:t>
      </w:r>
      <w:r>
        <w:rPr>
          <w:bCs/>
          <w:b/>
        </w:rPr>
        <w:t xml:space="preserve">L4:</w:t>
      </w:r>
      <w:r>
        <w:t xml:space="preserve"> </w:t>
      </w:r>
      <w:r>
        <w:t xml:space="preserve">Fully autonomous, human only for exceptions</w:t>
      </w:r>
    </w:p>
    <w:p>
      <w:pPr>
        <w:pStyle w:val="BodyText"/>
      </w:pPr>
      <w:r>
        <w:t xml:space="preserve">Higher autonomy = higher governance requirements = higher willingness to pay for governance.</w:t>
      </w:r>
    </w:p>
    <w:p>
      <w:pPr>
        <w:pStyle w:val="BodyText"/>
      </w:pPr>
      <w:r>
        <w:rPr>
          <w:bCs/>
          <w:b/>
        </w:rPr>
        <w:t xml:space="preserve">What justifies a governance premium:</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Capability</w:t>
            </w:r>
          </w:p>
        </w:tc>
        <w:tc>
          <w:tcPr/>
          <w:p>
            <w:pPr>
              <w:pStyle w:val="Compact"/>
              <w:jc w:val="left"/>
            </w:pPr>
            <w:r>
              <w:t xml:space="preserve">Premium</w:t>
            </w:r>
          </w:p>
        </w:tc>
      </w:tr>
      <w:tr>
        <w:tc>
          <w:tcPr/>
          <w:p>
            <w:pPr>
              <w:pStyle w:val="Compact"/>
              <w:jc w:val="left"/>
            </w:pPr>
            <w:r>
              <w:t xml:space="preserve">Automated compliance testing</w:t>
            </w:r>
          </w:p>
        </w:tc>
        <w:tc>
          <w:tcPr/>
          <w:p>
            <w:pPr>
              <w:pStyle w:val="Compact"/>
              <w:jc w:val="left"/>
            </w:pPr>
            <w:r>
              <w:t xml:space="preserve">Baseline</w:t>
            </w:r>
          </w:p>
        </w:tc>
      </w:tr>
      <w:tr>
        <w:tc>
          <w:tcPr/>
          <w:p>
            <w:pPr>
              <w:pStyle w:val="Compact"/>
              <w:jc w:val="left"/>
            </w:pPr>
            <w:r>
              <w:t xml:space="preserve">Real-time drift monitoring</w:t>
            </w:r>
          </w:p>
        </w:tc>
        <w:tc>
          <w:tcPr/>
          <w:p>
            <w:pPr>
              <w:pStyle w:val="Compact"/>
              <w:jc w:val="left"/>
            </w:pPr>
            <w:r>
              <w:t xml:space="preserve">+20%</w:t>
            </w:r>
          </w:p>
        </w:tc>
      </w:tr>
      <w:tr>
        <w:tc>
          <w:tcPr/>
          <w:p>
            <w:pPr>
              <w:pStyle w:val="Compact"/>
              <w:jc w:val="left"/>
            </w:pPr>
            <w:r>
              <w:t xml:space="preserve">Cross-system audit trails</w:t>
            </w:r>
          </w:p>
        </w:tc>
        <w:tc>
          <w:tcPr/>
          <w:p>
            <w:pPr>
              <w:pStyle w:val="Compact"/>
              <w:jc w:val="left"/>
            </w:pPr>
            <w:r>
              <w:t xml:space="preserve">+30%</w:t>
            </w:r>
          </w:p>
        </w:tc>
      </w:tr>
      <w:tr>
        <w:tc>
          <w:tcPr/>
          <w:p>
            <w:pPr>
              <w:pStyle w:val="Compact"/>
              <w:jc w:val="left"/>
            </w:pPr>
            <w:r>
              <w:t xml:space="preserve">Human-in-the-loop orchestration</w:t>
            </w:r>
          </w:p>
        </w:tc>
        <w:tc>
          <w:tcPr/>
          <w:p>
            <w:pPr>
              <w:pStyle w:val="Compact"/>
              <w:jc w:val="left"/>
            </w:pPr>
            <w:r>
              <w:t xml:space="preserve">+40%</w:t>
            </w:r>
          </w:p>
        </w:tc>
      </w:tr>
      <w:tr>
        <w:tc>
          <w:tcPr/>
          <w:p>
            <w:pPr>
              <w:pStyle w:val="Compact"/>
              <w:jc w:val="left"/>
            </w:pPr>
            <w:r>
              <w:t xml:space="preserve">Regulatory attestation (SOX, GDPR, AI Act)</w:t>
            </w:r>
          </w:p>
        </w:tc>
        <w:tc>
          <w:tcPr/>
          <w:p>
            <w:pPr>
              <w:pStyle w:val="Compact"/>
              <w:jc w:val="left"/>
            </w:pPr>
            <w:r>
              <w:t xml:space="preserve">+50%</w:t>
            </w:r>
          </w:p>
        </w:tc>
      </w:tr>
      <w:tr>
        <w:tc>
          <w:tcPr/>
          <w:p>
            <w:pPr>
              <w:pStyle w:val="Compact"/>
              <w:jc w:val="left"/>
            </w:pPr>
            <w:r>
              <w:t xml:space="preserve">Autonomous incident response</w:t>
            </w:r>
          </w:p>
        </w:tc>
        <w:tc>
          <w:tcPr/>
          <w:p>
            <w:pPr>
              <w:pStyle w:val="Compact"/>
              <w:jc w:val="left"/>
            </w:pPr>
            <w:r>
              <w:t xml:space="preserve">+60%</w:t>
            </w:r>
          </w:p>
        </w:tc>
      </w:tr>
    </w:tbl>
    <w:bookmarkEnd w:id="65"/>
    <w:bookmarkStart w:id="66" w:name="the-csoaimeok-opportunity"/>
    <w:p>
      <w:pPr>
        <w:pStyle w:val="Heading3"/>
      </w:pPr>
      <w:r>
        <w:t xml:space="preserve">5.5 The CSOAI/MEOK Opportunity</w:t>
      </w:r>
    </w:p>
    <w:p>
      <w:pPr>
        <w:pStyle w:val="FirstParagraph"/>
      </w:pPr>
      <w:r>
        <w:rPr>
          <w:bCs/>
          <w:b/>
        </w:rPr>
        <w:t xml:space="preserve">The thesis:</w:t>
      </w:r>
      <w:r>
        <w:t xml:space="preserve"> </w:t>
      </w:r>
      <w:r>
        <w:t xml:space="preserve">If intelligence becomes the product and agents become the workforce,</w:t>
      </w:r>
      <w:r>
        <w:t xml:space="preserve"> </w:t>
      </w:r>
      <w:r>
        <w:rPr>
          <w:bCs/>
          <w:b/>
        </w:rPr>
        <w:t xml:space="preserve">governance becomes the infrastructure.</w:t>
      </w:r>
      <w:r>
        <w:t xml:space="preserve"> </w:t>
      </w:r>
      <w:r>
        <w:t xml:space="preserve">Just as AWS provided compute infrastructure for SaaS, CSOAI/MEOK can provide governance infrastructure for AaaS.</w:t>
      </w:r>
    </w:p>
    <w:p>
      <w:pPr>
        <w:pStyle w:val="BodyText"/>
      </w:pPr>
      <w:r>
        <w:rPr>
          <w:bCs/>
          <w:b/>
        </w:rPr>
        <w:t xml:space="preserve">Key structural advantages:</w:t>
      </w:r>
    </w:p>
    <w:p>
      <w:pPr>
        <w:numPr>
          <w:ilvl w:val="0"/>
          <w:numId w:val="1008"/>
        </w:numPr>
        <w:pStyle w:val="Compact"/>
      </w:pPr>
      <w:r>
        <w:rPr>
          <w:bCs/>
          <w:b/>
        </w:rPr>
        <w:t xml:space="preserve">Every agent needs governance</w:t>
      </w:r>
      <w:r>
        <w:t xml:space="preserve"> </w:t>
      </w:r>
      <w:r>
        <w:t xml:space="preserve">— it’s not optional in regulated industries</w:t>
      </w:r>
    </w:p>
    <w:p>
      <w:pPr>
        <w:numPr>
          <w:ilvl w:val="0"/>
          <w:numId w:val="1008"/>
        </w:numPr>
        <w:pStyle w:val="Compact"/>
      </w:pPr>
      <w:r>
        <w:rPr>
          <w:bCs/>
          <w:b/>
        </w:rPr>
        <w:t xml:space="preserve">Governance can’t be afterthought</w:t>
      </w:r>
      <w:r>
        <w:t xml:space="preserve"> </w:t>
      </w:r>
      <w:r>
        <w:t xml:space="preserve">— must be built into agent architecture from day one</w:t>
      </w:r>
    </w:p>
    <w:p>
      <w:pPr>
        <w:numPr>
          <w:ilvl w:val="0"/>
          <w:numId w:val="1008"/>
        </w:numPr>
        <w:pStyle w:val="Compact"/>
      </w:pPr>
      <w:r>
        <w:rPr>
          <w:bCs/>
          <w:b/>
        </w:rPr>
        <w:t xml:space="preserve">Cross-system by design</w:t>
      </w:r>
      <w:r>
        <w:t xml:space="preserve"> </w:t>
      </w:r>
      <w:r>
        <w:t xml:space="preserve">— agents span multiple SaaS backends, governance must too</w:t>
      </w:r>
    </w:p>
    <w:p>
      <w:pPr>
        <w:numPr>
          <w:ilvl w:val="0"/>
          <w:numId w:val="1008"/>
        </w:numPr>
        <w:pStyle w:val="Compact"/>
      </w:pPr>
      <w:r>
        <w:rPr>
          <w:bCs/>
          <w:b/>
        </w:rPr>
        <w:t xml:space="preserve">Regulation is compounding</w:t>
      </w:r>
      <w:r>
        <w:t xml:space="preserve"> </w:t>
      </w:r>
      <w:r>
        <w:t xml:space="preserve">— EU AI Act, US Treasury AI consultation, sector-specific rules</w:t>
      </w:r>
    </w:p>
    <w:p>
      <w:pPr>
        <w:numPr>
          <w:ilvl w:val="0"/>
          <w:numId w:val="1008"/>
        </w:numPr>
        <w:pStyle w:val="Compact"/>
      </w:pPr>
      <w:r>
        <w:rPr>
          <w:bCs/>
          <w:b/>
        </w:rPr>
        <w:t xml:space="preserve">Trust is the scarce resource</w:t>
      </w:r>
      <w:r>
        <w:t xml:space="preserve"> </w:t>
      </w:r>
      <w:r>
        <w:t xml:space="preserve">— in an agent-native world, trust is the bottleneck to adoption</w:t>
      </w:r>
    </w:p>
    <w:p>
      <w:pPr>
        <w:pStyle w:val="FirstParagraph"/>
      </w:pPr>
      <w:r>
        <w:rPr>
          <w:bCs/>
          <w:b/>
        </w:rPr>
        <w:t xml:space="preserve">The competitive moat:</w:t>
      </w:r>
      <w:r>
        <w:t xml:space="preserve"> </w:t>
      </w:r>
      <w:r>
        <w:t xml:space="preserve">&gt;</w:t>
      </w:r>
      <w:r>
        <w:t xml:space="preserve"> </w:t>
      </w:r>
      <w:r>
        <w:rPr>
          <w:bCs/>
          <w:b/>
        </w:rPr>
        <w:t xml:space="preserve">“</w:t>
      </w:r>
      <w:r>
        <w:rPr>
          <w:bCs/>
          <w:b/>
        </w:rPr>
        <w:t xml:space="preserve">Proprietary data is the new moat. In a world of commoditised foundation models, the only durable source of advantage is interaction data that cannot be scraped, licensed, or synthesised. AI-native financial infra captures this data natively, from inside the workflow — exactly where legacy vendors cannot reach.</w:t>
      </w:r>
      <w:r>
        <w:rPr>
          <w:bCs/>
          <w:b/>
        </w:rPr>
        <w:t xml:space="preserve">”</w:t>
      </w:r>
      <w:r>
        <w:t xml:space="preserve"> </w:t>
      </w:r>
      <w:r>
        <w:t xml:space="preserve">&gt; — Anthemis thesis on AI-native financial infrastructure</w:t>
      </w:r>
    </w:p>
    <w:p>
      <w:pPr>
        <w:pStyle w:val="BodyText"/>
      </w:pPr>
      <w:r>
        <w:t xml:space="preserve">Applied to governance: The governance layer that captures agent interaction data, compliance patterns, and audit trails from inside the workflow builds the most durable moat — because this data cannot be scraped or replicated.</w:t>
      </w:r>
    </w:p>
    <w:p>
      <w:pPr>
        <w:pStyle w:val="BodyText"/>
      </w:pPr>
      <w:r>
        <w:rPr>
          <w:bCs/>
          <w:b/>
        </w:rPr>
        <w:t xml:space="preserve">The TAM:</w:t>
      </w:r>
      <w:r>
        <w:t xml:space="preserve"> </w:t>
      </w:r>
      <w:r>
        <w:t xml:space="preserve">- AI-as-a-Service market: $17B (2025) → $230B+ (2034)</w:t>
      </w:r>
      <w:r>
        <w:t xml:space="preserve"> </w:t>
      </w:r>
      <w:r>
        <w:t xml:space="preserve">- Enterprise application software: ~$450B agent-driven revenue by 2035 (Gartner)</w:t>
      </w:r>
      <w:r>
        <w:t xml:space="preserve"> </w:t>
      </w:r>
      <w:r>
        <w:t xml:space="preserve">- Governance as % of AI spend: If 5-10% of AI spend goes to governance/compliance/audit →</w:t>
      </w:r>
      <w:r>
        <w:t xml:space="preserve"> </w:t>
      </w:r>
      <w:r>
        <w:rPr>
          <w:bCs/>
          <w:b/>
        </w:rPr>
        <w:t xml:space="preserve">$10-45B TAM by 2035</w:t>
      </w:r>
    </w:p>
    <w:p>
      <w:r>
        <w:pict>
          <v:rect style="width:0;height:1.5pt" o:hralign="center" o:hrstd="t" o:hr="t"/>
        </w:pict>
      </w:r>
    </w:p>
    <w:bookmarkEnd w:id="66"/>
    <w:bookmarkEnd w:id="67"/>
    <w:bookmarkStart w:id="71" w:name="appendix-key-statistics-summary"/>
    <w:p>
      <w:pPr>
        <w:pStyle w:val="Heading2"/>
      </w:pPr>
      <w:r>
        <w:t xml:space="preserve">APPENDIX: KEY STATISTICS SUMMARY</w:t>
      </w:r>
    </w:p>
    <w:bookmarkStart w:id="68" w:name="market-size-projections"/>
    <w:p>
      <w:pPr>
        <w:pStyle w:val="Heading3"/>
      </w:pPr>
      <w:r>
        <w:t xml:space="preserve">Market Size Projections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Market</w:t>
            </w:r>
          </w:p>
        </w:tc>
        <w:tc>
          <w:tcPr/>
          <w:p>
            <w:pPr>
              <w:pStyle w:val="Compact"/>
              <w:jc w:val="left"/>
            </w:pPr>
            <w:r>
              <w:t xml:space="preserve">2025</w:t>
            </w:r>
          </w:p>
        </w:tc>
        <w:tc>
          <w:tcPr/>
          <w:p>
            <w:pPr>
              <w:pStyle w:val="Compact"/>
              <w:jc w:val="left"/>
            </w:pPr>
            <w:r>
              <w:t xml:space="preserve">2030</w:t>
            </w:r>
          </w:p>
        </w:tc>
        <w:tc>
          <w:tcPr/>
          <w:p>
            <w:pPr>
              <w:pStyle w:val="Compact"/>
              <w:jc w:val="left"/>
            </w:pPr>
            <w:r>
              <w:t xml:space="preserve">2034/35</w:t>
            </w:r>
          </w:p>
        </w:tc>
      </w:tr>
      <w:tr>
        <w:tc>
          <w:tcPr/>
          <w:p>
            <w:pPr>
              <w:pStyle w:val="Compact"/>
              <w:jc w:val="left"/>
            </w:pPr>
            <w:r>
              <w:t xml:space="preserve">SaaS</w:t>
            </w:r>
          </w:p>
        </w:tc>
        <w:tc>
          <w:tcPr/>
          <w:p>
            <w:pPr>
              <w:pStyle w:val="Compact"/>
              <w:jc w:val="left"/>
            </w:pPr>
            <w:r>
              <w:t xml:space="preserve">$315.7B</w:t>
            </w:r>
          </w:p>
        </w:tc>
        <w:tc>
          <w:tcPr/>
          <w:p>
            <w:pPr>
              <w:pStyle w:val="Compact"/>
              <w:jc w:val="left"/>
            </w:pPr>
            <w:r>
              <w:t xml:space="preserve">—</w:t>
            </w:r>
          </w:p>
        </w:tc>
        <w:tc>
          <w:tcPr/>
          <w:p>
            <w:pPr>
              <w:pStyle w:val="Compact"/>
              <w:jc w:val="left"/>
            </w:pPr>
            <w:r>
              <w:t xml:space="preserve">$1.22T (2032)</w:t>
            </w:r>
          </w:p>
        </w:tc>
      </w:tr>
      <w:tr>
        <w:tc>
          <w:tcPr/>
          <w:p>
            <w:pPr>
              <w:pStyle w:val="Compact"/>
              <w:jc w:val="left"/>
            </w:pPr>
            <w:r>
              <w:t xml:space="preserve">AaaS</w:t>
            </w:r>
          </w:p>
        </w:tc>
        <w:tc>
          <w:tcPr/>
          <w:p>
            <w:pPr>
              <w:pStyle w:val="Compact"/>
              <w:jc w:val="left"/>
            </w:pPr>
            <w:r>
              <w:t xml:space="preserve">$5.1B</w:t>
            </w:r>
          </w:p>
        </w:tc>
        <w:tc>
          <w:tcPr/>
          <w:p>
            <w:pPr>
              <w:pStyle w:val="Compact"/>
              <w:jc w:val="left"/>
            </w:pPr>
            <w:r>
              <w:t xml:space="preserve">$47.1B</w:t>
            </w:r>
          </w:p>
        </w:tc>
        <w:tc>
          <w:tcPr/>
          <w:p>
            <w:pPr>
              <w:pStyle w:val="Compact"/>
              <w:jc w:val="left"/>
            </w:pPr>
            <w:r>
              <w:t xml:space="preserve">—</w:t>
            </w:r>
          </w:p>
        </w:tc>
      </w:tr>
      <w:tr>
        <w:tc>
          <w:tcPr/>
          <w:p>
            <w:pPr>
              <w:pStyle w:val="Compact"/>
              <w:jc w:val="left"/>
            </w:pPr>
            <w:r>
              <w:t xml:space="preserve">AIaaS/IaaS</w:t>
            </w:r>
          </w:p>
        </w:tc>
        <w:tc>
          <w:tcPr/>
          <w:p>
            <w:pPr>
              <w:pStyle w:val="Compact"/>
              <w:jc w:val="left"/>
            </w:pPr>
            <w:r>
              <w:t xml:space="preserve">$17B</w:t>
            </w:r>
          </w:p>
        </w:tc>
        <w:tc>
          <w:tcPr/>
          <w:p>
            <w:pPr>
              <w:pStyle w:val="Compact"/>
              <w:jc w:val="left"/>
            </w:pPr>
            <w:r>
              <w:t xml:space="preserve">—</w:t>
            </w:r>
          </w:p>
        </w:tc>
        <w:tc>
          <w:tcPr/>
          <w:p>
            <w:pPr>
              <w:pStyle w:val="Compact"/>
              <w:jc w:val="left"/>
            </w:pPr>
            <w:r>
              <w:t xml:space="preserve">$230B+</w:t>
            </w:r>
          </w:p>
        </w:tc>
      </w:tr>
      <w:tr>
        <w:tc>
          <w:tcPr/>
          <w:p>
            <w:pPr>
              <w:pStyle w:val="Compact"/>
              <w:jc w:val="left"/>
            </w:pPr>
            <w:r>
              <w:t xml:space="preserve">Agentic AI (enterprise apps)</w:t>
            </w:r>
          </w:p>
        </w:tc>
        <w:tc>
          <w:tcPr/>
          <w:p>
            <w:pPr>
              <w:pStyle w:val="Compact"/>
              <w:jc w:val="left"/>
            </w:pPr>
            <w:r>
              <w:t xml:space="preserve">2% of revenue</w:t>
            </w:r>
          </w:p>
        </w:tc>
        <w:tc>
          <w:tcPr/>
          <w:p>
            <w:pPr>
              <w:pStyle w:val="Compact"/>
              <w:jc w:val="left"/>
            </w:pPr>
            <w:r>
              <w:t xml:space="preserve">—</w:t>
            </w:r>
          </w:p>
        </w:tc>
        <w:tc>
          <w:tcPr/>
          <w:p>
            <w:pPr>
              <w:pStyle w:val="Compact"/>
              <w:jc w:val="left"/>
            </w:pPr>
            <w:r>
              <w:t xml:space="preserve">30% / $450B</w:t>
            </w:r>
          </w:p>
        </w:tc>
      </w:tr>
    </w:tbl>
    <w:bookmarkEnd w:id="68"/>
    <w:bookmarkStart w:id="69" w:name="adoption-metrics"/>
    <w:p>
      <w:pPr>
        <w:pStyle w:val="Heading3"/>
      </w:pPr>
      <w:r>
        <w:t xml:space="preserve">Adoption Metrics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Organizations using AI in at least one function</w:t>
            </w:r>
          </w:p>
        </w:tc>
        <w:tc>
          <w:tcPr/>
          <w:p>
            <w:pPr>
              <w:pStyle w:val="Compact"/>
              <w:jc w:val="left"/>
            </w:pPr>
            <w:r>
              <w:t xml:space="preserve">88% (McKinsey)</w:t>
            </w:r>
          </w:p>
        </w:tc>
      </w:tr>
      <w:tr>
        <w:tc>
          <w:tcPr/>
          <w:p>
            <w:pPr>
              <w:pStyle w:val="Compact"/>
              <w:jc w:val="left"/>
            </w:pPr>
            <w:r>
              <w:t xml:space="preserve">Organizations experimenting with agents</w:t>
            </w:r>
          </w:p>
        </w:tc>
        <w:tc>
          <w:tcPr/>
          <w:p>
            <w:pPr>
              <w:pStyle w:val="Compact"/>
              <w:jc w:val="left"/>
            </w:pPr>
            <w:r>
              <w:t xml:space="preserve">62% (McKinsey)</w:t>
            </w:r>
          </w:p>
        </w:tc>
      </w:tr>
      <w:tr>
        <w:tc>
          <w:tcPr/>
          <w:p>
            <w:pPr>
              <w:pStyle w:val="Compact"/>
              <w:jc w:val="left"/>
            </w:pPr>
            <w:r>
              <w:t xml:space="preserve">Organizations scaling agentic systems</w:t>
            </w:r>
          </w:p>
        </w:tc>
        <w:tc>
          <w:tcPr/>
          <w:p>
            <w:pPr>
              <w:pStyle w:val="Compact"/>
              <w:jc w:val="left"/>
            </w:pPr>
            <w:r>
              <w:t xml:space="preserve">23% (McKinsey)</w:t>
            </w:r>
          </w:p>
        </w:tc>
      </w:tr>
      <w:tr>
        <w:tc>
          <w:tcPr/>
          <w:p>
            <w:pPr>
              <w:pStyle w:val="Compact"/>
              <w:jc w:val="left"/>
            </w:pPr>
            <w:r>
              <w:t xml:space="preserve">Enterprises with agents in production</w:t>
            </w:r>
          </w:p>
        </w:tc>
        <w:tc>
          <w:tcPr/>
          <w:p>
            <w:pPr>
              <w:pStyle w:val="Compact"/>
              <w:jc w:val="left"/>
            </w:pPr>
            <w:r>
              <w:t xml:space="preserve">11%</w:t>
            </w:r>
          </w:p>
        </w:tc>
      </w:tr>
      <w:tr>
        <w:tc>
          <w:tcPr/>
          <w:p>
            <w:pPr>
              <w:pStyle w:val="Compact"/>
              <w:jc w:val="left"/>
            </w:pPr>
            <w:r>
              <w:t xml:space="preserve">Average pilot-to-production timeline</w:t>
            </w:r>
          </w:p>
        </w:tc>
        <w:tc>
          <w:tcPr/>
          <w:p>
            <w:pPr>
              <w:pStyle w:val="Compact"/>
              <w:jc w:val="left"/>
            </w:pPr>
            <w:r>
              <w:t xml:space="preserve">6 months</w:t>
            </w:r>
          </w:p>
        </w:tc>
      </w:tr>
      <w:tr>
        <w:tc>
          <w:tcPr/>
          <w:p>
            <w:pPr>
              <w:pStyle w:val="Compact"/>
              <w:jc w:val="left"/>
            </w:pPr>
            <w:r>
              <w:t xml:space="preserve">Average pilot-to-abandonment timeline</w:t>
            </w:r>
          </w:p>
        </w:tc>
        <w:tc>
          <w:tcPr/>
          <w:p>
            <w:pPr>
              <w:pStyle w:val="Compact"/>
              <w:jc w:val="left"/>
            </w:pPr>
            <w:r>
              <w:t xml:space="preserve">18 months</w:t>
            </w:r>
          </w:p>
        </w:tc>
      </w:tr>
      <w:tr>
        <w:tc>
          <w:tcPr/>
          <w:p>
            <w:pPr>
              <w:pStyle w:val="Compact"/>
              <w:jc w:val="left"/>
            </w:pPr>
            <w:r>
              <w:t xml:space="preserve">Enterprises running 10+ agent pilots</w:t>
            </w:r>
          </w:p>
        </w:tc>
        <w:tc>
          <w:tcPr/>
          <w:p>
            <w:pPr>
              <w:pStyle w:val="Compact"/>
              <w:jc w:val="left"/>
            </w:pPr>
            <w:r>
              <w:t xml:space="preserve">34%</w:t>
            </w:r>
          </w:p>
        </w:tc>
      </w:tr>
    </w:tbl>
    <w:bookmarkEnd w:id="69"/>
    <w:bookmarkStart w:id="70" w:name="revenue-impact"/>
    <w:p>
      <w:pPr>
        <w:pStyle w:val="Heading3"/>
      </w:pPr>
      <w:r>
        <w:t xml:space="preserve">Revenue Impact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Company/Product</w:t>
            </w:r>
          </w:p>
        </w:tc>
        <w:tc>
          <w:tcPr/>
          <w:p>
            <w:pPr>
              <w:pStyle w:val="Compact"/>
              <w:jc w:val="left"/>
            </w:pPr>
            <w:r>
              <w:t xml:space="preserve">AI Revenue/Savings</w:t>
            </w:r>
          </w:p>
        </w:tc>
      </w:tr>
      <w:tr>
        <w:tc>
          <w:tcPr/>
          <w:p>
            <w:pPr>
              <w:pStyle w:val="Compact"/>
              <w:jc w:val="left"/>
            </w:pPr>
            <w:r>
              <w:t xml:space="preserve">Salesforce Agentforce</w:t>
            </w:r>
          </w:p>
        </w:tc>
        <w:tc>
          <w:tcPr/>
          <w:p>
            <w:pPr>
              <w:pStyle w:val="Compact"/>
              <w:jc w:val="left"/>
            </w:pPr>
            <w:r>
              <w:t xml:space="preserve">$800M ARR (169% growth)</w:t>
            </w:r>
          </w:p>
        </w:tc>
      </w:tr>
      <w:tr>
        <w:tc>
          <w:tcPr/>
          <w:p>
            <w:pPr>
              <w:pStyle w:val="Compact"/>
              <w:jc w:val="left"/>
            </w:pPr>
            <w:r>
              <w:t xml:space="preserve">Microsoft GitHub Copilot</w:t>
            </w:r>
          </w:p>
        </w:tc>
        <w:tc>
          <w:tcPr/>
          <w:p>
            <w:pPr>
              <w:pStyle w:val="Compact"/>
              <w:jc w:val="left"/>
            </w:pPr>
            <w:r>
              <w:t xml:space="preserve">~$1B ARR (4.7M paid subs)</w:t>
            </w:r>
          </w:p>
        </w:tc>
      </w:tr>
      <w:tr>
        <w:tc>
          <w:tcPr/>
          <w:p>
            <w:pPr>
              <w:pStyle w:val="Compact"/>
              <w:jc w:val="left"/>
            </w:pPr>
            <w:r>
              <w:t xml:space="preserve">Google Gemini Enterprise</w:t>
            </w:r>
          </w:p>
        </w:tc>
        <w:tc>
          <w:tcPr/>
          <w:p>
            <w:pPr>
              <w:pStyle w:val="Compact"/>
              <w:jc w:val="left"/>
            </w:pPr>
            <w:r>
              <w:t xml:space="preserve">8M seats</w:t>
            </w:r>
          </w:p>
        </w:tc>
      </w:tr>
      <w:tr>
        <w:tc>
          <w:tcPr/>
          <w:p>
            <w:pPr>
              <w:pStyle w:val="Compact"/>
              <w:jc w:val="left"/>
            </w:pPr>
            <w:r>
              <w:t xml:space="preserve">Klarna AI savings</w:t>
            </w:r>
          </w:p>
        </w:tc>
        <w:tc>
          <w:tcPr/>
          <w:p>
            <w:pPr>
              <w:pStyle w:val="Compact"/>
              <w:jc w:val="left"/>
            </w:pPr>
            <w:r>
              <w:t xml:space="preserve">$60M/year</w:t>
            </w:r>
          </w:p>
        </w:tc>
      </w:tr>
      <w:tr>
        <w:tc>
          <w:tcPr/>
          <w:p>
            <w:pPr>
              <w:pStyle w:val="Compact"/>
              <w:jc w:val="left"/>
            </w:pPr>
            <w:r>
              <w:t xml:space="preserve">AI code tools market</w:t>
            </w:r>
          </w:p>
        </w:tc>
        <w:tc>
          <w:tcPr/>
          <w:p>
            <w:pPr>
              <w:pStyle w:val="Compact"/>
              <w:jc w:val="left"/>
            </w:pPr>
            <w:r>
              <w:t xml:space="preserve">$4.86B (2023) → $26B (2030)</w:t>
            </w:r>
          </w:p>
        </w:tc>
      </w:tr>
    </w:tbl>
    <w:p>
      <w:r>
        <w:pict>
          <v:rect style="width:0;height:1.5pt" o:hralign="center" o:hrstd="t" o:hr="t"/>
        </w:pict>
      </w:r>
    </w:p>
    <w:p>
      <w:pPr>
        <w:pStyle w:val="FirstParagraph"/>
      </w:pPr>
      <w:r>
        <w:rPr>
          <w:iCs/>
          <w:i/>
        </w:rPr>
        <w:t xml:space="preserve">This report synthesizes 60+ primary sources including company earnings calls, SEC filings (10-K, 10-Q), analyst reports from Gartner/Forrester/McKinsey/Deloitte, industry publications (Stratechery, a16z, CX Today), academic papers, and financial data. All figures sourced and dated where possible.</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2026-06-23T05:20:05Z</dcterms:created>
  <dcterms:modified xsi:type="dcterms:W3CDTF">2026-06-23T05:20:05Z</dcterms:modified>
</cp:coreProperties>
</file>

<file path=docProps/custom.xml><?xml version="1.0" encoding="utf-8"?>
<Properties xmlns="http://schemas.openxmlformats.org/officeDocument/2006/custom-properties" xmlns:vt="http://schemas.openxmlformats.org/officeDocument/2006/docPropsVTypes"/>
</file>