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d0d50bbc5b610fcd87c2c476ba9a58932cc698"/>
    <w:p>
      <w:pPr>
        <w:pStyle w:val="Heading1"/>
      </w:pPr>
      <w:r>
        <w:t xml:space="preserve">CSOAI Digital Resilience Positioning: The DORA Opportunity</w:t>
      </w:r>
    </w:p>
    <w:p>
      <w:pPr>
        <w:pStyle w:val="BlockText"/>
      </w:pPr>
      <w:r>
        <w:rPr>
          <w:bCs/>
          <w:b/>
        </w:rPr>
        <w:t xml:space="preserve">Strategic Positioning for Digital Operational Resilience — Partner Strategy, Compliance Mapping &amp; Go-To-Market Plan</w:t>
      </w:r>
    </w:p>
    <w:p>
      <w:pPr>
        <w:pStyle w:val="BlockText"/>
      </w:pPr>
      <w:r>
        <w:rPr>
          <w:bCs/>
          <w:b/>
        </w:rPr>
        <w:t xml:space="preserve">Research Foundation:</w:t>
      </w:r>
      <w:r>
        <w:t xml:space="preserve"> </w:t>
      </w:r>
      <w:r>
        <w:t xml:space="preserve">60+ searches across 6 dimensions | 10 global regulatory frameworks | 19 CTPPs analyzed</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27" w:name="executive-summary"/>
    <w:p>
      <w:pPr>
        <w:pStyle w:val="Heading1"/>
      </w:pPr>
      <w:r>
        <w:t xml:space="preserve">Executive Summary</w:t>
      </w:r>
    </w:p>
    <w:bookmarkStart w:id="21" w:name="Xfb2495f2be15d50a044753680264c255754b0fa"/>
    <w:p>
      <w:pPr>
        <w:pStyle w:val="Heading2"/>
      </w:pPr>
      <w:r>
        <w:t xml:space="preserve">The Opportunity: AI Governance Meets Digital Operational Resilience</w:t>
      </w:r>
    </w:p>
    <w:p>
      <w:pPr>
        <w:pStyle w:val="FirstParagraph"/>
      </w:pPr>
      <w:r>
        <w:t xml:space="preserve">The Digital Operational Resilience Act (DORA) is now in force. Since 17 January 2025, over 22,000 financial entities across the EU — from global systemically important banks to building societies, payment institutions, and crypto-asset service providers — must maintain ICT risk management frameworks, incident reporting, third-party risk registers, and resilience testing</w:t>
      </w:r>
      <w:r>
        <w:t xml:space="preserve"> </w:t>
      </w:r>
      <w:r>
        <w:rPr>
          <w:vertAlign w:val="superscript"/>
        </w:rPr>
        <w:t xml:space="preserve">1</w:t>
      </w:r>
      <w:r>
        <w:t xml:space="preserve">. The European Supervisory Authorities have designated 19 Critical ICT Third-Party Providers (CTPPs) including AWS, Microsoft, Google Cloud, IBM, Oracle, SAP, Swift, and Bloomberg, placing them under direct oversight</w:t>
      </w:r>
      <w:r>
        <w:t xml:space="preserve"> </w:t>
      </w:r>
      <w:r>
        <w:rPr>
          <w:vertAlign w:val="superscript"/>
        </w:rPr>
        <w:t xml:space="preserve">2</w:t>
      </w:r>
      <w:r>
        <w:t xml:space="preserve">.</w:t>
      </w:r>
    </w:p>
    <w:p>
      <w:pPr>
        <w:pStyle w:val="BodyText"/>
      </w:pPr>
      <w:r>
        <w:t xml:space="preserve">The market is vast: DORA compliance TAM sits between EUR 110 billion and EUR 330 billion, at EUR 5–15 million per entity across 22,000 organisations</w:t>
      </w:r>
      <w:r>
        <w:t xml:space="preserve"> </w:t>
      </w:r>
      <w:r>
        <w:rPr>
          <w:vertAlign w:val="superscript"/>
        </w:rPr>
        <w:t xml:space="preserve">3</w:t>
      </w:r>
      <w:r>
        <w:t xml:space="preserve">. Beneath these figures lies a structural market failure — and the most significant strategic opening for an AI-native governance platform in the current regulatory cycle.</w:t>
      </w:r>
    </w:p>
    <w:bookmarkEnd w:id="21"/>
    <w:bookmarkStart w:id="22" w:name="Xc86e3b522ed836a83b7aa24689de371fda33cf1"/>
    <w:p>
      <w:pPr>
        <w:pStyle w:val="Heading2"/>
      </w:pPr>
      <w:r>
        <w:t xml:space="preserve">Zero Competition at the AI Governance × DORA Intersection</w:t>
      </w:r>
    </w:p>
    <w:p>
      <w:pPr>
        <w:pStyle w:val="FirstParagraph"/>
      </w:pPr>
      <w:r>
        <w:t xml:space="preserve">Every established DORA vendor — OneTrust (14,000+ customers), SAI360, MetricStream, Regnology — operates without integrated AI governance. Every AI governance platform — Holistic AI and emerging entrants — has zero DORA functionality</w:t>
      </w:r>
      <w:r>
        <w:t xml:space="preserve"> </w:t>
      </w:r>
      <w:r>
        <w:rPr>
          <w:vertAlign w:val="superscript"/>
        </w:rPr>
        <w:t xml:space="preserve">4</w:t>
      </w:r>
      <w:r>
        <w:t xml:space="preserve">. This structural segmentation has persisted despite accelerating regulatory convergence.</w:t>
      </w:r>
    </w:p>
    <w:p>
      <w:pPr>
        <w:pStyle w:val="BodyText"/>
      </w:pPr>
      <w:r>
        <w:t xml:space="preserve">That convergence is now law. BaFin’s January 2026 guidance requires AI systems within financial institutions</w:t>
      </w:r>
      <w:r>
        <w:t xml:space="preserve"> </w:t>
      </w:r>
      <w:r>
        <w:rPr>
          <w:bCs/>
          <w:b/>
        </w:rPr>
        <w:t xml:space="preserve">must</w:t>
      </w:r>
      <w:r>
        <w:t xml:space="preserve"> </w:t>
      </w:r>
      <w:r>
        <w:t xml:space="preserve">be embedded within DORA ICT risk management frameworks</w:t>
      </w:r>
      <w:r>
        <w:t xml:space="preserve"> </w:t>
      </w:r>
      <w:r>
        <w:rPr>
          <w:vertAlign w:val="superscript"/>
        </w:rPr>
        <w:t xml:space="preserve">5</w:t>
      </w:r>
      <w:r>
        <w:t xml:space="preserve">. AI models and automated decision systems must be covered by the same incident reporting, testing, and third-party risk protocols as core banking infrastructure. CSOAI is the only platform architecturally capable of satisfying both simultaneously.</w:t>
      </w:r>
    </w:p>
    <w:bookmarkEnd w:id="22"/>
    <w:bookmarkStart w:id="23" w:name="Xebab7eada1feb172e30fa54a27ec558ee26392a"/>
    <w:p>
      <w:pPr>
        <w:pStyle w:val="Heading2"/>
      </w:pPr>
      <w:r>
        <w:t xml:space="preserve">Five Universal Requirements, Ten Global Frameworks</w:t>
      </w:r>
    </w:p>
    <w:p>
      <w:pPr>
        <w:pStyle w:val="FirstParagraph"/>
      </w:pPr>
      <w:r>
        <w:t xml:space="preserve">Analysis of ten major frameworks — DORA, CBEST, TIBER-EU, NIST CSF 2.0, FFIEC, APRA CPS 230, MAS TRM, and BAIT — reveals convergence on five universal requirements: board accountability for ICT risk, threat intelligence, third-party risk management, incident classification and reporting, and regular resilience testing</w:t>
      </w:r>
      <w:r>
        <w:t xml:space="preserve"> </w:t>
      </w:r>
      <w:r>
        <w:rPr>
          <w:vertAlign w:val="superscript"/>
        </w:rPr>
        <w:t xml:space="preserve">6</w:t>
      </w:r>
      <w:r>
        <w:t xml:space="preserve">. These pillars are non-negotiable across every framework.</w:t>
      </w:r>
    </w:p>
    <w:p>
      <w:pPr>
        <w:pStyle w:val="BodyText"/>
      </w:pPr>
      <w:r>
        <w:t xml:space="preserve">CSOAI’s architecture maps to all five. The BFT Council delivers cryptographically verifiable board accountability. The Worm Hive mesh generates continuous threat monitoring. The Pheromone Matrix classifies incidents across DORA’s seven criteria — client impact, duration, data loss, criticality, geographic spread, economic impact, reputational impact — using biological signalling heuristics that correlate directly with regulatory schemas</w:t>
      </w:r>
      <w:r>
        <w:t xml:space="preserve"> </w:t>
      </w:r>
      <w:r>
        <w:rPr>
          <w:vertAlign w:val="superscript"/>
        </w:rPr>
        <w:t xml:space="preserve">7</w:t>
      </w:r>
      <w:r>
        <w:t xml:space="preserve">. MCP server catalogues with cryptographic attestation automate third-party risk documentation. This is architectural alignment, not retrofit.</w:t>
      </w:r>
    </w:p>
    <w:bookmarkEnd w:id="23"/>
    <w:bookmarkStart w:id="24" w:name="the-entry-point-register-of-information"/>
    <w:p>
      <w:pPr>
        <w:pStyle w:val="Heading2"/>
      </w:pPr>
      <w:r>
        <w:t xml:space="preserve">The Entry Point: Register of Information</w:t>
      </w:r>
    </w:p>
    <w:p>
      <w:pPr>
        <w:pStyle w:val="FirstParagraph"/>
      </w:pPr>
      <w:r>
        <w:t xml:space="preserve">The most immediate opportunity is DORA Article 28’s Register of Information (RoI). EBA dry-run data shows 46% of entities identified the RoI as their greatest compliance challenge — only 6.5% passed</w:t>
      </w:r>
      <w:r>
        <w:t xml:space="preserve"> </w:t>
      </w:r>
      <w:r>
        <w:rPr>
          <w:vertAlign w:val="superscript"/>
        </w:rPr>
        <w:t xml:space="preserve">8</w:t>
      </w:r>
      <w:r>
        <w:t xml:space="preserve">. The RoI demands structured documentation of thousands of ICT third-party relationships, contract terms, risk assessments, and dependencies. Legacy GRC tools fail here; CSOAI’s MCP server catalogue automates it. Six quick wins are achievable within 0–30 days, leveraging capabilities with 65% native DORA alignment</w:t>
      </w:r>
      <w:r>
        <w:t xml:space="preserve"> </w:t>
      </w:r>
      <w:r>
        <w:rPr>
          <w:vertAlign w:val="superscript"/>
        </w:rPr>
        <w:t xml:space="preserve">9</w:t>
      </w:r>
      <w:r>
        <w:t xml:space="preserve">.</w:t>
      </w:r>
    </w:p>
    <w:bookmarkEnd w:id="24"/>
    <w:bookmarkStart w:id="25" w:name="Xd3cfe8b02072d379cf278f12037a420398e3cdd"/>
    <w:p>
      <w:pPr>
        <w:pStyle w:val="Heading2"/>
      </w:pPr>
      <w:r>
        <w:t xml:space="preserve">“</w:t>
      </w:r>
      <w:r>
        <w:t xml:space="preserve">Digital Resilience in a Box</w:t>
      </w:r>
      <w:r>
        <w:t xml:space="preserve">”</w:t>
      </w:r>
      <w:r>
        <w:t xml:space="preserve"> </w:t>
      </w:r>
      <w:r>
        <w:t xml:space="preserve">for 2,200+ Underserved Banks</w:t>
      </w:r>
    </w:p>
    <w:p>
      <w:pPr>
        <w:pStyle w:val="FirstParagraph"/>
      </w:pPr>
      <w:r>
        <w:t xml:space="preserve">Tier 1 institutions absorb DORA costs through Big 4 engagements. The underserved segment — 2,200+ smaller banks, LSIs, building societies, and payment institutions — lacks resources for bespoke builds</w:t>
      </w:r>
      <w:r>
        <w:t xml:space="preserve"> </w:t>
      </w:r>
      <w:r>
        <w:rPr>
          <w:vertAlign w:val="superscript"/>
        </w:rPr>
        <w:t xml:space="preserve">10</w:t>
      </w:r>
      <w:r>
        <w:t xml:space="preserve">. A</w:t>
      </w:r>
      <w:r>
        <w:t xml:space="preserve"> </w:t>
      </w:r>
      <w:r>
        <w:t xml:space="preserve">“</w:t>
      </w:r>
      <w:r>
        <w:t xml:space="preserve">Digital Resilience in a Box</w:t>
      </w:r>
      <w:r>
        <w:t xml:space="preserve">”</w:t>
      </w:r>
      <w:r>
        <w:t xml:space="preserve"> </w:t>
      </w:r>
      <w:r>
        <w:t xml:space="preserve">offering at EUR 50,000–250,000 per institution targets a EUR 110 million to EUR 550 million serviceable market.</w:t>
      </w:r>
    </w:p>
    <w:p>
      <w:pPr>
        <w:pStyle w:val="BodyText"/>
      </w:pPr>
      <w:r>
        <w:t xml:space="preserve">The partnership architecture: OneTrust provides the compliance platform and 14,000-customer channel. Deloitte supplies regulatory advisory credibility as the leading DORA consultancy. IBM, as a designated CTPP, offers co-development for joint</w:t>
      </w:r>
      <w:r>
        <w:t xml:space="preserve"> </w:t>
      </w:r>
      <w:r>
        <w:t xml:space="preserve">“</w:t>
      </w:r>
      <w:r>
        <w:t xml:space="preserve">managed resilience</w:t>
      </w:r>
      <w:r>
        <w:t xml:space="preserve">”</w:t>
      </w:r>
      <w:r>
        <w:t xml:space="preserve"> </w:t>
      </w:r>
      <w:r>
        <w:t xml:space="preserve">services</w:t>
      </w:r>
      <w:r>
        <w:t xml:space="preserve"> </w:t>
      </w:r>
      <w:r>
        <w:rPr>
          <w:vertAlign w:val="superscript"/>
        </w:rPr>
        <w:t xml:space="preserve">11</w:t>
      </w:r>
      <w:r>
        <w:t xml:space="preserve">.</w:t>
      </w:r>
    </w:p>
    <w:bookmarkEnd w:id="25"/>
    <w:bookmarkStart w:id="26" w:name="the-30-60-90-day-action-plan"/>
    <w:p>
      <w:pPr>
        <w:pStyle w:val="Heading2"/>
      </w:pPr>
      <w:r>
        <w:t xml:space="preserve">The 30-60-90 Day Action Plan</w:t>
      </w:r>
    </w:p>
    <w:p>
      <w:pPr>
        <w:pStyle w:val="FirstParagraph"/>
      </w:pPr>
      <w:r>
        <w:rPr>
          <w:bCs/>
          <w:b/>
        </w:rPr>
        <w:t xml:space="preserve">Days 1–30</w:t>
      </w:r>
      <w:r>
        <w:t xml:space="preserve">: close the RoI automation quick win; initiate Deloitte/OneTrust partnerships.</w:t>
      </w:r>
      <w:r>
        <w:t xml:space="preserve"> </w:t>
      </w:r>
      <w:r>
        <w:rPr>
          <w:bCs/>
          <w:b/>
        </w:rPr>
        <w:t xml:space="preserve">Days 31–60</w:t>
      </w:r>
      <w:r>
        <w:t xml:space="preserve">: launch pilot with two regional bank candidates.</w:t>
      </w:r>
      <w:r>
        <w:t xml:space="preserve"> </w:t>
      </w:r>
      <w:r>
        <w:rPr>
          <w:bCs/>
          <w:b/>
        </w:rPr>
        <w:t xml:space="preserve">Days 61–90</w:t>
      </w:r>
      <w:r>
        <w:t xml:space="preserve">: execute the AI Governance + DORA convergence campaign; open CTPP talks with IBM and Accenture.</w:t>
      </w:r>
    </w:p>
    <w:p>
      <w:pPr>
        <w:pStyle w:val="BodyText"/>
      </w:pPr>
      <w:r>
        <w:t xml:space="preserve">DORA compliance is a permanent operating condition. The entities that establish platform relationships in 2025 will define the vendor landscape for a decade. CSOAI’s position at the AI governance–digital resilience intersection, validated by converging regulatory mandates and unchallenged by any competitor, represents a generational market entry opportunity.</w:t>
      </w:r>
    </w:p>
    <w:p>
      <w:r>
        <w:pict>
          <v:rect style="width:0;height:1.5pt" o:hralign="center" o:hrstd="t" o:hr="t"/>
        </w:pict>
      </w:r>
    </w:p>
    <w:p>
      <w:pPr>
        <w:pStyle w:val="FirstParagraph"/>
      </w:pPr>
      <w:r>
        <w:rPr>
          <w:bCs/>
          <w:b/>
        </w:rPr>
        <w:t xml:space="preserve">References</w:t>
      </w:r>
    </w:p>
    <w:p>
      <w:pPr>
        <w:pStyle w:val="BodyText"/>
      </w:pPr>
      <w:r>
        <w:rPr>
          <w:vertAlign w:val="superscript"/>
        </w:rPr>
        <w:t xml:space="preserve">1</w:t>
      </w:r>
      <w:r>
        <w:t xml:space="preserve">: Regulation (EU) 2022/2554 (DORA), Articles 2 and 4 (17 January 2025). ESA estimates 22,000+ entities.</w:t>
      </w:r>
    </w:p>
    <w:p>
      <w:pPr>
        <w:pStyle w:val="BodyText"/>
      </w:pPr>
      <w:r>
        <w:rPr>
          <w:vertAlign w:val="superscript"/>
        </w:rPr>
        <w:t xml:space="preserve">2</w:t>
      </w:r>
      <w:r>
        <w:t xml:space="preserve">: ESA Joint Committee, CTPP designation list 2024–2025.</w:t>
      </w:r>
    </w:p>
    <w:p>
      <w:pPr>
        <w:pStyle w:val="BodyText"/>
      </w:pPr>
      <w:r>
        <w:rPr>
          <w:vertAlign w:val="superscript"/>
        </w:rPr>
        <w:t xml:space="preserve">3</w:t>
      </w:r>
      <w:r>
        <w:t xml:space="preserve">: TAM: 22,000 × EUR 5M = EUR 110B; × EUR 15M = EUR 330B. Forrester, Celent, Big 4 estimates.</w:t>
      </w:r>
    </w:p>
    <w:p>
      <w:pPr>
        <w:pStyle w:val="BodyText"/>
      </w:pPr>
      <w:r>
        <w:rPr>
          <w:vertAlign w:val="superscript"/>
        </w:rPr>
        <w:t xml:space="preserve">4</w:t>
      </w:r>
      <w:r>
        <w:t xml:space="preserve">: Competitive analysis (Dims 01, 04). OneTrust and Holistic AI product docs, January 2025.</w:t>
      </w:r>
    </w:p>
    <w:p>
      <w:pPr>
        <w:pStyle w:val="BodyText"/>
      </w:pPr>
      <w:r>
        <w:rPr>
          <w:vertAlign w:val="superscript"/>
        </w:rPr>
        <w:t xml:space="preserve">5</w:t>
      </w:r>
      <w:r>
        <w:t xml:space="preserve">: BaFin,</w:t>
      </w:r>
      <w:r>
        <w:t xml:space="preserve"> </w:t>
      </w:r>
      <w:r>
        <w:t xml:space="preserve">“</w:t>
      </w:r>
      <w:r>
        <w:t xml:space="preserve">Guidance on Supervision of AI Systems,</w:t>
      </w:r>
      <w:r>
        <w:t xml:space="preserve">”</w:t>
      </w:r>
      <w:r>
        <w:t xml:space="preserve"> </w:t>
      </w:r>
      <w:r>
        <w:t xml:space="preserve">January 2026, Section 3.2.</w:t>
      </w:r>
    </w:p>
    <w:p>
      <w:pPr>
        <w:pStyle w:val="BodyText"/>
      </w:pPr>
      <w:r>
        <w:rPr>
          <w:vertAlign w:val="superscript"/>
        </w:rPr>
        <w:t xml:space="preserve">6</w:t>
      </w:r>
      <w:r>
        <w:t xml:space="preserve">: Cross-framework analysis (Dim 03). See Section 4.3.</w:t>
      </w:r>
    </w:p>
    <w:p>
      <w:pPr>
        <w:pStyle w:val="BodyText"/>
      </w:pPr>
      <w:r>
        <w:rPr>
          <w:vertAlign w:val="superscript"/>
        </w:rPr>
        <w:t xml:space="preserve">7</w:t>
      </w:r>
      <w:r>
        <w:t xml:space="preserve">: Pheromone-to-DORA mapping. See Section 4.3.</w:t>
      </w:r>
    </w:p>
    <w:p>
      <w:pPr>
        <w:pStyle w:val="BodyText"/>
      </w:pPr>
      <w:r>
        <w:rPr>
          <w:vertAlign w:val="superscript"/>
        </w:rPr>
        <w:t xml:space="preserve">8</w:t>
      </w:r>
      <w:r>
        <w:t xml:space="preserve">: EBA,</w:t>
      </w:r>
      <w:r>
        <w:t xml:space="preserve"> </w:t>
      </w:r>
      <w:r>
        <w:t xml:space="preserve">“</w:t>
      </w:r>
      <w:r>
        <w:t xml:space="preserve">DORA RoI Dry-Run Results,</w:t>
      </w:r>
      <w:r>
        <w:t xml:space="preserve">”</w:t>
      </w:r>
      <w:r>
        <w:t xml:space="preserve"> </w:t>
      </w:r>
      <w:r>
        <w:t xml:space="preserve">2024. 46% top challenge; 6.5% pass rate (n=1,200+).</w:t>
      </w:r>
    </w:p>
    <w:p>
      <w:pPr>
        <w:pStyle w:val="BodyText"/>
      </w:pPr>
      <w:r>
        <w:rPr>
          <w:vertAlign w:val="superscript"/>
        </w:rPr>
        <w:t xml:space="preserve">9</w:t>
      </w:r>
      <w:r>
        <w:t xml:space="preserve">: CSOAI alignment (Dim 05): 65% native. See Section 6.2.</w:t>
      </w:r>
    </w:p>
    <w:p>
      <w:pPr>
        <w:pStyle w:val="BodyText"/>
      </w:pPr>
      <w:r>
        <w:rPr>
          <w:vertAlign w:val="superscript"/>
        </w:rPr>
        <w:t xml:space="preserve">10</w:t>
      </w:r>
      <w:r>
        <w:t xml:space="preserve">: ECB Supervisory Banking Statistics; 2,200+ LSIs across EU27 + EEA.</w:t>
      </w:r>
    </w:p>
    <w:p>
      <w:pPr>
        <w:pStyle w:val="BodyText"/>
      </w:pPr>
      <w:r>
        <w:rPr>
          <w:vertAlign w:val="superscript"/>
        </w:rPr>
        <w:t xml:space="preserve">11</w:t>
      </w:r>
      <w:r>
        <w:t xml:space="preserve">: Partnership assessment (Dim 06): OneTrust (14,000+ customers); Deloitte (DORA leader); IBM (CTPP).</w:t>
      </w:r>
    </w:p>
    <w:p>
      <w:r>
        <w:pict>
          <v:rect style="width:0;height:1.5pt" o:hralign="center" o:hrstd="t" o:hr="t"/>
        </w:pict>
      </w:r>
    </w:p>
    <w:bookmarkEnd w:id="26"/>
    <w:bookmarkEnd w:id="27"/>
    <w:bookmarkStart w:id="98" w:name="X9035e3b12b38ce2c57e1471186e9e4ba8e94d0a"/>
    <w:p>
      <w:pPr>
        <w:pStyle w:val="Heading1"/>
      </w:pPr>
      <w:r>
        <w:t xml:space="preserve">1. What Banks Require — The DORA Compliance Landscape</w:t>
      </w:r>
    </w:p>
    <w:p>
      <w:pPr>
        <w:pStyle w:val="FirstParagraph"/>
      </w:pPr>
      <w:r>
        <w:t xml:space="preserve">On 17 January 2025, the European Union’s financial sector crossed a regulatory inflection point. Regulation (EU) 2022/2554 — the Digital Operational Resilience Act (DORA) — became fully applicable across all 27 Member States, transforming ICT risk from a technical sub-discipline into a board-level, systemic stability mandate enforceable by law</w:t>
      </w:r>
      <w:r>
        <w:t xml:space="preserve"> </w:t>
      </w:r>
      <w:r>
        <w:rPr>
          <w:vertAlign w:val="superscript"/>
        </w:rPr>
        <w:t xml:space="preserve">12</w:t>
      </w:r>
      <w:r>
        <w:t xml:space="preserve"> </w:t>
      </w:r>
      <w:r>
        <w:rPr>
          <w:vertAlign w:val="superscript"/>
        </w:rPr>
        <w:t xml:space="preserve">13</w:t>
      </w:r>
      <w:r>
        <w:t xml:space="preserve"> </w:t>
      </w:r>
      <w:r>
        <w:rPr>
          <w:vertAlign w:val="superscript"/>
        </w:rPr>
        <w:t xml:space="preserve">14</w:t>
      </w:r>
      <w:r>
        <w:t xml:space="preserve">. Unlike a directive requiring national transposition, DORA is an EU Regulation: it applies with identical legal force in every Member State, creating a single operational resilience standard for more than 20,000 financial entities</w:t>
      </w:r>
      <w:r>
        <w:t xml:space="preserve"> </w:t>
      </w:r>
      <w:r>
        <w:rPr>
          <w:vertAlign w:val="superscript"/>
        </w:rPr>
        <w:t xml:space="preserve">15</w:t>
      </w:r>
      <w:r>
        <w:t xml:space="preserve">.</w:t>
      </w:r>
    </w:p>
    <w:p>
      <w:pPr>
        <w:pStyle w:val="BodyText"/>
      </w:pPr>
      <w:r>
        <w:t xml:space="preserve">The scope is deliberately expansive. Article 2 captures 21 categories of financial entities — credit institutions, payment institutions, investment firms, crypto-asset service providers, central counterparties, insurance undertakings, asset managers, and the ICT third-party providers that serve them</w:t>
      </w:r>
      <w:r>
        <w:t xml:space="preserve"> </w:t>
      </w:r>
      <w:r>
        <w:rPr>
          <w:vertAlign w:val="superscript"/>
        </w:rPr>
        <w:t xml:space="preserve">16</w:t>
      </w:r>
      <w:r>
        <w:t xml:space="preserve"> </w:t>
      </w:r>
      <w:r>
        <w:rPr>
          <w:vertAlign w:val="superscript"/>
        </w:rPr>
        <w:t xml:space="preserve">17</w:t>
      </w:r>
      <w:r>
        <w:t xml:space="preserve">. For banks, DORA demands a fundamental re-architecture of how institutions govern technology risk, report incidents, test their defences, manage vendor relationships, and share threat intelligence. The management body bears ultimate, non-delegable responsibility — a phrase that now appears in board packs across the continent with sobering regularity</w:t>
      </w:r>
      <w:r>
        <w:t xml:space="preserve"> </w:t>
      </w:r>
      <w:r>
        <w:rPr>
          <w:vertAlign w:val="superscript"/>
        </w:rPr>
        <w:t xml:space="preserve">18</w:t>
      </w:r>
      <w:r>
        <w:t xml:space="preserve">.</w:t>
      </w:r>
    </w:p>
    <w:p>
      <w:pPr>
        <w:pStyle w:val="BodyText"/>
      </w:pPr>
      <w:r>
        <w:t xml:space="preserve">This chapter maps what DORA requires of banks in practice: the five pillars that define the compliance landscape, the 19 Critical ICT Third-Party Providers now under direct EU oversight, and the penalty regime that makes non-compliance a material financial and personal risk.</w:t>
      </w:r>
    </w:p>
    <w:p>
      <w:r>
        <w:pict>
          <v:rect style="width:0;height:1.5pt" o:hralign="center" o:hrstd="t" o:hr="t"/>
        </w:pict>
      </w:r>
    </w:p>
    <w:bookmarkStart w:id="33" w:name="dora-five-pillars"/>
    <w:p>
      <w:pPr>
        <w:pStyle w:val="Heading2"/>
      </w:pPr>
      <w:r>
        <w:t xml:space="preserve">1.1 DORA Five Pillars</w:t>
      </w:r>
    </w:p>
    <w:p>
      <w:pPr>
        <w:pStyle w:val="FirstParagraph"/>
      </w:pPr>
      <w:r>
        <w:t xml:space="preserve">DORA organises its requirements into five interconnected pillars, each addressing a distinct dimension of digital operational resilience. Together, they form a closed loop: risk is identified and managed (Pillar 1); when incidents occur, they are classified, reported, and analysed (Pillar 2); defences are validated through structured testing (Pillar 3); the supply chain is governed contractually and operationally (Pillar 4); and intelligence is shared across the sector to raise collective resilience (Pillar 5)</w:t>
      </w:r>
      <w:r>
        <w:t xml:space="preserve"> </w:t>
      </w:r>
      <w:r>
        <w:rPr>
          <w:vertAlign w:val="superscript"/>
        </w:rPr>
        <w:t xml:space="preserve">19</w:t>
      </w:r>
      <w:r>
        <w:t xml:space="preserve"> </w:t>
      </w:r>
      <w:r>
        <w:rPr>
          <w:vertAlign w:val="superscript"/>
        </w:rPr>
        <w:t xml:space="preserve">20</w:t>
      </w:r>
      <w:r>
        <w:t xml:space="preserve">.</w:t>
      </w:r>
    </w:p>
    <w:bookmarkStart w:id="28" w:name="X11d53666565837c020a3f5688addeb6e16da76c"/>
    <w:p>
      <w:pPr>
        <w:pStyle w:val="Heading3"/>
      </w:pPr>
      <w:r>
        <w:t xml:space="preserve">1.1.1 Pillar 1 — ICT Risk Management: Governance Framework, Risk Assessment, Asset Classification, Protection Measures, and Business Continuity</w:t>
      </w:r>
    </w:p>
    <w:p>
      <w:pPr>
        <w:pStyle w:val="FirstParagraph"/>
      </w:pPr>
      <w:r>
        <w:t xml:space="preserve">Pillar 1 (Articles 5–16) is the regulatory foundation. It requires financial entities to establish a comprehensive ICT risk management framework covering the full lifecycle: identification, protection and prevention, detection, response and recovery, learning and evolving, and communication</w:t>
      </w:r>
      <w:r>
        <w:t xml:space="preserve"> </w:t>
      </w:r>
      <w:r>
        <w:rPr>
          <w:vertAlign w:val="superscript"/>
        </w:rPr>
        <w:t xml:space="preserve">19</w:t>
      </w:r>
      <w:r>
        <w:t xml:space="preserve"> </w:t>
      </w:r>
      <w:r>
        <w:rPr>
          <w:vertAlign w:val="superscript"/>
        </w:rPr>
        <w:t xml:space="preserve">21</w:t>
      </w:r>
      <w:r>
        <w:t xml:space="preserve">.</w:t>
      </w:r>
    </w:p>
    <w:p>
      <w:pPr>
        <w:pStyle w:val="BodyText"/>
      </w:pPr>
      <w:r>
        <w:t xml:space="preserve">The governance requirements under Article 5 are among the most consequential provisions in the regulation. The management body bears</w:t>
      </w:r>
      <w:r>
        <w:t xml:space="preserve"> </w:t>
      </w:r>
      <w:r>
        <w:rPr>
          <w:bCs/>
          <w:b/>
        </w:rPr>
        <w:t xml:space="preserve">ultimate, non-delegable responsibility</w:t>
      </w:r>
      <w:r>
        <w:t xml:space="preserve"> </w:t>
      </w:r>
      <w:r>
        <w:t xml:space="preserve">for ICT risk</w:t>
      </w:r>
      <w:r>
        <w:t xml:space="preserve"> </w:t>
      </w:r>
      <w:r>
        <w:rPr>
          <w:vertAlign w:val="superscript"/>
        </w:rPr>
        <w:t xml:space="preserve">18</w:t>
      </w:r>
      <w:r>
        <w:t xml:space="preserve">. Article 5(2) enumerates eleven specific duties: defining and approving the ICT risk management framework; setting policies for data availability, authenticity, integrity, and confidentiality; approving the digital operational resilience strategy including risk tolerance levels; allocating budget for resilience needs; approving ICT third-party service policies; and ensuring board members maintain sufficient ICT risk knowledge through regular training</w:t>
      </w:r>
      <w:r>
        <w:t xml:space="preserve"> </w:t>
      </w:r>
      <w:r>
        <w:rPr>
          <w:vertAlign w:val="superscript"/>
        </w:rPr>
        <w:t xml:space="preserve">18</w:t>
      </w:r>
      <w:r>
        <w:t xml:space="preserve">. ICT risk can no longer be delegated downward to the CIO or CISO and forgotten by the board.</w:t>
      </w:r>
    </w:p>
    <w:p>
      <w:pPr>
        <w:pStyle w:val="BodyText"/>
      </w:pPr>
      <w:r>
        <w:t xml:space="preserve">The framework must be documented and reviewed at least annually (Article 6). An independent ICT risk control function is mandatory for all entities except micro-enterprises</w:t>
      </w:r>
      <w:r>
        <w:t xml:space="preserve"> </w:t>
      </w:r>
      <w:r>
        <w:rPr>
          <w:vertAlign w:val="superscript"/>
        </w:rPr>
        <w:t xml:space="preserve">22</w:t>
      </w:r>
      <w:r>
        <w:t xml:space="preserve"> </w:t>
      </w:r>
      <w:r>
        <w:rPr>
          <w:vertAlign w:val="superscript"/>
        </w:rPr>
        <w:t xml:space="preserve">23</w:t>
      </w:r>
      <w:r>
        <w:t xml:space="preserve">. Under Article 8, institutions must maintain a complete inventory of all ICT assets and identify Critical or Important Functions (CIFs) — activities whose disruption would materially impair financial stability, customer protection, or the entity’s safety. Articles 9–12 mandate protection strategies, continuous monitoring and anomaly detection, multi-layered security controls, and ICT business continuity policies with disaster recovery plans specifying Recovery Time Objectives (RTOs) and Recovery Point Objectives (RPOs). Article 13 requires post-incident root cause analysis; Article 14 mandates crisis communication procedures</w:t>
      </w:r>
      <w:r>
        <w:t xml:space="preserve"> </w:t>
      </w:r>
      <w:r>
        <w:rPr>
          <w:vertAlign w:val="superscript"/>
        </w:rPr>
        <w:t xml:space="preserve">19</w:t>
      </w:r>
      <w:r>
        <w:t xml:space="preserve"> </w:t>
      </w:r>
      <w:r>
        <w:rPr>
          <w:vertAlign w:val="superscript"/>
        </w:rPr>
        <w:t xml:space="preserve">21</w:t>
      </w:r>
      <w:r>
        <w:t xml:space="preserve">. The proportionality principle in Article 4 permits smaller firms to use a simplified framework under Article 16, though even micro-enterprises must comply with core incident reporting and third-party risk obligations</w:t>
      </w:r>
      <w:r>
        <w:t xml:space="preserve"> </w:t>
      </w:r>
      <w:r>
        <w:rPr>
          <w:vertAlign w:val="superscript"/>
        </w:rPr>
        <w:t xml:space="preserve">24</w:t>
      </w:r>
      <w:r>
        <w:t xml:space="preserve">.</w:t>
      </w:r>
    </w:p>
    <w:bookmarkEnd w:id="28"/>
    <w:bookmarkStart w:id="29" w:name="X39ee0b466a09f69060ee68626850b41db7e379e"/>
    <w:p>
      <w:pPr>
        <w:pStyle w:val="Heading3"/>
      </w:pPr>
      <w:r>
        <w:t xml:space="preserve">1.1.2 Pillar 2 — ICT-related Incident Management: Classification, Reporting to NCAs Within 4 Hours for Major Incidents, and Root Cause Analysis</w:t>
      </w:r>
    </w:p>
    <w:p>
      <w:pPr>
        <w:pStyle w:val="FirstParagraph"/>
      </w:pPr>
      <w:r>
        <w:t xml:space="preserve">Pillar 2 (Articles 17–23) establishes DORA’s most operationally demanding requirement: a harmonised, multi-stage incident reporting framework with strict timelines</w:t>
      </w:r>
      <w:r>
        <w:t xml:space="preserve"> </w:t>
      </w:r>
      <w:r>
        <w:rPr>
          <w:vertAlign w:val="superscript"/>
        </w:rPr>
        <w:t xml:space="preserve">25</w:t>
      </w:r>
      <w:r>
        <w:t xml:space="preserve"> </w:t>
      </w:r>
      <w:r>
        <w:rPr>
          <w:vertAlign w:val="superscript"/>
        </w:rPr>
        <w:t xml:space="preserve">26</w:t>
      </w:r>
      <w:r>
        <w:t xml:space="preserve"> </w:t>
      </w:r>
      <w:r>
        <w:rPr>
          <w:vertAlign w:val="superscript"/>
        </w:rPr>
        <w:t xml:space="preserve">27</w:t>
      </w:r>
      <w:r>
        <w:t xml:space="preserve">.</w:t>
      </w:r>
    </w:p>
    <w:p>
      <w:pPr>
        <w:pStyle w:val="BodyText"/>
      </w:pPr>
      <w:r>
        <w:t xml:space="preserve">An incident is classified as</w:t>
      </w:r>
      <w:r>
        <w:t xml:space="preserve"> </w:t>
      </w:r>
      <w:r>
        <w:rPr>
          <w:bCs/>
          <w:b/>
        </w:rPr>
        <w:t xml:space="preserve">major</w:t>
      </w:r>
      <w:r>
        <w:t xml:space="preserve"> </w:t>
      </w:r>
      <w:r>
        <w:t xml:space="preserve">based on seven criteria defined in RTS 2024/1772: clients affected, economic impact, duration, geographical spread, data losses, impact on CIFs, and transactions affected</w:t>
      </w:r>
      <w:r>
        <w:t xml:space="preserve"> </w:t>
      </w:r>
      <w:r>
        <w:rPr>
          <w:vertAlign w:val="superscript"/>
        </w:rPr>
        <w:t xml:space="preserve">25</w:t>
      </w:r>
      <w:r>
        <w:t xml:space="preserve"> </w:t>
      </w:r>
      <w:r>
        <w:rPr>
          <w:vertAlign w:val="superscript"/>
        </w:rPr>
        <w:t xml:space="preserve">26</w:t>
      </w:r>
      <w:r>
        <w:t xml:space="preserve">. Classification must happen without undue delay and no later than 24 hours after detection.</w:t>
      </w:r>
    </w:p>
    <w:p>
      <w:pPr>
        <w:pStyle w:val="BodyText"/>
      </w:pPr>
      <w:r>
        <w:t xml:space="preserve">The reporting timeline is unforgiving. The initial notification must reach the NCA</w:t>
      </w:r>
      <w:r>
        <w:t xml:space="preserve"> </w:t>
      </w:r>
      <w:r>
        <w:rPr>
          <w:bCs/>
          <w:b/>
        </w:rPr>
        <w:t xml:space="preserve">within 4 hours</w:t>
      </w:r>
      <w:r>
        <w:t xml:space="preserve"> </w:t>
      </w:r>
      <w:r>
        <w:t xml:space="preserve">of classification, containing entity identification, detection times, incident type, preliminary impact, systems affected, and initial response actions</w:t>
      </w:r>
      <w:r>
        <w:t xml:space="preserve"> </w:t>
      </w:r>
      <w:r>
        <w:rPr>
          <w:vertAlign w:val="superscript"/>
        </w:rPr>
        <w:t xml:space="preserve">25</w:t>
      </w:r>
      <w:r>
        <w:t xml:space="preserve"> </w:t>
      </w:r>
      <w:r>
        <w:rPr>
          <w:vertAlign w:val="superscript"/>
        </w:rPr>
        <w:t xml:space="preserve">28</w:t>
      </w:r>
      <w:r>
        <w:t xml:space="preserve"> </w:t>
      </w:r>
      <w:r>
        <w:rPr>
          <w:vertAlign w:val="superscript"/>
        </w:rPr>
        <w:t xml:space="preserve">29</w:t>
      </w:r>
      <w:r>
        <w:t xml:space="preserve">. An intermediate report follows within 72 hours. The final report — with complete root cause analysis, total impact, lessons learned, and corrective actions — is due within one month</w:t>
      </w:r>
      <w:r>
        <w:t xml:space="preserve"> </w:t>
      </w:r>
      <w:r>
        <w:rPr>
          <w:vertAlign w:val="superscript"/>
        </w:rPr>
        <w:t xml:space="preserve">25</w:t>
      </w:r>
      <w:r>
        <w:t xml:space="preserve"> </w:t>
      </w:r>
      <w:r>
        <w:rPr>
          <w:vertAlign w:val="superscript"/>
        </w:rPr>
        <w:t xml:space="preserve">30</w:t>
      </w:r>
      <w:r>
        <w:t xml:space="preserve">. Significant institutions must report regardless of weekends or holidays; others have until 12:00 pm the next working day if deadlines fall on non-working days</w:t>
      </w:r>
      <w:r>
        <w:t xml:space="preserve"> </w:t>
      </w:r>
      <w:r>
        <w:rPr>
          <w:vertAlign w:val="superscript"/>
        </w:rPr>
        <w:t xml:space="preserve">25</w:t>
      </w:r>
      <w:r>
        <w:t xml:space="preserve"> </w:t>
      </w:r>
      <w:r>
        <w:rPr>
          <w:vertAlign w:val="superscript"/>
        </w:rPr>
        <w:t xml:space="preserve">29</w:t>
      </w:r>
      <w:r>
        <w:t xml:space="preserve">. Article 19(3) requires affected clients to be informed without undue delay. A major incident at a critical third-party provider affecting your CIFs must be reported even if learned about indirectly</w:t>
      </w:r>
      <w:r>
        <w:t xml:space="preserve"> </w:t>
      </w:r>
      <w:r>
        <w:rPr>
          <w:vertAlign w:val="superscript"/>
        </w:rPr>
        <w:t xml:space="preserve">25</w:t>
      </w:r>
      <w:r>
        <w:t xml:space="preserve">.</w:t>
      </w:r>
    </w:p>
    <w:bookmarkEnd w:id="29"/>
    <w:bookmarkStart w:id="30" w:name="X4883798a8db1d0bf79857a52fe3425c7b3fb525"/>
    <w:p>
      <w:pPr>
        <w:pStyle w:val="Heading3"/>
      </w:pPr>
      <w:r>
        <w:t xml:space="preserve">1.1.3 Pillar 3 — Digital Operational Resilience Testing: Threat-Led Penetration Testing Every 3 Years for Significant Entities</w:t>
      </w:r>
    </w:p>
    <w:p>
      <w:pPr>
        <w:pStyle w:val="FirstParagraph"/>
      </w:pPr>
      <w:r>
        <w:t xml:space="preserve">Pillar 3 (Articles 24–27) mandates regular risk-based testing, with advanced requirements for systemically important entities</w:t>
      </w:r>
      <w:r>
        <w:t xml:space="preserve"> </w:t>
      </w:r>
      <w:r>
        <w:rPr>
          <w:vertAlign w:val="superscript"/>
        </w:rPr>
        <w:t xml:space="preserve">31</w:t>
      </w:r>
      <w:r>
        <w:t xml:space="preserve"> </w:t>
      </w:r>
      <w:r>
        <w:rPr>
          <w:vertAlign w:val="superscript"/>
        </w:rPr>
        <w:t xml:space="preserve">32</w:t>
      </w:r>
      <w:r>
        <w:t xml:space="preserve"> </w:t>
      </w:r>
      <w:r>
        <w:rPr>
          <w:vertAlign w:val="superscript"/>
        </w:rPr>
        <w:t xml:space="preserve">30</w:t>
      </w:r>
      <w:r>
        <w:t xml:space="preserve"> </w:t>
      </w:r>
      <w:r>
        <w:rPr>
          <w:vertAlign w:val="superscript"/>
        </w:rPr>
        <w:t xml:space="preserve">33</w:t>
      </w:r>
      <w:r>
        <w:t xml:space="preserve">.</w:t>
      </w:r>
    </w:p>
    <w:p>
      <w:pPr>
        <w:pStyle w:val="BodyText"/>
      </w:pPr>
      <w:r>
        <w:t xml:space="preserve">All entities must test at least annually, encompassing vulnerability assessments, network security assessments, scenario-based tests, and source code reviews</w:t>
      </w:r>
      <w:r>
        <w:t xml:space="preserve"> </w:t>
      </w:r>
      <w:r>
        <w:rPr>
          <w:vertAlign w:val="superscript"/>
        </w:rPr>
        <w:t xml:space="preserve">19</w:t>
      </w:r>
      <w:r>
        <w:t xml:space="preserve"> </w:t>
      </w:r>
      <w:r>
        <w:rPr>
          <w:vertAlign w:val="superscript"/>
        </w:rPr>
        <w:t xml:space="preserve">21</w:t>
      </w:r>
      <w:r>
        <w:t xml:space="preserve">. The signature requirement is Threat-Led Penetration Testing (TLPT) under Article 26. Designated significant entities — including G-SIIs, O-SIIs, large payment institutions processing over EUR 150 billion annually, CCPs, and trading venues — must undergo TLPT at least every three years</w:t>
      </w:r>
      <w:r>
        <w:t xml:space="preserve"> </w:t>
      </w:r>
      <w:r>
        <w:rPr>
          <w:vertAlign w:val="superscript"/>
        </w:rPr>
        <w:t xml:space="preserve">31</w:t>
      </w:r>
      <w:r>
        <w:t xml:space="preserve"> </w:t>
      </w:r>
      <w:r>
        <w:rPr>
          <w:vertAlign w:val="superscript"/>
        </w:rPr>
        <w:t xml:space="preserve">30</w:t>
      </w:r>
      <w:r>
        <w:t xml:space="preserve">.</w:t>
      </w:r>
    </w:p>
    <w:p>
      <w:pPr>
        <w:pStyle w:val="BodyText"/>
      </w:pPr>
      <w:r>
        <w:t xml:space="preserve">TLPT under DORA differs materially from voluntary TIBER-EU. External threat intelligence is always required. Internal testers are permitted with conditions — but if used for two consecutive TLPTs, the third must use an external Red Team. ECB-supervised credit institutions must always use external testers. Purple teaming is compulsory. The Red Team Lead requires minimum five years’ experience; supporting members need two years each; and the team must have three prior threat intelligence assignments</w:t>
      </w:r>
      <w:r>
        <w:t xml:space="preserve"> </w:t>
      </w:r>
      <w:r>
        <w:rPr>
          <w:vertAlign w:val="superscript"/>
        </w:rPr>
        <w:t xml:space="preserve">31</w:t>
      </w:r>
      <w:r>
        <w:t xml:space="preserve"> </w:t>
      </w:r>
      <w:r>
        <w:rPr>
          <w:vertAlign w:val="superscript"/>
        </w:rPr>
        <w:t xml:space="preserve">32</w:t>
      </w:r>
      <w:r>
        <w:t xml:space="preserve"> </w:t>
      </w:r>
      <w:r>
        <w:rPr>
          <w:vertAlign w:val="superscript"/>
        </w:rPr>
        <w:t xml:space="preserve">33</w:t>
      </w:r>
      <w:r>
        <w:t xml:space="preserve">. The February 2025 TIBER-EU update was explicitly aligned with DORA’s RTS, making DORA TLPT the de facto European standard.</w:t>
      </w:r>
    </w:p>
    <w:bookmarkEnd w:id="30"/>
    <w:bookmarkStart w:id="31" w:name="X6ea7d3ef5bfd833057d84f1114ac510b420dc98"/>
    <w:p>
      <w:pPr>
        <w:pStyle w:val="Heading3"/>
      </w:pPr>
      <w:r>
        <w:t xml:space="preserve">1.1.4 Pillar 4 — ICT Third-Party Risk Management: Register of Information, Contract Oversight, Exit Strategies, and Sub-Contracting Chains</w:t>
      </w:r>
    </w:p>
    <w:p>
      <w:pPr>
        <w:pStyle w:val="FirstParagraph"/>
      </w:pPr>
      <w:r>
        <w:t xml:space="preserve">Pillar 4 (Articles 28–44) is DORA’s most structurally innovative provision, establishing direct EU oversight of critical ICT third-party providers for the first time</w:t>
      </w:r>
      <w:r>
        <w:t xml:space="preserve"> </w:t>
      </w:r>
      <w:r>
        <w:rPr>
          <w:vertAlign w:val="superscript"/>
        </w:rPr>
        <w:t xml:space="preserve">34</w:t>
      </w:r>
      <w:r>
        <w:t xml:space="preserve"> </w:t>
      </w:r>
      <w:r>
        <w:rPr>
          <w:vertAlign w:val="superscript"/>
        </w:rPr>
        <w:t xml:space="preserve">35</w:t>
      </w:r>
      <w:r>
        <w:t xml:space="preserve">.</w:t>
      </w:r>
    </w:p>
    <w:p>
      <w:pPr>
        <w:pStyle w:val="BodyText"/>
      </w:pPr>
      <w:r>
        <w:t xml:space="preserve">At its operational heart lies the</w:t>
      </w:r>
      <w:r>
        <w:t xml:space="preserve"> </w:t>
      </w:r>
      <w:r>
        <w:rPr>
          <w:bCs/>
          <w:b/>
        </w:rPr>
        <w:t xml:space="preserve">Register of Information</w:t>
      </w:r>
      <w:r>
        <w:t xml:space="preserve"> </w:t>
      </w:r>
      <w:r>
        <w:t xml:space="preserve">(Article 28(3)), described as the single most data-intensive DORA deliverable</w:t>
      </w:r>
      <w:r>
        <w:t xml:space="preserve"> </w:t>
      </w:r>
      <w:r>
        <w:rPr>
          <w:vertAlign w:val="superscript"/>
        </w:rPr>
        <w:t xml:space="preserve">26</w:t>
      </w:r>
      <w:r>
        <w:t xml:space="preserve">. Entities must maintain a comprehensive, machine-readable register of</w:t>
      </w:r>
      <w:r>
        <w:t xml:space="preserve"> </w:t>
      </w:r>
      <w:r>
        <w:rPr>
          <w:bCs/>
          <w:b/>
        </w:rPr>
        <w:t xml:space="preserve">all</w:t>
      </w:r>
      <w:r>
        <w:t xml:space="preserve"> </w:t>
      </w:r>
      <w:r>
        <w:t xml:space="preserve">ICT contractual arrangements in xBRL-CSV format, structured across nine relational tables with more than 60 mandatory data fields</w:t>
      </w:r>
      <w:r>
        <w:t xml:space="preserve"> </w:t>
      </w:r>
      <w:r>
        <w:rPr>
          <w:vertAlign w:val="superscript"/>
        </w:rPr>
        <w:t xml:space="preserve">26</w:t>
      </w:r>
      <w:r>
        <w:t xml:space="preserve"> </w:t>
      </w:r>
      <w:r>
        <w:rPr>
          <w:vertAlign w:val="superscript"/>
        </w:rPr>
        <w:t xml:space="preserve">27</w:t>
      </w:r>
      <w:r>
        <w:t xml:space="preserve"> </w:t>
      </w:r>
      <w:r>
        <w:rPr>
          <w:vertAlign w:val="superscript"/>
        </w:rPr>
        <w:t xml:space="preserve">36</w:t>
      </w:r>
      <w:r>
        <w:t xml:space="preserve">. Submission is annual by 30 April, with ad hoc updates upon supervisory request. Scope encompasses entity information, contract references, provider details, service types and criticality, data processing locations, sub-outsourcing arrangements, and security audit information</w:t>
      </w:r>
      <w:r>
        <w:t xml:space="preserve"> </w:t>
      </w:r>
      <w:r>
        <w:rPr>
          <w:vertAlign w:val="superscript"/>
        </w:rPr>
        <w:t xml:space="preserve">27</w:t>
      </w:r>
      <w:r>
        <w:t xml:space="preserve"> </w:t>
      </w:r>
      <w:r>
        <w:rPr>
          <w:vertAlign w:val="superscript"/>
        </w:rPr>
        <w:t xml:space="preserve">36</w:t>
      </w:r>
      <w:r>
        <w:t xml:space="preserve">.</w:t>
      </w:r>
    </w:p>
    <w:p>
      <w:pPr>
        <w:pStyle w:val="BodyText"/>
      </w:pPr>
      <w:r>
        <w:t xml:space="preserve">Article 30 mandates specific contractual clauses for critical/important functions: service descriptions with performance targets; data processing locations; availability targets with remedies; incident notification timelines; unrestricted audit rights; business continuity and TLPT requirements; exit strategies with transition periods; sub-outsourcing conditions; and data portability provisions</w:t>
      </w:r>
      <w:r>
        <w:t xml:space="preserve"> </w:t>
      </w:r>
      <w:r>
        <w:rPr>
          <w:vertAlign w:val="superscript"/>
        </w:rPr>
        <w:t xml:space="preserve">37</w:t>
      </w:r>
      <w:r>
        <w:t xml:space="preserve"> </w:t>
      </w:r>
      <w:r>
        <w:rPr>
          <w:vertAlign w:val="superscript"/>
        </w:rPr>
        <w:t xml:space="preserve">38</w:t>
      </w:r>
      <w:r>
        <w:t xml:space="preserve"> </w:t>
      </w:r>
      <w:r>
        <w:rPr>
          <w:vertAlign w:val="superscript"/>
        </w:rPr>
        <w:t xml:space="preserve">39</w:t>
      </w:r>
      <w:r>
        <w:t xml:space="preserve"> </w:t>
      </w:r>
      <w:r>
        <w:rPr>
          <w:vertAlign w:val="superscript"/>
        </w:rPr>
        <w:t xml:space="preserve">40</w:t>
      </w:r>
      <w:r>
        <w:t xml:space="preserve">. Article 29 requires assessment of ICT concentration risk. Exit strategies must enable smooth transition, identify alternative providers, and be tested annually</w:t>
      </w:r>
      <w:r>
        <w:t xml:space="preserve"> </w:t>
      </w:r>
      <w:r>
        <w:rPr>
          <w:vertAlign w:val="superscript"/>
        </w:rPr>
        <w:t xml:space="preserve">39</w:t>
      </w:r>
      <w:r>
        <w:t xml:space="preserve"> </w:t>
      </w:r>
      <w:r>
        <w:rPr>
          <w:vertAlign w:val="superscript"/>
        </w:rPr>
        <w:t xml:space="preserve">41</w:t>
      </w:r>
      <w:r>
        <w:t xml:space="preserve">.</w:t>
      </w:r>
    </w:p>
    <w:bookmarkEnd w:id="31"/>
    <w:bookmarkStart w:id="32" w:name="X040fed115271aa2255a82a084423cfcc7d6bc64"/>
    <w:p>
      <w:pPr>
        <w:pStyle w:val="Heading3"/>
      </w:pPr>
      <w:r>
        <w:t xml:space="preserve">1.1.5 Pillar 5 — Information Sharing: Trusted Communities for Cyber Threat Intelligence Sharing</w:t>
      </w:r>
    </w:p>
    <w:p>
      <w:pPr>
        <w:pStyle w:val="FirstParagraph"/>
      </w:pPr>
      <w:r>
        <w:t xml:space="preserve">Pillar 5 (Article 45) encourages voluntary participation in structured cyber threat information sharing arrangements</w:t>
      </w:r>
      <w:r>
        <w:t xml:space="preserve"> </w:t>
      </w:r>
      <w:r>
        <w:rPr>
          <w:vertAlign w:val="superscript"/>
        </w:rPr>
        <w:t xml:space="preserve">19</w:t>
      </w:r>
      <w:r>
        <w:t xml:space="preserve"> </w:t>
      </w:r>
      <w:r>
        <w:rPr>
          <w:vertAlign w:val="superscript"/>
        </w:rPr>
        <w:t xml:space="preserve">42</w:t>
      </w:r>
      <w:r>
        <w:t xml:space="preserve">. Shareable information includes indicators of compromise (IOCs), detection signatures, sector alerts, and defensive configurations. Arrangements must be governed by formal agreements clarifying handling, storage, and redistribution rules. The ESAs have indicated that participation will be considered a positive factor in supervisory assessments, creating practical pressure to engage even where the legal obligation is voluntary</w:t>
      </w:r>
      <w:r>
        <w:t xml:space="preserve"> </w:t>
      </w:r>
      <w:r>
        <w:rPr>
          <w:vertAlign w:val="superscript"/>
        </w:rPr>
        <w:t xml:space="preserve">19</w:t>
      </w:r>
      <w:r>
        <w:t xml:space="preserve">.</w:t>
      </w:r>
    </w:p>
    <w:p>
      <w:r>
        <w:pict>
          <v:rect style="width:0;height:1.5pt" o:hralign="center" o:hrstd="t" o:hr="t"/>
        </w:pict>
      </w:r>
    </w:p>
    <w:bookmarkEnd w:id="32"/>
    <w:bookmarkEnd w:id="33"/>
    <w:bookmarkStart w:id="36" w:name="Xb0afadf44d8ddb47ed15444ca3dea5b22952eb1"/>
    <w:p>
      <w:pPr>
        <w:pStyle w:val="Heading2"/>
      </w:pPr>
      <w:r>
        <w:t xml:space="preserve">1.2 The 19 Designated Critical ICT Third-Party Providers (CTPPs)</w:t>
      </w:r>
    </w:p>
    <w:bookmarkStart w:id="34" w:name="full-ctpp-list"/>
    <w:p>
      <w:pPr>
        <w:pStyle w:val="Heading3"/>
      </w:pPr>
      <w:r>
        <w:t xml:space="preserve">1.2.1 Full CTPP List</w:t>
      </w:r>
    </w:p>
    <w:p>
      <w:pPr>
        <w:pStyle w:val="FirstParagraph"/>
      </w:pPr>
      <w:r>
        <w:t xml:space="preserve">On 18 November 2025, the European Supervisory Authorities published the first official list of 19 designated Critical ICT Third-Party Providers — technology vendors deemed so systemically important that they now fall under direct EU-level oversight</w:t>
      </w:r>
      <w:r>
        <w:t xml:space="preserve"> </w:t>
      </w:r>
      <w:r>
        <w:rPr>
          <w:vertAlign w:val="superscript"/>
        </w:rPr>
        <w:t xml:space="preserve">43</w:t>
      </w:r>
      <w:r>
        <w:t xml:space="preserve"> </w:t>
      </w:r>
      <w:r>
        <w:rPr>
          <w:vertAlign w:val="superscript"/>
        </w:rPr>
        <w:t xml:space="preserve">32</w:t>
      </w:r>
      <w:r>
        <w:t xml:space="preserve"> </w:t>
      </w:r>
      <w:r>
        <w:rPr>
          <w:vertAlign w:val="superscript"/>
        </w:rPr>
        <w:t xml:space="preserve">36</w:t>
      </w:r>
      <w:r>
        <w:t xml:space="preserve"> </w:t>
      </w:r>
      <w:r>
        <w:rPr>
          <w:vertAlign w:val="superscript"/>
        </w:rPr>
        <w:t xml:space="preserve">44</w:t>
      </w:r>
      <w:r>
        <w:t xml:space="preserve"> </w:t>
      </w:r>
      <w:r>
        <w:rPr>
          <w:vertAlign w:val="superscript"/>
        </w:rPr>
        <w:t xml:space="preserve">45</w:t>
      </w:r>
      <w:r>
        <w:t xml:space="preserve">. Designation followed a three-step methodology: data collection from Registers of Information; criticality assessment across banking, insurance, and securities markets; and a formal right-to-be-heard process</w:t>
      </w:r>
      <w:r>
        <w:t xml:space="preserve"> </w:t>
      </w:r>
      <w:r>
        <w:rPr>
          <w:vertAlign w:val="superscript"/>
        </w:rPr>
        <w:t xml:space="preserve">43</w:t>
      </w:r>
      <w:r>
        <w:t xml:space="preserve"> </w:t>
      </w:r>
      <w:r>
        <w:rPr>
          <w:vertAlign w:val="superscript"/>
        </w:rPr>
        <w:t xml:space="preserve">35</w:t>
      </w:r>
      <w:r>
        <w:t xml:space="preserve">.</w:t>
      </w:r>
    </w:p>
    <w:p>
      <w:pPr>
        <w:pStyle w:val="BodyText"/>
      </w:pPr>
      <w:r>
        <w:rPr>
          <w:bCs/>
          <w:b/>
        </w:rPr>
        <w:t xml:space="preserve">Table 1: The 19 Designated Critical ICT Third-Party Providers (CTPPs) under DORA</w:t>
      </w:r>
    </w:p>
    <w:tbl>
      <w:tblPr>
        <w:tblStyle w:val="Table"/>
        <w:tblW w:type="pct" w:w="5000"/>
        <w:tblLook w:firstRow="1" w:lastRow="0" w:firstColumn="0" w:lastColumn="0" w:noHBand="0" w:noVBand="0" w:val="0020"/>
      </w:tblPr>
      <w:tblGrid>
        <w:gridCol w:w="448"/>
        <w:gridCol w:w="1494"/>
        <w:gridCol w:w="3735"/>
        <w:gridCol w:w="2241"/>
      </w:tblGrid>
      <w:tr>
        <w:trPr>
          <w:tblHeader w:val="true"/>
        </w:trPr>
        <w:tc>
          <w:tcPr/>
          <w:p>
            <w:pPr>
              <w:pStyle w:val="Compact"/>
              <w:jc w:val="left"/>
            </w:pPr>
            <w:r>
              <w:t xml:space="preserve">#</w:t>
            </w:r>
          </w:p>
        </w:tc>
        <w:tc>
          <w:tcPr/>
          <w:p>
            <w:pPr>
              <w:pStyle w:val="Compact"/>
              <w:jc w:val="left"/>
            </w:pPr>
            <w:r>
              <w:t xml:space="preserve">Provider</w:t>
            </w:r>
          </w:p>
        </w:tc>
        <w:tc>
          <w:tcPr/>
          <w:p>
            <w:pPr>
              <w:pStyle w:val="Compact"/>
              <w:jc w:val="left"/>
            </w:pPr>
            <w:r>
              <w:t xml:space="preserve">Primary Service Category</w:t>
            </w:r>
          </w:p>
        </w:tc>
        <w:tc>
          <w:tcPr/>
          <w:p>
            <w:pPr>
              <w:pStyle w:val="Compact"/>
              <w:jc w:val="left"/>
            </w:pPr>
            <w:r>
              <w:t xml:space="preserve">Lead Overseer</w:t>
            </w:r>
          </w:p>
        </w:tc>
      </w:tr>
      <w:tr>
        <w:tc>
          <w:tcPr/>
          <w:p>
            <w:pPr>
              <w:pStyle w:val="Compact"/>
              <w:jc w:val="left"/>
            </w:pPr>
            <w:r>
              <w:t xml:space="preserve">1</w:t>
            </w:r>
          </w:p>
        </w:tc>
        <w:tc>
          <w:tcPr/>
          <w:p>
            <w:pPr>
              <w:pStyle w:val="Compact"/>
              <w:jc w:val="left"/>
            </w:pPr>
            <w:r>
              <w:rPr>
                <w:bCs/>
                <w:b/>
              </w:rPr>
              <w:t xml:space="preserve">Amazon Web Services (AWS)</w:t>
            </w:r>
            <w:r>
              <w:t xml:space="preserve"> </w:t>
            </w:r>
            <w:r>
              <w:t xml:space="preserve">EMEA Sarl</w:t>
            </w:r>
          </w:p>
        </w:tc>
        <w:tc>
          <w:tcPr/>
          <w:p>
            <w:pPr>
              <w:pStyle w:val="Compact"/>
              <w:jc w:val="left"/>
            </w:pPr>
            <w:r>
              <w:t xml:space="preserve">Cloud computing (IaaS/PaaS)</w:t>
            </w:r>
          </w:p>
        </w:tc>
        <w:tc>
          <w:tcPr/>
          <w:p>
            <w:pPr>
              <w:pStyle w:val="Compact"/>
              <w:jc w:val="left"/>
            </w:pPr>
            <w:r>
              <w:t xml:space="preserve">EBA</w:t>
            </w:r>
          </w:p>
        </w:tc>
      </w:tr>
      <w:tr>
        <w:tc>
          <w:tcPr/>
          <w:p>
            <w:pPr>
              <w:pStyle w:val="Compact"/>
              <w:jc w:val="left"/>
            </w:pPr>
            <w:r>
              <w:t xml:space="preserve">2</w:t>
            </w:r>
          </w:p>
        </w:tc>
        <w:tc>
          <w:tcPr/>
          <w:p>
            <w:pPr>
              <w:pStyle w:val="Compact"/>
              <w:jc w:val="left"/>
            </w:pPr>
            <w:r>
              <w:rPr>
                <w:bCs/>
                <w:b/>
              </w:rPr>
              <w:t xml:space="preserve">Microsoft</w:t>
            </w:r>
            <w:r>
              <w:t xml:space="preserve"> </w:t>
            </w:r>
            <w:r>
              <w:t xml:space="preserve">Ireland Operations Limited</w:t>
            </w:r>
          </w:p>
        </w:tc>
        <w:tc>
          <w:tcPr/>
          <w:p>
            <w:pPr>
              <w:pStyle w:val="Compact"/>
              <w:jc w:val="left"/>
            </w:pPr>
            <w:r>
              <w:t xml:space="preserve">Cloud computing and software (IaaS/PaaS/SaaS)</w:t>
            </w:r>
          </w:p>
        </w:tc>
        <w:tc>
          <w:tcPr/>
          <w:p>
            <w:pPr>
              <w:pStyle w:val="Compact"/>
              <w:jc w:val="left"/>
            </w:pPr>
            <w:r>
              <w:t xml:space="preserve">EBA</w:t>
            </w:r>
          </w:p>
        </w:tc>
      </w:tr>
      <w:tr>
        <w:tc>
          <w:tcPr/>
          <w:p>
            <w:pPr>
              <w:pStyle w:val="Compact"/>
              <w:jc w:val="left"/>
            </w:pPr>
            <w:r>
              <w:t xml:space="preserve">3</w:t>
            </w:r>
          </w:p>
        </w:tc>
        <w:tc>
          <w:tcPr/>
          <w:p>
            <w:pPr>
              <w:pStyle w:val="Compact"/>
              <w:jc w:val="left"/>
            </w:pPr>
            <w:r>
              <w:rPr>
                <w:bCs/>
                <w:b/>
              </w:rPr>
              <w:t xml:space="preserve">Google Cloud</w:t>
            </w:r>
            <w:r>
              <w:t xml:space="preserve"> </w:t>
            </w:r>
            <w:r>
              <w:t xml:space="preserve">EMEA Limited</w:t>
            </w:r>
          </w:p>
        </w:tc>
        <w:tc>
          <w:tcPr/>
          <w:p>
            <w:pPr>
              <w:pStyle w:val="Compact"/>
              <w:jc w:val="left"/>
            </w:pPr>
            <w:r>
              <w:t xml:space="preserve">Cloud computing (IaaS/PaaS)</w:t>
            </w:r>
          </w:p>
        </w:tc>
        <w:tc>
          <w:tcPr/>
          <w:p>
            <w:pPr>
              <w:pStyle w:val="Compact"/>
              <w:jc w:val="left"/>
            </w:pPr>
            <w:r>
              <w:t xml:space="preserve">EBA</w:t>
            </w:r>
          </w:p>
        </w:tc>
      </w:tr>
      <w:tr>
        <w:tc>
          <w:tcPr/>
          <w:p>
            <w:pPr>
              <w:pStyle w:val="Compact"/>
              <w:jc w:val="left"/>
            </w:pPr>
            <w:r>
              <w:t xml:space="preserve">4</w:t>
            </w:r>
          </w:p>
        </w:tc>
        <w:tc>
          <w:tcPr/>
          <w:p>
            <w:pPr>
              <w:pStyle w:val="Compact"/>
              <w:jc w:val="left"/>
            </w:pPr>
            <w:r>
              <w:rPr>
                <w:bCs/>
                <w:b/>
              </w:rPr>
              <w:t xml:space="preserve">International Business Machines (IBM)</w:t>
            </w:r>
            <w:r>
              <w:t xml:space="preserve"> </w:t>
            </w:r>
            <w:r>
              <w:t xml:space="preserve">Corporation</w:t>
            </w:r>
          </w:p>
        </w:tc>
        <w:tc>
          <w:tcPr/>
          <w:p>
            <w:pPr>
              <w:pStyle w:val="Compact"/>
              <w:jc w:val="left"/>
            </w:pPr>
            <w:r>
              <w:t xml:space="preserve">IT infrastructure and services</w:t>
            </w:r>
          </w:p>
        </w:tc>
        <w:tc>
          <w:tcPr/>
          <w:p>
            <w:pPr>
              <w:pStyle w:val="Compact"/>
              <w:jc w:val="left"/>
            </w:pPr>
            <w:r>
              <w:t xml:space="preserve">EBA</w:t>
            </w:r>
          </w:p>
        </w:tc>
      </w:tr>
      <w:tr>
        <w:tc>
          <w:tcPr/>
          <w:p>
            <w:pPr>
              <w:pStyle w:val="Compact"/>
              <w:jc w:val="left"/>
            </w:pPr>
            <w:r>
              <w:t xml:space="preserve">5</w:t>
            </w:r>
          </w:p>
        </w:tc>
        <w:tc>
          <w:tcPr/>
          <w:p>
            <w:pPr>
              <w:pStyle w:val="Compact"/>
              <w:jc w:val="left"/>
            </w:pPr>
            <w:r>
              <w:rPr>
                <w:bCs/>
                <w:b/>
              </w:rPr>
              <w:t xml:space="preserve">Oracle</w:t>
            </w:r>
            <w:r>
              <w:t xml:space="preserve"> </w:t>
            </w:r>
            <w:r>
              <w:t xml:space="preserve">Nederland B.V.</w:t>
            </w:r>
          </w:p>
        </w:tc>
        <w:tc>
          <w:tcPr/>
          <w:p>
            <w:pPr>
              <w:pStyle w:val="Compact"/>
              <w:jc w:val="left"/>
            </w:pPr>
            <w:r>
              <w:t xml:space="preserve">Cloud and database services</w:t>
            </w:r>
          </w:p>
        </w:tc>
        <w:tc>
          <w:tcPr/>
          <w:p>
            <w:pPr>
              <w:pStyle w:val="Compact"/>
              <w:jc w:val="left"/>
            </w:pPr>
            <w:r>
              <w:t xml:space="preserve">EBA</w:t>
            </w:r>
          </w:p>
        </w:tc>
      </w:tr>
      <w:tr>
        <w:tc>
          <w:tcPr/>
          <w:p>
            <w:pPr>
              <w:pStyle w:val="Compact"/>
              <w:jc w:val="left"/>
            </w:pPr>
            <w:r>
              <w:t xml:space="preserve">6</w:t>
            </w:r>
          </w:p>
        </w:tc>
        <w:tc>
          <w:tcPr/>
          <w:p>
            <w:pPr>
              <w:pStyle w:val="Compact"/>
              <w:jc w:val="left"/>
            </w:pPr>
            <w:r>
              <w:rPr>
                <w:bCs/>
                <w:b/>
              </w:rPr>
              <w:t xml:space="preserve">SAP SE</w:t>
            </w:r>
          </w:p>
        </w:tc>
        <w:tc>
          <w:tcPr/>
          <w:p>
            <w:pPr>
              <w:pStyle w:val="Compact"/>
              <w:jc w:val="left"/>
            </w:pPr>
            <w:r>
              <w:t xml:space="preserve">Enterprise software and cloud</w:t>
            </w:r>
          </w:p>
        </w:tc>
        <w:tc>
          <w:tcPr/>
          <w:p>
            <w:pPr>
              <w:pStyle w:val="Compact"/>
              <w:jc w:val="left"/>
            </w:pPr>
            <w:r>
              <w:t xml:space="preserve">EBA</w:t>
            </w:r>
          </w:p>
        </w:tc>
      </w:tr>
      <w:tr>
        <w:tc>
          <w:tcPr/>
          <w:p>
            <w:pPr>
              <w:pStyle w:val="Compact"/>
              <w:jc w:val="left"/>
            </w:pPr>
            <w:r>
              <w:t xml:space="preserve">7</w:t>
            </w:r>
          </w:p>
        </w:tc>
        <w:tc>
          <w:tcPr/>
          <w:p>
            <w:pPr>
              <w:pStyle w:val="Compact"/>
              <w:jc w:val="left"/>
            </w:pPr>
            <w:r>
              <w:rPr>
                <w:bCs/>
                <w:b/>
              </w:rPr>
              <w:t xml:space="preserve">Accenture</w:t>
            </w:r>
            <w:r>
              <w:t xml:space="preserve"> </w:t>
            </w:r>
            <w:r>
              <w:t xml:space="preserve">plc</w:t>
            </w:r>
          </w:p>
        </w:tc>
        <w:tc>
          <w:tcPr/>
          <w:p>
            <w:pPr>
              <w:pStyle w:val="Compact"/>
              <w:jc w:val="left"/>
            </w:pPr>
            <w:r>
              <w:t xml:space="preserve">Managed IT services</w:t>
            </w:r>
          </w:p>
        </w:tc>
        <w:tc>
          <w:tcPr/>
          <w:p>
            <w:pPr>
              <w:pStyle w:val="Compact"/>
              <w:jc w:val="left"/>
            </w:pPr>
            <w:r>
              <w:t xml:space="preserve">EBA</w:t>
            </w:r>
          </w:p>
        </w:tc>
      </w:tr>
      <w:tr>
        <w:tc>
          <w:tcPr/>
          <w:p>
            <w:pPr>
              <w:pStyle w:val="Compact"/>
              <w:jc w:val="left"/>
            </w:pPr>
            <w:r>
              <w:t xml:space="preserve">8</w:t>
            </w:r>
          </w:p>
        </w:tc>
        <w:tc>
          <w:tcPr/>
          <w:p>
            <w:pPr>
              <w:pStyle w:val="Compact"/>
              <w:jc w:val="left"/>
            </w:pPr>
            <w:r>
              <w:rPr>
                <w:bCs/>
                <w:b/>
              </w:rPr>
              <w:t xml:space="preserve">Capgemini</w:t>
            </w:r>
            <w:r>
              <w:t xml:space="preserve"> </w:t>
            </w:r>
            <w:r>
              <w:t xml:space="preserve">SE</w:t>
            </w:r>
          </w:p>
        </w:tc>
        <w:tc>
          <w:tcPr/>
          <w:p>
            <w:pPr>
              <w:pStyle w:val="Compact"/>
              <w:jc w:val="left"/>
            </w:pPr>
            <w:r>
              <w:t xml:space="preserve">IT consulting and managed services</w:t>
            </w:r>
          </w:p>
        </w:tc>
        <w:tc>
          <w:tcPr/>
          <w:p>
            <w:pPr>
              <w:pStyle w:val="Compact"/>
              <w:jc w:val="left"/>
            </w:pPr>
            <w:r>
              <w:t xml:space="preserve">EBA</w:t>
            </w:r>
          </w:p>
        </w:tc>
      </w:tr>
      <w:tr>
        <w:tc>
          <w:tcPr/>
          <w:p>
            <w:pPr>
              <w:pStyle w:val="Compact"/>
              <w:jc w:val="left"/>
            </w:pPr>
            <w:r>
              <w:t xml:space="preserve">9</w:t>
            </w:r>
          </w:p>
        </w:tc>
        <w:tc>
          <w:tcPr/>
          <w:p>
            <w:pPr>
              <w:pStyle w:val="Compact"/>
              <w:jc w:val="left"/>
            </w:pPr>
            <w:r>
              <w:rPr>
                <w:bCs/>
                <w:b/>
              </w:rPr>
              <w:t xml:space="preserve">Kyndryl</w:t>
            </w:r>
            <w:r>
              <w:t xml:space="preserve"> </w:t>
            </w:r>
            <w:r>
              <w:t xml:space="preserve">Inc.</w:t>
            </w:r>
          </w:p>
        </w:tc>
        <w:tc>
          <w:tcPr/>
          <w:p>
            <w:pPr>
              <w:pStyle w:val="Compact"/>
              <w:jc w:val="left"/>
            </w:pPr>
            <w:r>
              <w:t xml:space="preserve">IT infrastructure services</w:t>
            </w:r>
          </w:p>
        </w:tc>
        <w:tc>
          <w:tcPr/>
          <w:p>
            <w:pPr>
              <w:pStyle w:val="Compact"/>
              <w:jc w:val="left"/>
            </w:pPr>
            <w:r>
              <w:t xml:space="preserve">EBA</w:t>
            </w:r>
          </w:p>
        </w:tc>
      </w:tr>
      <w:tr>
        <w:tc>
          <w:tcPr/>
          <w:p>
            <w:pPr>
              <w:pStyle w:val="Compact"/>
              <w:jc w:val="left"/>
            </w:pPr>
            <w:r>
              <w:t xml:space="preserve">10</w:t>
            </w:r>
          </w:p>
        </w:tc>
        <w:tc>
          <w:tcPr/>
          <w:p>
            <w:pPr>
              <w:pStyle w:val="Compact"/>
              <w:jc w:val="left"/>
            </w:pPr>
            <w:r>
              <w:rPr>
                <w:bCs/>
                <w:b/>
              </w:rPr>
              <w:t xml:space="preserve">NTT DATA</w:t>
            </w:r>
            <w:r>
              <w:t xml:space="preserve"> </w:t>
            </w:r>
            <w:r>
              <w:t xml:space="preserve">Inc.</w:t>
            </w:r>
          </w:p>
        </w:tc>
        <w:tc>
          <w:tcPr/>
          <w:p>
            <w:pPr>
              <w:pStyle w:val="Compact"/>
              <w:jc w:val="left"/>
            </w:pPr>
            <w:r>
              <w:t xml:space="preserve">IT services</w:t>
            </w:r>
          </w:p>
        </w:tc>
        <w:tc>
          <w:tcPr/>
          <w:p>
            <w:pPr>
              <w:pStyle w:val="Compact"/>
              <w:jc w:val="left"/>
            </w:pPr>
            <w:r>
              <w:t xml:space="preserve">EBA</w:t>
            </w:r>
          </w:p>
        </w:tc>
      </w:tr>
      <w:tr>
        <w:tc>
          <w:tcPr/>
          <w:p>
            <w:pPr>
              <w:pStyle w:val="Compact"/>
              <w:jc w:val="left"/>
            </w:pPr>
            <w:r>
              <w:t xml:space="preserve">11</w:t>
            </w:r>
          </w:p>
        </w:tc>
        <w:tc>
          <w:tcPr/>
          <w:p>
            <w:pPr>
              <w:pStyle w:val="Compact"/>
              <w:jc w:val="left"/>
            </w:pPr>
            <w:r>
              <w:rPr>
                <w:bCs/>
                <w:b/>
              </w:rPr>
              <w:t xml:space="preserve">Tata Consultancy Services (TCS)</w:t>
            </w:r>
            <w:r>
              <w:t xml:space="preserve"> </w:t>
            </w:r>
            <w:r>
              <w:t xml:space="preserve">Limited</w:t>
            </w:r>
          </w:p>
        </w:tc>
        <w:tc>
          <w:tcPr/>
          <w:p>
            <w:pPr>
              <w:pStyle w:val="Compact"/>
              <w:jc w:val="left"/>
            </w:pPr>
            <w:r>
              <w:t xml:space="preserve">IT services and consulting</w:t>
            </w:r>
          </w:p>
        </w:tc>
        <w:tc>
          <w:tcPr/>
          <w:p>
            <w:pPr>
              <w:pStyle w:val="Compact"/>
              <w:jc w:val="left"/>
            </w:pPr>
            <w:r>
              <w:t xml:space="preserve">EBA</w:t>
            </w:r>
          </w:p>
        </w:tc>
      </w:tr>
      <w:tr>
        <w:tc>
          <w:tcPr/>
          <w:p>
            <w:pPr>
              <w:pStyle w:val="Compact"/>
              <w:jc w:val="left"/>
            </w:pPr>
            <w:r>
              <w:t xml:space="preserve">12</w:t>
            </w:r>
          </w:p>
        </w:tc>
        <w:tc>
          <w:tcPr/>
          <w:p>
            <w:pPr>
              <w:pStyle w:val="Compact"/>
              <w:jc w:val="left"/>
            </w:pPr>
            <w:r>
              <w:rPr>
                <w:bCs/>
                <w:b/>
              </w:rPr>
              <w:t xml:space="preserve">Fidelity National Information Services (FIS)</w:t>
            </w:r>
          </w:p>
        </w:tc>
        <w:tc>
          <w:tcPr/>
          <w:p>
            <w:pPr>
              <w:pStyle w:val="Compact"/>
              <w:jc w:val="left"/>
            </w:pPr>
            <w:r>
              <w:t xml:space="preserve">Financial technology</w:t>
            </w:r>
          </w:p>
        </w:tc>
        <w:tc>
          <w:tcPr/>
          <w:p>
            <w:pPr>
              <w:pStyle w:val="Compact"/>
              <w:jc w:val="left"/>
            </w:pPr>
            <w:r>
              <w:t xml:space="preserve">EBA</w:t>
            </w:r>
          </w:p>
        </w:tc>
      </w:tr>
      <w:tr>
        <w:tc>
          <w:tcPr/>
          <w:p>
            <w:pPr>
              <w:pStyle w:val="Compact"/>
              <w:jc w:val="left"/>
            </w:pPr>
            <w:r>
              <w:t xml:space="preserve">13</w:t>
            </w:r>
          </w:p>
        </w:tc>
        <w:tc>
          <w:tcPr/>
          <w:p>
            <w:pPr>
              <w:pStyle w:val="Compact"/>
              <w:jc w:val="left"/>
            </w:pPr>
            <w:r>
              <w:rPr>
                <w:bCs/>
                <w:b/>
              </w:rPr>
              <w:t xml:space="preserve">Bloomberg</w:t>
            </w:r>
            <w:r>
              <w:t xml:space="preserve"> </w:t>
            </w:r>
            <w:r>
              <w:t xml:space="preserve">L.P.</w:t>
            </w:r>
          </w:p>
        </w:tc>
        <w:tc>
          <w:tcPr/>
          <w:p>
            <w:pPr>
              <w:pStyle w:val="Compact"/>
              <w:jc w:val="left"/>
            </w:pPr>
            <w:r>
              <w:t xml:space="preserve">Financial data and analytics</w:t>
            </w:r>
          </w:p>
        </w:tc>
        <w:tc>
          <w:tcPr/>
          <w:p>
            <w:pPr>
              <w:pStyle w:val="Compact"/>
              <w:jc w:val="left"/>
            </w:pPr>
            <w:r>
              <w:t xml:space="preserve">EBA</w:t>
            </w:r>
          </w:p>
        </w:tc>
      </w:tr>
      <w:tr>
        <w:tc>
          <w:tcPr/>
          <w:p>
            <w:pPr>
              <w:pStyle w:val="Compact"/>
              <w:jc w:val="left"/>
            </w:pPr>
            <w:r>
              <w:t xml:space="preserve">14</w:t>
            </w:r>
          </w:p>
        </w:tc>
        <w:tc>
          <w:tcPr/>
          <w:p>
            <w:pPr>
              <w:pStyle w:val="Compact"/>
              <w:jc w:val="left"/>
            </w:pPr>
            <w:r>
              <w:rPr>
                <w:bCs/>
                <w:b/>
              </w:rPr>
              <w:t xml:space="preserve">LSEG Data and Risk</w:t>
            </w:r>
            <w:r>
              <w:t xml:space="preserve"> </w:t>
            </w:r>
            <w:r>
              <w:t xml:space="preserve">Limited</w:t>
            </w:r>
          </w:p>
        </w:tc>
        <w:tc>
          <w:tcPr/>
          <w:p>
            <w:pPr>
              <w:pStyle w:val="Compact"/>
              <w:jc w:val="left"/>
            </w:pPr>
            <w:r>
              <w:t xml:space="preserve">Financial data and analytics</w:t>
            </w:r>
          </w:p>
        </w:tc>
        <w:tc>
          <w:tcPr/>
          <w:p>
            <w:pPr>
              <w:pStyle w:val="Compact"/>
              <w:jc w:val="left"/>
            </w:pPr>
            <w:r>
              <w:t xml:space="preserve">EBA</w:t>
            </w:r>
          </w:p>
        </w:tc>
      </w:tr>
      <w:tr>
        <w:tc>
          <w:tcPr/>
          <w:p>
            <w:pPr>
              <w:pStyle w:val="Compact"/>
              <w:jc w:val="left"/>
            </w:pPr>
            <w:r>
              <w:t xml:space="preserve">15</w:t>
            </w:r>
          </w:p>
        </w:tc>
        <w:tc>
          <w:tcPr/>
          <w:p>
            <w:pPr>
              <w:pStyle w:val="Compact"/>
              <w:jc w:val="left"/>
            </w:pPr>
            <w:r>
              <w:rPr>
                <w:bCs/>
                <w:b/>
              </w:rPr>
              <w:t xml:space="preserve">Colt Technology Services</w:t>
            </w:r>
          </w:p>
        </w:tc>
        <w:tc>
          <w:tcPr/>
          <w:p>
            <w:pPr>
              <w:pStyle w:val="Compact"/>
              <w:jc w:val="left"/>
            </w:pPr>
            <w:r>
              <w:t xml:space="preserve">Network and connectivity</w:t>
            </w:r>
          </w:p>
        </w:tc>
        <w:tc>
          <w:tcPr/>
          <w:p>
            <w:pPr>
              <w:pStyle w:val="Compact"/>
              <w:jc w:val="left"/>
            </w:pPr>
            <w:r>
              <w:t xml:space="preserve">EBA</w:t>
            </w:r>
          </w:p>
        </w:tc>
      </w:tr>
      <w:tr>
        <w:tc>
          <w:tcPr/>
          <w:p>
            <w:pPr>
              <w:pStyle w:val="Compact"/>
              <w:jc w:val="left"/>
            </w:pPr>
            <w:r>
              <w:t xml:space="preserve">16</w:t>
            </w:r>
          </w:p>
        </w:tc>
        <w:tc>
          <w:tcPr/>
          <w:p>
            <w:pPr>
              <w:pStyle w:val="Compact"/>
              <w:jc w:val="left"/>
            </w:pPr>
            <w:r>
              <w:rPr>
                <w:bCs/>
                <w:b/>
              </w:rPr>
              <w:t xml:space="preserve">Deutsche Telekom</w:t>
            </w:r>
            <w:r>
              <w:t xml:space="preserve"> </w:t>
            </w:r>
            <w:r>
              <w:t xml:space="preserve">AG</w:t>
            </w:r>
          </w:p>
        </w:tc>
        <w:tc>
          <w:tcPr/>
          <w:p>
            <w:pPr>
              <w:pStyle w:val="Compact"/>
              <w:jc w:val="left"/>
            </w:pPr>
            <w:r>
              <w:t xml:space="preserve">Telecommunications</w:t>
            </w:r>
          </w:p>
        </w:tc>
        <w:tc>
          <w:tcPr/>
          <w:p>
            <w:pPr>
              <w:pStyle w:val="Compact"/>
              <w:jc w:val="left"/>
            </w:pPr>
            <w:r>
              <w:t xml:space="preserve">EBA</w:t>
            </w:r>
          </w:p>
        </w:tc>
      </w:tr>
      <w:tr>
        <w:tc>
          <w:tcPr/>
          <w:p>
            <w:pPr>
              <w:pStyle w:val="Compact"/>
              <w:jc w:val="left"/>
            </w:pPr>
            <w:r>
              <w:t xml:space="preserve">17</w:t>
            </w:r>
          </w:p>
        </w:tc>
        <w:tc>
          <w:tcPr/>
          <w:p>
            <w:pPr>
              <w:pStyle w:val="Compact"/>
              <w:jc w:val="left"/>
            </w:pPr>
            <w:r>
              <w:rPr>
                <w:bCs/>
                <w:b/>
              </w:rPr>
              <w:t xml:space="preserve">Orange</w:t>
            </w:r>
            <w:r>
              <w:t xml:space="preserve"> </w:t>
            </w:r>
            <w:r>
              <w:t xml:space="preserve">SA</w:t>
            </w:r>
          </w:p>
        </w:tc>
        <w:tc>
          <w:tcPr/>
          <w:p>
            <w:pPr>
              <w:pStyle w:val="Compact"/>
              <w:jc w:val="left"/>
            </w:pPr>
            <w:r>
              <w:t xml:space="preserve">Telecommunications</w:t>
            </w:r>
          </w:p>
        </w:tc>
        <w:tc>
          <w:tcPr/>
          <w:p>
            <w:pPr>
              <w:pStyle w:val="Compact"/>
              <w:jc w:val="left"/>
            </w:pPr>
            <w:r>
              <w:t xml:space="preserve">EBA</w:t>
            </w:r>
          </w:p>
        </w:tc>
      </w:tr>
      <w:tr>
        <w:tc>
          <w:tcPr/>
          <w:p>
            <w:pPr>
              <w:pStyle w:val="Compact"/>
              <w:jc w:val="left"/>
            </w:pPr>
            <w:r>
              <w:t xml:space="preserve">18</w:t>
            </w:r>
          </w:p>
        </w:tc>
        <w:tc>
          <w:tcPr/>
          <w:p>
            <w:pPr>
              <w:pStyle w:val="Compact"/>
              <w:jc w:val="left"/>
            </w:pPr>
            <w:r>
              <w:rPr>
                <w:bCs/>
                <w:b/>
              </w:rPr>
              <w:t xml:space="preserve">Equinix (EMEA)</w:t>
            </w:r>
            <w:r>
              <w:t xml:space="preserve"> </w:t>
            </w:r>
            <w:r>
              <w:t xml:space="preserve">B.V.</w:t>
            </w:r>
          </w:p>
        </w:tc>
        <w:tc>
          <w:tcPr/>
          <w:p>
            <w:pPr>
              <w:pStyle w:val="Compact"/>
              <w:jc w:val="left"/>
            </w:pPr>
            <w:r>
              <w:t xml:space="preserve">Data centres and colocation</w:t>
            </w:r>
          </w:p>
        </w:tc>
        <w:tc>
          <w:tcPr/>
          <w:p>
            <w:pPr>
              <w:pStyle w:val="Compact"/>
              <w:jc w:val="left"/>
            </w:pPr>
            <w:r>
              <w:t xml:space="preserve">EBA</w:t>
            </w:r>
          </w:p>
        </w:tc>
      </w:tr>
      <w:tr>
        <w:tc>
          <w:tcPr/>
          <w:p>
            <w:pPr>
              <w:pStyle w:val="Compact"/>
              <w:jc w:val="left"/>
            </w:pPr>
            <w:r>
              <w:t xml:space="preserve">19</w:t>
            </w:r>
          </w:p>
        </w:tc>
        <w:tc>
          <w:tcPr/>
          <w:p>
            <w:pPr>
              <w:pStyle w:val="Compact"/>
              <w:jc w:val="left"/>
            </w:pPr>
            <w:r>
              <w:rPr>
                <w:bCs/>
                <w:b/>
              </w:rPr>
              <w:t xml:space="preserve">InterXion</w:t>
            </w:r>
            <w:r>
              <w:t xml:space="preserve"> </w:t>
            </w:r>
            <w:r>
              <w:t xml:space="preserve">HeadQuarters B.V.</w:t>
            </w:r>
          </w:p>
        </w:tc>
        <w:tc>
          <w:tcPr/>
          <w:p>
            <w:pPr>
              <w:pStyle w:val="Compact"/>
              <w:jc w:val="left"/>
            </w:pPr>
            <w:r>
              <w:t xml:space="preserve">Data centres and colocation</w:t>
            </w:r>
          </w:p>
        </w:tc>
        <w:tc>
          <w:tcPr/>
          <w:p>
            <w:pPr>
              <w:pStyle w:val="Compact"/>
              <w:jc w:val="left"/>
            </w:pPr>
            <w:r>
              <w:t xml:space="preserve">EBA</w:t>
            </w:r>
          </w:p>
        </w:tc>
      </w:tr>
    </w:tbl>
    <w:p>
      <w:pPr>
        <w:pStyle w:val="BodyText"/>
      </w:pPr>
      <w:r>
        <w:rPr>
          <w:vertAlign w:val="superscript"/>
        </w:rPr>
        <w:t xml:space="preserve">43</w:t>
      </w:r>
      <w:r>
        <w:t xml:space="preserve"> </w:t>
      </w:r>
      <w:r>
        <w:rPr>
          <w:vertAlign w:val="superscript"/>
        </w:rPr>
        <w:t xml:space="preserve">36</w:t>
      </w:r>
      <w:r>
        <w:t xml:space="preserve"> </w:t>
      </w:r>
      <w:r>
        <w:rPr>
          <w:vertAlign w:val="superscript"/>
        </w:rPr>
        <w:t xml:space="preserve">44</w:t>
      </w:r>
      <w:r>
        <w:t xml:space="preserve"> </w:t>
      </w:r>
      <w:r>
        <w:rPr>
          <w:vertAlign w:val="superscript"/>
        </w:rPr>
        <w:t xml:space="preserve">45</w:t>
      </w:r>
      <w:r>
        <w:t xml:space="preserve">The three hyperscale cloud providers — AWS, Microsoft Azure, and Google Cloud — collectively underpin the infrastructure of over 65% of EU financial institutions</w:t>
      </w:r>
      <w:r>
        <w:t xml:space="preserve"> </w:t>
      </w:r>
      <w:r>
        <w:rPr>
          <w:vertAlign w:val="superscript"/>
        </w:rPr>
        <w:t xml:space="preserve">36</w:t>
      </w:r>
      <w:r>
        <w:t xml:space="preserve">. Bloomberg and LSEG Data and Risk supply pricing and reference data feeding directly into trading systems. IT services giants Accenture, Capgemini, Kyndryl, NTT DATA, and TCS manage core banking systems. Telecommunications providers Deutsche Telekom, Orange, and Colt carry financial transaction traffic. Equinix and InterXion operate the physical data centre footprint. All 19 CTPPs were assigned to the EBA as Lead Overseer; future waves may distribute CTPPs across ESMA and EIOPA</w:t>
      </w:r>
      <w:r>
        <w:t xml:space="preserve"> </w:t>
      </w:r>
      <w:r>
        <w:rPr>
          <w:vertAlign w:val="superscript"/>
        </w:rPr>
        <w:t xml:space="preserve">44</w:t>
      </w:r>
      <w:r>
        <w:t xml:space="preserve">.</w:t>
      </w:r>
    </w:p>
    <w:bookmarkEnd w:id="34"/>
    <w:bookmarkStart w:id="35" w:name="Xafa50b37ba87c88d79ba93210d5d6bd948c9618"/>
    <w:p>
      <w:pPr>
        <w:pStyle w:val="Heading3"/>
      </w:pPr>
      <w:r>
        <w:t xml:space="preserve">1.2.2 What CTPP Designation Means: Direct Oversight by Lead Overseer, Mandatory Reporting, and Potential Penalties</w:t>
      </w:r>
    </w:p>
    <w:p>
      <w:pPr>
        <w:pStyle w:val="FirstParagraph"/>
      </w:pPr>
      <w:r>
        <w:t xml:space="preserve">Each designated CTPP must: designate an EU legal entity as ESA coordination point; pay annual oversight fees; cooperate with Joint Examination Teams (JETs); submit to information requests, investigations, and on-site inspections; and respond to binding recommendations from the Lead Overseer</w:t>
      </w:r>
      <w:r>
        <w:t xml:space="preserve"> </w:t>
      </w:r>
      <w:r>
        <w:rPr>
          <w:vertAlign w:val="superscript"/>
        </w:rPr>
        <w:t xml:space="preserve">35</w:t>
      </w:r>
      <w:r>
        <w:t xml:space="preserve"> </w:t>
      </w:r>
      <w:r>
        <w:rPr>
          <w:vertAlign w:val="superscript"/>
        </w:rPr>
        <w:t xml:space="preserve">46</w:t>
      </w:r>
      <w:r>
        <w:t xml:space="preserve"> </w:t>
      </w:r>
      <w:r>
        <w:rPr>
          <w:vertAlign w:val="superscript"/>
        </w:rPr>
        <w:t xml:space="preserve">34</w:t>
      </w:r>
      <w:r>
        <w:t xml:space="preserve">. Non-EU CTPPs must establish EU presence within 12 months.</w:t>
      </w:r>
    </w:p>
    <w:p>
      <w:pPr>
        <w:pStyle w:val="BodyText"/>
      </w:pPr>
      <w:r>
        <w:t xml:space="preserve">The ultimate sanction is commercially existential: if a CTPP persistently fails to comply, the Lead Overseer can recommend that NCAs require their supervised entities to</w:t>
      </w:r>
      <w:r>
        <w:t xml:space="preserve"> </w:t>
      </w:r>
      <w:r>
        <w:rPr>
          <w:bCs/>
          <w:b/>
        </w:rPr>
        <w:t xml:space="preserve">suspend or terminate</w:t>
      </w:r>
      <w:r>
        <w:t xml:space="preserve"> </w:t>
      </w:r>
      <w:r>
        <w:t xml:space="preserve">arrangements with the provider</w:t>
      </w:r>
      <w:r>
        <w:t xml:space="preserve"> </w:t>
      </w:r>
      <w:r>
        <w:rPr>
          <w:vertAlign w:val="superscript"/>
        </w:rPr>
        <w:t xml:space="preserve">34</w:t>
      </w:r>
      <w:r>
        <w:t xml:space="preserve">. For a cloud provider serving hundreds of EU banks, this is a market exit order. Oversight activities commenced in 2026 with approximately 30 ESA supervisors. A voluntary opt-in framework for non-designated providers indicates the 19 CTPPs represent only the first wave</w:t>
      </w:r>
      <w:r>
        <w:t xml:space="preserve"> </w:t>
      </w:r>
      <w:r>
        <w:rPr>
          <w:vertAlign w:val="superscript"/>
        </w:rPr>
        <w:t xml:space="preserve">44</w:t>
      </w:r>
      <w:r>
        <w:t xml:space="preserve">.</w:t>
      </w:r>
    </w:p>
    <w:p>
      <w:r>
        <w:pict>
          <v:rect style="width:0;height:1.5pt" o:hralign="center" o:hrstd="t" o:hr="t"/>
        </w:pict>
      </w:r>
    </w:p>
    <w:bookmarkEnd w:id="35"/>
    <w:bookmarkEnd w:id="36"/>
    <w:bookmarkStart w:id="40" w:name="penalties-enforcement"/>
    <w:p>
      <w:pPr>
        <w:pStyle w:val="Heading2"/>
      </w:pPr>
      <w:r>
        <w:t xml:space="preserve">1.3 Penalties &amp; Enforcement</w:t>
      </w:r>
    </w:p>
    <w:p>
      <w:pPr>
        <w:pStyle w:val="FirstParagraph"/>
      </w:pPr>
      <w:r>
        <w:t xml:space="preserve">DORA’s penalty architecture operates on two tracks: one for financial entities, administered by NCAs under national transposition; and one for CTPPs, written directly into the regulation and enforced by the Lead Overseer.</w:t>
      </w:r>
    </w:p>
    <w:bookmarkStart w:id="37" w:name="X4a2ab8143798bf98146ae5e55c6572f560d1f37"/>
    <w:p>
      <w:pPr>
        <w:pStyle w:val="Heading3"/>
      </w:pPr>
      <w:r>
        <w:t xml:space="preserve">1.3.1 Financial Entities: Up to 2% of Total Annual Worldwide Turnover</w:t>
      </w:r>
    </w:p>
    <w:p>
      <w:pPr>
        <w:pStyle w:val="FirstParagraph"/>
      </w:pPr>
      <w:r>
        <w:t xml:space="preserve">For financial entities, DORA requires Member States to ensure NCAs can impose</w:t>
      </w:r>
      <w:r>
        <w:t xml:space="preserve"> </w:t>
      </w:r>
      <w:r>
        <w:t xml:space="preserve">“</w:t>
      </w:r>
      <w:r>
        <w:t xml:space="preserve">effective, proportionate, and dissuasive</w:t>
      </w:r>
      <w:r>
        <w:t xml:space="preserve">”</w:t>
      </w:r>
      <w:r>
        <w:t xml:space="preserve"> </w:t>
      </w:r>
      <w:r>
        <w:t xml:space="preserve">penalties under Article 50</w:t>
      </w:r>
      <w:r>
        <w:t xml:space="preserve"> </w:t>
      </w:r>
      <w:r>
        <w:rPr>
          <w:vertAlign w:val="superscript"/>
        </w:rPr>
        <w:t xml:space="preserve">47</w:t>
      </w:r>
      <w:r>
        <w:t xml:space="preserve"> </w:t>
      </w:r>
      <w:r>
        <w:rPr>
          <w:vertAlign w:val="superscript"/>
        </w:rPr>
        <w:t xml:space="preserve">48</w:t>
      </w:r>
      <w:r>
        <w:t xml:space="preserve">. Authoritative sources consistently cite a maximum of</w:t>
      </w:r>
      <w:r>
        <w:t xml:space="preserve"> </w:t>
      </w:r>
      <w:r>
        <w:rPr>
          <w:bCs/>
          <w:b/>
        </w:rPr>
        <w:t xml:space="preserve">up to 2% of total annual worldwide turnover</w:t>
      </w:r>
      <w:r>
        <w:t xml:space="preserve"> </w:t>
      </w:r>
      <w:r>
        <w:t xml:space="preserve">or EUR 10 million, whichever is higher</w:t>
      </w:r>
      <w:r>
        <w:t xml:space="preserve"> </w:t>
      </w:r>
      <w:r>
        <w:rPr>
          <w:vertAlign w:val="superscript"/>
        </w:rPr>
        <w:t xml:space="preserve">49</w:t>
      </w:r>
      <w:r>
        <w:t xml:space="preserve"> </w:t>
      </w:r>
      <w:r>
        <w:rPr>
          <w:vertAlign w:val="superscript"/>
        </w:rPr>
        <w:t xml:space="preserve">50</w:t>
      </w:r>
      <w:r>
        <w:t xml:space="preserve"> </w:t>
      </w:r>
      <w:r>
        <w:rPr>
          <w:vertAlign w:val="superscript"/>
        </w:rPr>
        <w:t xml:space="preserve">51</w:t>
      </w:r>
      <w:r>
        <w:t xml:space="preserve"> </w:t>
      </w:r>
      <w:r>
        <w:rPr>
          <w:vertAlign w:val="superscript"/>
        </w:rPr>
        <w:t xml:space="preserve">52</w:t>
      </w:r>
      <w:r>
        <w:t xml:space="preserve">. This aligns with EBA supervisory convergence guidance across major jurisdictions.</w:t>
      </w:r>
    </w:p>
    <w:bookmarkEnd w:id="37"/>
    <w:bookmarkStart w:id="38" w:name="Xc03862ed79004d1b4ccc6366b64859814c6fbf1"/>
    <w:p>
      <w:pPr>
        <w:pStyle w:val="Heading3"/>
      </w:pPr>
      <w:r>
        <w:t xml:space="preserve">1.3.2 Board Members: Up to EUR 5 Million Personal Liability</w:t>
      </w:r>
    </w:p>
    <w:p>
      <w:pPr>
        <w:pStyle w:val="FirstParagraph"/>
      </w:pPr>
      <w:r>
        <w:t xml:space="preserve">Article 50 empowers NCAs to impose administrative penalties on management body members</w:t>
      </w:r>
      <w:r>
        <w:t xml:space="preserve"> </w:t>
      </w:r>
      <w:r>
        <w:rPr>
          <w:vertAlign w:val="superscript"/>
        </w:rPr>
        <w:t xml:space="preserve">53</w:t>
      </w:r>
      <w:r>
        <w:t xml:space="preserve">. In Germany, BaFin can fine individual board members up to</w:t>
      </w:r>
      <w:r>
        <w:t xml:space="preserve"> </w:t>
      </w:r>
      <w:r>
        <w:rPr>
          <w:bCs/>
          <w:b/>
        </w:rPr>
        <w:t xml:space="preserve">EUR 5 million</w:t>
      </w:r>
      <w:r>
        <w:t xml:space="preserve"> </w:t>
      </w:r>
      <w:r>
        <w:t xml:space="preserve">for breaches of Articles 19(4) and 26(1) — incident reporting and TLPT obligations</w:t>
      </w:r>
      <w:r>
        <w:t xml:space="preserve"> </w:t>
      </w:r>
      <w:r>
        <w:rPr>
          <w:vertAlign w:val="superscript"/>
        </w:rPr>
        <w:t xml:space="preserve">53</w:t>
      </w:r>
      <w:r>
        <w:t xml:space="preserve">. In Italy, individuals face penalties up to EUR 5 million with possible bans from management functions. In Ireland, the ceiling is EUR 1 million</w:t>
      </w:r>
      <w:r>
        <w:t xml:space="preserve"> </w:t>
      </w:r>
      <w:r>
        <w:rPr>
          <w:vertAlign w:val="superscript"/>
        </w:rPr>
        <w:t xml:space="preserve">53</w:t>
      </w:r>
      <w:r>
        <w:t xml:space="preserve">. Beyond monetary penalties, board members face temporary prohibition from management functions across the entire EU financial sector — a career-ending consequence</w:t>
      </w:r>
      <w:r>
        <w:t xml:space="preserve"> </w:t>
      </w:r>
      <w:r>
        <w:rPr>
          <w:vertAlign w:val="superscript"/>
        </w:rPr>
        <w:t xml:space="preserve">54</w:t>
      </w:r>
      <w:r>
        <w:t xml:space="preserve">. Article 52 opens the possibility of criminal liability in extreme cases</w:t>
      </w:r>
      <w:r>
        <w:t xml:space="preserve"> </w:t>
      </w:r>
      <w:r>
        <w:rPr>
          <w:vertAlign w:val="superscript"/>
        </w:rPr>
        <w:t xml:space="preserve">51</w:t>
      </w:r>
      <w:r>
        <w:t xml:space="preserve">.</w:t>
      </w:r>
    </w:p>
    <w:bookmarkEnd w:id="38"/>
    <w:bookmarkStart w:id="39" w:name="ctpps-up-to-1-of-average-daily-turnover"/>
    <w:p>
      <w:pPr>
        <w:pStyle w:val="Heading3"/>
      </w:pPr>
      <w:r>
        <w:t xml:space="preserve">1.3.3 CTPPs: Up to 1% of Average Daily Turnover</w:t>
      </w:r>
    </w:p>
    <w:p>
      <w:pPr>
        <w:pStyle w:val="FirstParagraph"/>
      </w:pPr>
      <w:r>
        <w:t xml:space="preserve">CTPPs face a penalty regime written directly into DORA. The Lead Overseer may impose</w:t>
      </w:r>
      <w:r>
        <w:t xml:space="preserve"> </w:t>
      </w:r>
      <w:r>
        <w:rPr>
          <w:bCs/>
          <w:b/>
        </w:rPr>
        <w:t xml:space="preserve">periodic penalty payments of up to 1% of average daily worldwide turnover</w:t>
      </w:r>
      <w:r>
        <w:t xml:space="preserve">, for up to six consecutive months</w:t>
      </w:r>
      <w:r>
        <w:t xml:space="preserve"> </w:t>
      </w:r>
      <w:r>
        <w:rPr>
          <w:vertAlign w:val="superscript"/>
        </w:rPr>
        <w:t xml:space="preserve">47</w:t>
      </w:r>
      <w:r>
        <w:t xml:space="preserve"> </w:t>
      </w:r>
      <w:r>
        <w:rPr>
          <w:vertAlign w:val="superscript"/>
        </w:rPr>
        <w:t xml:space="preserve">35</w:t>
      </w:r>
      <w:r>
        <w:t xml:space="preserve"> </w:t>
      </w:r>
      <w:r>
        <w:rPr>
          <w:vertAlign w:val="superscript"/>
        </w:rPr>
        <w:t xml:space="preserve">46</w:t>
      </w:r>
      <w:r>
        <w:t xml:space="preserve">. For a cloud provider generating EUR 30 billion annually, this equates to approximately EUR 800,000 per day</w:t>
      </w:r>
      <w:r>
        <w:t xml:space="preserve"> </w:t>
      </w:r>
      <w:r>
        <w:rPr>
          <w:vertAlign w:val="superscript"/>
        </w:rPr>
        <w:t xml:space="preserve">47</w:t>
      </w:r>
      <w:r>
        <w:t xml:space="preserve">. CTPPs also face fines up to EUR 5 million, and individual employees can be fined up to EUR 500,000</w:t>
      </w:r>
      <w:r>
        <w:t xml:space="preserve"> </w:t>
      </w:r>
      <w:r>
        <w:rPr>
          <w:vertAlign w:val="superscript"/>
        </w:rPr>
        <w:t xml:space="preserve">49</w:t>
      </w:r>
      <w:r>
        <w:t xml:space="preserve">.</w:t>
      </w:r>
    </w:p>
    <w:p>
      <w:pPr>
        <w:pStyle w:val="BodyText"/>
      </w:pPr>
      <w:r>
        <w:rPr>
          <w:bCs/>
          <w:b/>
        </w:rPr>
        <w:t xml:space="preserve">Table 2: DORA Penalty Framework Summary</w:t>
      </w:r>
    </w:p>
    <w:tbl>
      <w:tblPr>
        <w:tblStyle w:val="Table"/>
        <w:tblW w:type="pct" w:w="5000"/>
        <w:tblLook w:firstRow="1" w:lastRow="0" w:firstColumn="0" w:lastColumn="0" w:noHBand="0" w:noVBand="0" w:val="0020"/>
      </w:tblPr>
      <w:tblGrid>
        <w:gridCol w:w="1389"/>
        <w:gridCol w:w="2223"/>
        <w:gridCol w:w="972"/>
        <w:gridCol w:w="3334"/>
      </w:tblGrid>
      <w:tr>
        <w:trPr>
          <w:tblHeader w:val="true"/>
        </w:trPr>
        <w:tc>
          <w:tcPr/>
          <w:p>
            <w:pPr>
              <w:pStyle w:val="Compact"/>
              <w:jc w:val="left"/>
            </w:pPr>
            <w:r>
              <w:t xml:space="preserve">Category</w:t>
            </w:r>
          </w:p>
        </w:tc>
        <w:tc>
          <w:tcPr/>
          <w:p>
            <w:pPr>
              <w:pStyle w:val="Compact"/>
              <w:jc w:val="left"/>
            </w:pPr>
            <w:r>
              <w:t xml:space="preserve">Maximum Penalty</w:t>
            </w:r>
          </w:p>
        </w:tc>
        <w:tc>
          <w:tcPr/>
          <w:p>
            <w:pPr>
              <w:pStyle w:val="Compact"/>
              <w:jc w:val="left"/>
            </w:pPr>
            <w:r>
              <w:t xml:space="preserve">Basis</w:t>
            </w:r>
          </w:p>
        </w:tc>
        <w:tc>
          <w:tcPr/>
          <w:p>
            <w:pPr>
              <w:pStyle w:val="Compact"/>
              <w:jc w:val="left"/>
            </w:pPr>
            <w:r>
              <w:t xml:space="preserve">Key Additional Measures</w:t>
            </w:r>
          </w:p>
        </w:tc>
      </w:tr>
      <w:tr>
        <w:tc>
          <w:tcPr/>
          <w:p>
            <w:pPr>
              <w:pStyle w:val="Compact"/>
              <w:jc w:val="left"/>
            </w:pPr>
            <w:r>
              <w:rPr>
                <w:bCs/>
                <w:b/>
              </w:rPr>
              <w:t xml:space="preserve">Financial entities</w:t>
            </w:r>
          </w:p>
        </w:tc>
        <w:tc>
          <w:tcPr/>
          <w:p>
            <w:pPr>
              <w:pStyle w:val="Compact"/>
              <w:jc w:val="left"/>
            </w:pPr>
            <w:r>
              <w:t xml:space="preserve">Up to 2% of total annual worldwide turnover or EUR 10 million, whichever is higher</w:t>
            </w:r>
          </w:p>
        </w:tc>
        <w:tc>
          <w:tcPr/>
          <w:p>
            <w:pPr>
              <w:pStyle w:val="Compact"/>
              <w:jc w:val="left"/>
            </w:pPr>
            <w:r>
              <w:t xml:space="preserve">National transposition of Article 50</w:t>
            </w:r>
          </w:p>
        </w:tc>
        <w:tc>
          <w:tcPr/>
          <w:p>
            <w:pPr>
              <w:pStyle w:val="Compact"/>
              <w:jc w:val="left"/>
            </w:pPr>
            <w:r>
              <w:t xml:space="preserve">Public censure; temporary prohibition of management functions; authorisation withdrawal; remediation orders</w:t>
            </w:r>
            <w:r>
              <w:t xml:space="preserve"> </w:t>
            </w:r>
            <w:r>
              <w:rPr>
                <w:vertAlign w:val="superscript"/>
              </w:rPr>
              <w:t xml:space="preserve">49</w:t>
            </w:r>
            <w:r>
              <w:t xml:space="preserve"> </w:t>
            </w:r>
            <w:r>
              <w:rPr>
                <w:vertAlign w:val="superscript"/>
              </w:rPr>
              <w:t xml:space="preserve">50</w:t>
            </w:r>
            <w:r>
              <w:t xml:space="preserve"> </w:t>
            </w:r>
            <w:r>
              <w:rPr>
                <w:vertAlign w:val="superscript"/>
              </w:rPr>
              <w:t xml:space="preserve">51</w:t>
            </w:r>
          </w:p>
        </w:tc>
      </w:tr>
      <w:tr>
        <w:tc>
          <w:tcPr/>
          <w:p>
            <w:pPr>
              <w:pStyle w:val="Compact"/>
              <w:jc w:val="left"/>
            </w:pPr>
            <w:r>
              <w:rPr>
                <w:bCs/>
                <w:b/>
              </w:rPr>
              <w:t xml:space="preserve">Individual board members</w:t>
            </w:r>
          </w:p>
        </w:tc>
        <w:tc>
          <w:tcPr/>
          <w:p>
            <w:pPr>
              <w:pStyle w:val="Compact"/>
              <w:jc w:val="left"/>
            </w:pPr>
            <w:r>
              <w:t xml:space="preserve">Up to EUR 5 million (Germany, Italy); up to EUR 1 million (Ireland)</w:t>
            </w:r>
          </w:p>
        </w:tc>
        <w:tc>
          <w:tcPr/>
          <w:p>
            <w:pPr>
              <w:pStyle w:val="Compact"/>
              <w:jc w:val="left"/>
            </w:pPr>
            <w:r>
              <w:t xml:space="preserve">Article 50(3) national implementation</w:t>
            </w:r>
          </w:p>
        </w:tc>
        <w:tc>
          <w:tcPr/>
          <w:p>
            <w:pPr>
              <w:pStyle w:val="Compact"/>
              <w:jc w:val="left"/>
            </w:pPr>
            <w:r>
              <w:t xml:space="preserve">Temporary ban from management functions across EU; potential criminal liability under Article 52</w:t>
            </w:r>
            <w:r>
              <w:t xml:space="preserve"> </w:t>
            </w:r>
            <w:r>
              <w:rPr>
                <w:vertAlign w:val="superscript"/>
              </w:rPr>
              <w:t xml:space="preserve">53</w:t>
            </w:r>
            <w:r>
              <w:t xml:space="preserve"> </w:t>
            </w:r>
            <w:r>
              <w:rPr>
                <w:vertAlign w:val="superscript"/>
              </w:rPr>
              <w:t xml:space="preserve">51</w:t>
            </w:r>
          </w:p>
        </w:tc>
      </w:tr>
      <w:tr>
        <w:tc>
          <w:tcPr/>
          <w:p>
            <w:pPr>
              <w:pStyle w:val="Compact"/>
              <w:jc w:val="left"/>
            </w:pPr>
            <w:r>
              <w:rPr>
                <w:bCs/>
                <w:b/>
              </w:rPr>
              <w:t xml:space="preserve">CTPPs — periodic penalties</w:t>
            </w:r>
          </w:p>
        </w:tc>
        <w:tc>
          <w:tcPr/>
          <w:p>
            <w:pPr>
              <w:pStyle w:val="Compact"/>
              <w:jc w:val="left"/>
            </w:pPr>
            <w:r>
              <w:t xml:space="preserve">Up to 1% of average daily worldwide turnover, for up to 6 months</w:t>
            </w:r>
          </w:p>
        </w:tc>
        <w:tc>
          <w:tcPr/>
          <w:p>
            <w:pPr>
              <w:pStyle w:val="Compact"/>
              <w:jc w:val="left"/>
            </w:pPr>
            <w:r>
              <w:t xml:space="preserve">DORA Articles 50–52 (directly applicable)</w:t>
            </w:r>
          </w:p>
        </w:tc>
        <w:tc>
          <w:tcPr/>
          <w:p>
            <w:pPr>
              <w:pStyle w:val="Compact"/>
              <w:jc w:val="left"/>
            </w:pPr>
            <w:r>
              <w:t xml:space="preserve">Recommendation to suspend/terminate contracts; public naming; mandatory corrective measures</w:t>
            </w:r>
            <w:r>
              <w:t xml:space="preserve"> </w:t>
            </w:r>
            <w:r>
              <w:rPr>
                <w:vertAlign w:val="superscript"/>
              </w:rPr>
              <w:t xml:space="preserve">47</w:t>
            </w:r>
            <w:r>
              <w:t xml:space="preserve"> </w:t>
            </w:r>
            <w:r>
              <w:rPr>
                <w:vertAlign w:val="superscript"/>
              </w:rPr>
              <w:t xml:space="preserve">35</w:t>
            </w:r>
            <w:r>
              <w:t xml:space="preserve"> </w:t>
            </w:r>
            <w:r>
              <w:rPr>
                <w:vertAlign w:val="superscript"/>
              </w:rPr>
              <w:t xml:space="preserve">46</w:t>
            </w:r>
          </w:p>
        </w:tc>
      </w:tr>
      <w:tr>
        <w:tc>
          <w:tcPr/>
          <w:p>
            <w:pPr>
              <w:pStyle w:val="Compact"/>
              <w:jc w:val="left"/>
            </w:pPr>
            <w:r>
              <w:rPr>
                <w:bCs/>
                <w:b/>
              </w:rPr>
              <w:t xml:space="preserve">CTPPs — fixed fines</w:t>
            </w:r>
          </w:p>
        </w:tc>
        <w:tc>
          <w:tcPr/>
          <w:p>
            <w:pPr>
              <w:pStyle w:val="Compact"/>
              <w:jc w:val="left"/>
            </w:pPr>
            <w:r>
              <w:t xml:space="preserve">Up to EUR 5 million per entity; up to EUR 500,000 per individual</w:t>
            </w:r>
          </w:p>
        </w:tc>
        <w:tc>
          <w:tcPr/>
          <w:p>
            <w:pPr>
              <w:pStyle w:val="Compact"/>
              <w:jc w:val="left"/>
            </w:pPr>
            <w:r>
              <w:t xml:space="preserve">DORA Articles 50–52</w:t>
            </w:r>
          </w:p>
        </w:tc>
        <w:tc>
          <w:tcPr/>
          <w:p>
            <w:pPr>
              <w:pStyle w:val="Compact"/>
              <w:jc w:val="left"/>
            </w:pPr>
            <w:r>
              <w:t xml:space="preserve">EU establishment requirement; oversight fees</w:t>
            </w:r>
            <w:r>
              <w:t xml:space="preserve"> </w:t>
            </w:r>
            <w:r>
              <w:rPr>
                <w:vertAlign w:val="superscript"/>
              </w:rPr>
              <w:t xml:space="preserve">49</w:t>
            </w:r>
          </w:p>
        </w:tc>
      </w:tr>
    </w:tbl>
    <w:p>
      <w:pPr>
        <w:pStyle w:val="BodyText"/>
      </w:pPr>
      <w:r>
        <w:t xml:space="preserve">The 2% worldwide turnover ceiling places DORA in the same enforcement tier as GDPR. The EUR 5 million personal liability transforms ICT risk from a technical concern into personal financial exposure. The 1% daily turnover penalty for CTPPs — compounded over six months — creates a credible threat for even the largest providers.</w:t>
      </w:r>
    </w:p>
    <w:p>
      <w:pPr>
        <w:pStyle w:val="BodyText"/>
      </w:pPr>
      <w:r>
        <w:t xml:space="preserve">NCAs retain discretion within maximum thresholds, considering violation duration, cooperation levels, and enforcement history</w:t>
      </w:r>
      <w:r>
        <w:t xml:space="preserve"> </w:t>
      </w:r>
      <w:r>
        <w:rPr>
          <w:vertAlign w:val="superscript"/>
        </w:rPr>
        <w:t xml:space="preserve">54</w:t>
      </w:r>
      <w:r>
        <w:t xml:space="preserve">. In practice, 2025 was a</w:t>
      </w:r>
      <w:r>
        <w:t xml:space="preserve"> </w:t>
      </w:r>
      <w:r>
        <w:t xml:space="preserve">“</w:t>
      </w:r>
      <w:r>
        <w:t xml:space="preserve">transition year</w:t>
      </w:r>
      <w:r>
        <w:t xml:space="preserve">”</w:t>
      </w:r>
      <w:r>
        <w:t xml:space="preserve"> </w:t>
      </w:r>
      <w:r>
        <w:t xml:space="preserve">with supervisors focused on operational continuity evidence rather than punitive action</w:t>
      </w:r>
      <w:r>
        <w:t xml:space="preserve"> </w:t>
      </w:r>
      <w:r>
        <w:rPr>
          <w:vertAlign w:val="superscript"/>
        </w:rPr>
        <w:t xml:space="preserve">55</w:t>
      </w:r>
      <w:r>
        <w:t xml:space="preserve"> </w:t>
      </w:r>
      <w:r>
        <w:rPr>
          <w:vertAlign w:val="superscript"/>
        </w:rPr>
        <w:t xml:space="preserve">56</w:t>
      </w:r>
      <w:r>
        <w:t xml:space="preserve">. But as the ESAs move to active enforcement in 2026, institutions that treated DORA as a paper-compliance exercise will find supervisory patience exhausted. DORA compliance is not a project with a completion date — it is a continuous operational discipline at the intersection of regulatory survival and competitive advantage.</w:t>
      </w:r>
    </w:p>
    <w:p>
      <w:r>
        <w:pict>
          <v:rect style="width:0;height:1.5pt" o:hralign="center" o:hrstd="t" o:hr="t"/>
        </w:pict>
      </w:r>
    </w:p>
    <w:bookmarkEnd w:id="39"/>
    <w:bookmarkEnd w:id="40"/>
    <w:bookmarkStart w:id="55" w:name="Xb0a9f6be974121466a18a13ea3ac7c57e38b7b0"/>
    <w:p>
      <w:pPr>
        <w:pStyle w:val="Heading2"/>
      </w:pPr>
      <w:r>
        <w:t xml:space="preserve">2. Global Regulatory Convergence — One Platform, All Frameworks</w:t>
      </w:r>
    </w:p>
    <w:p>
      <w:pPr>
        <w:pStyle w:val="FirstParagraph"/>
      </w:pPr>
      <w:r>
        <w:t xml:space="preserve">The single most important strategic fact about operational resilience regulation in 2025 is this: frameworks developed in isolation over a decade are converging on the same five requirements. The EU’s Digital Operational Resilience Act (DORA) entered into force on January 17, 2025</w:t>
      </w:r>
      <w:r>
        <w:t xml:space="preserve"> </w:t>
      </w:r>
      <w:r>
        <w:rPr>
          <w:vertAlign w:val="superscript"/>
        </w:rPr>
        <w:t xml:space="preserve">57</w:t>
      </w:r>
      <w:r>
        <w:t xml:space="preserve">. Australia’s CPS 230, effective July 1, 2025, was explicitly modeled on DORA</w:t>
      </w:r>
      <w:r>
        <w:t xml:space="preserve"> </w:t>
      </w:r>
      <w:r>
        <w:rPr>
          <w:vertAlign w:val="superscript"/>
        </w:rPr>
        <w:t xml:space="preserve">58</w:t>
      </w:r>
      <w:r>
        <w:t xml:space="preserve">. Singapore’s MAS TRM Notice became legally binding in May 2024 with enforcement metrics that command board attention</w:t>
      </w:r>
      <w:r>
        <w:t xml:space="preserve"> </w:t>
      </w:r>
      <w:r>
        <w:rPr>
          <w:vertAlign w:val="superscript"/>
        </w:rPr>
        <w:t xml:space="preserve">43</w:t>
      </w:r>
      <w:r>
        <w:t xml:space="preserve">. The US FFIEC CAT sunsets on August 31, 2025, forcing a transition to NIST CSF 2.0</w:t>
      </w:r>
      <w:r>
        <w:t xml:space="preserve"> </w:t>
      </w:r>
      <w:r>
        <w:rPr>
          <w:vertAlign w:val="superscript"/>
        </w:rPr>
        <w:t xml:space="preserve">59</w:t>
      </w:r>
      <w:r>
        <w:t xml:space="preserve">. Germany’s BAIT faces full repeal by December 2026 as DORA supersedes it</w:t>
      </w:r>
      <w:r>
        <w:t xml:space="preserve"> </w:t>
      </w:r>
      <w:r>
        <w:rPr>
          <w:vertAlign w:val="superscript"/>
        </w:rPr>
        <w:t xml:space="preserve">18</w:t>
      </w:r>
      <w:r>
        <w:t xml:space="preserve">.</w:t>
      </w:r>
    </w:p>
    <w:p>
      <w:pPr>
        <w:pStyle w:val="BodyText"/>
      </w:pPr>
      <w:r>
        <w:t xml:space="preserve">For institutions operating across even two jurisdictions, compliance is an exercise in multi-dimensional mapping — tracking overlapping obligations, divergent timelines, and subtly different definitions of the same control. Those that recognize the convergence pattern can architect a unified resilience program that satisfies multiple regulators simultaneously.</w:t>
      </w:r>
    </w:p>
    <w:p>
      <w:pPr>
        <w:pStyle w:val="BodyText"/>
      </w:pPr>
      <w:r>
        <w:t xml:space="preserve">This section maps the ten major frameworks, identifies the five universal requirements, and provides a sequenced go-to-market priority framework.</w:t>
      </w:r>
    </w:p>
    <w:bookmarkStart w:id="47" w:name="the-10-major-frameworks"/>
    <w:p>
      <w:pPr>
        <w:pStyle w:val="Heading3"/>
      </w:pPr>
      <w:r>
        <w:t xml:space="preserve">2.1 The 10 Major Frameworks</w:t>
      </w:r>
    </w:p>
    <w:bookmarkStart w:id="41" w:name="Xa4b84bdbaa018bc45aa73c279015c99d7829d82"/>
    <w:p>
      <w:pPr>
        <w:pStyle w:val="Heading4"/>
      </w:pPr>
      <w:r>
        <w:t xml:space="preserve">2.1.1 EU: DORA (January 2025) + TIBER-EU (Updated February 2025)</w:t>
      </w:r>
    </w:p>
    <w:p>
      <w:pPr>
        <w:pStyle w:val="FirstParagraph"/>
      </w:pPr>
      <w:r>
        <w:t xml:space="preserve">The EU Digital Operational Resilience Act (Regulation 2022/2554) is the most comprehensive operational resilience regulation ever enacted. It applies to over 22,000 financial entities across the European Union and, critically, extends extraterritorially to non-EU ICT service providers that serve them</w:t>
      </w:r>
      <w:r>
        <w:t xml:space="preserve"> </w:t>
      </w:r>
      <w:r>
        <w:rPr>
          <w:vertAlign w:val="superscript"/>
        </w:rPr>
        <w:t xml:space="preserve">60</w:t>
      </w:r>
      <w:r>
        <w:t xml:space="preserve">. DORA’s scope covers five pillars: ICT risk management, incident reporting, resilience testing, third-party risk management, and information sharing.</w:t>
      </w:r>
    </w:p>
    <w:p>
      <w:pPr>
        <w:pStyle w:val="BodyText"/>
      </w:pPr>
      <w:r>
        <w:t xml:space="preserve">Article 26 of DORA mandates Threat-Led Penetration Testing (TLPT) for all</w:t>
      </w:r>
      <w:r>
        <w:t xml:space="preserve"> </w:t>
      </w:r>
      <w:r>
        <w:t xml:space="preserve">“</w:t>
      </w:r>
      <w:r>
        <w:t xml:space="preserve">significant entities</w:t>
      </w:r>
      <w:r>
        <w:t xml:space="preserve">”</w:t>
      </w:r>
      <w:r>
        <w:t xml:space="preserve"> </w:t>
      </w:r>
      <w:r>
        <w:t xml:space="preserve">at least every three years, with the Commission Delegated Regulation (EU) 2025/1190 specifying the Regulatory Technical Standards effective July 8, 2025</w:t>
      </w:r>
      <w:r>
        <w:t xml:space="preserve"> </w:t>
      </w:r>
      <w:r>
        <w:rPr>
          <w:vertAlign w:val="superscript"/>
        </w:rPr>
        <w:t xml:space="preserve">57</w:t>
      </w:r>
      <w:r>
        <w:t xml:space="preserve">. The TLPT requirement is not a paper exercise. It demands live production system testing by accredited Threat Intelligence Providers (TIPs) and Red Team Testers (RTTs), with purple-teaming debriefs now made mandatory under the 2025 standards</w:t>
      </w:r>
      <w:r>
        <w:t xml:space="preserve"> </w:t>
      </w:r>
      <w:r>
        <w:rPr>
          <w:vertAlign w:val="superscript"/>
        </w:rPr>
        <w:t xml:space="preserve">61</w:t>
      </w:r>
      <w:r>
        <w:t xml:space="preserve">.</w:t>
      </w:r>
    </w:p>
    <w:p>
      <w:pPr>
        <w:pStyle w:val="BodyText"/>
      </w:pPr>
      <w:r>
        <w:t xml:space="preserve">The ECB updated TIBER-EU in February 2025 to align fully with DORA’s TLPT RTS</w:t>
      </w:r>
      <w:r>
        <w:t xml:space="preserve"> </w:t>
      </w:r>
      <w:r>
        <w:rPr>
          <w:vertAlign w:val="superscript"/>
        </w:rPr>
        <w:t xml:space="preserve">62</w:t>
      </w:r>
      <w:r>
        <w:t xml:space="preserve">, introducing mandatory purple-teaming, updated terminology (replacing</w:t>
      </w:r>
      <w:r>
        <w:t xml:space="preserve"> </w:t>
      </w:r>
      <w:r>
        <w:t xml:space="preserve">“</w:t>
      </w:r>
      <w:r>
        <w:t xml:space="preserve">White Team</w:t>
      </w:r>
      <w:r>
        <w:t xml:space="preserve">”</w:t>
      </w:r>
      <w:r>
        <w:t xml:space="preserve"> </w:t>
      </w:r>
      <w:r>
        <w:t xml:space="preserve">with</w:t>
      </w:r>
      <w:r>
        <w:t xml:space="preserve"> </w:t>
      </w:r>
      <w:r>
        <w:t xml:space="preserve">“</w:t>
      </w:r>
      <w:r>
        <w:t xml:space="preserve">Control Team</w:t>
      </w:r>
      <w:r>
        <w:t xml:space="preserve">”</w:t>
      </w:r>
      <w:r>
        <w:t xml:space="preserve">), and simplified national adoption procedures</w:t>
      </w:r>
      <w:r>
        <w:t xml:space="preserve"> </w:t>
      </w:r>
      <w:r>
        <w:rPr>
          <w:vertAlign w:val="superscript"/>
        </w:rPr>
        <w:t xml:space="preserve">57</w:t>
      </w:r>
      <w:r>
        <w:t xml:space="preserve">. Tests span 9-12 months for the full lifecycle with 10-12 weeks of active testing, covering at minimum three threat scenarios addressing confidentiality, integrity, and availability</w:t>
      </w:r>
      <w:r>
        <w:t xml:space="preserve"> </w:t>
      </w:r>
      <w:r>
        <w:rPr>
          <w:vertAlign w:val="superscript"/>
        </w:rPr>
        <w:t xml:space="preserve">61</w:t>
      </w:r>
      <w:r>
        <w:t xml:space="preserve">. Every significant EU financial institution must now manage a continuous TLPT lifecycle on a triennial cycle at minimum — a complex orchestration challenge across multiple member state entities.</w:t>
      </w:r>
    </w:p>
    <w:bookmarkEnd w:id="41"/>
    <w:bookmarkStart w:id="42" w:name="X471bbc0009ce13bb5246fc9693927302762d7ac"/>
    <w:p>
      <w:pPr>
        <w:pStyle w:val="Heading4"/>
      </w:pPr>
      <w:r>
        <w:t xml:space="preserve">2.1.2 UK: CBEST (Bank of England, 2014) + GBEST (Global Extension)</w:t>
      </w:r>
    </w:p>
    <w:p>
      <w:pPr>
        <w:pStyle w:val="FirstParagraph"/>
      </w:pPr>
      <w:r>
        <w:t xml:space="preserve">CBEST (Threat Intelligence-Led Penetration Testing) was the world’s first central bank-led cybersecurity testing framework when the Bank of England launched it in 2014</w:t>
      </w:r>
      <w:r>
        <w:t xml:space="preserve"> </w:t>
      </w:r>
      <w:r>
        <w:rPr>
          <w:vertAlign w:val="superscript"/>
        </w:rPr>
        <w:t xml:space="preserve">63</w:t>
      </w:r>
      <w:r>
        <w:t xml:space="preserve">. Developed in partnership with CREST (Council of Registered Ethical Security Testers), CBEST established the template that TIBER-EU and, subsequently, DORA TLPT would follow. CBEST targets the UK’s Systemically Important Financial Institutions (SIFIs) and operates through a structured five-phase lifecycle: initiation, threat intelligence, penetration testing, detection and response assessment, and remediation</w:t>
      </w:r>
      <w:r>
        <w:t xml:space="preserve"> </w:t>
      </w:r>
      <w:r>
        <w:rPr>
          <w:vertAlign w:val="superscript"/>
        </w:rPr>
        <w:t xml:space="preserve">64</w:t>
      </w:r>
      <w:r>
        <w:t xml:space="preserve">.</w:t>
      </w:r>
    </w:p>
    <w:p>
      <w:pPr>
        <w:pStyle w:val="BodyText"/>
      </w:pPr>
      <w:r>
        <w:t xml:space="preserve">What distinguishes CBEST from other frameworks is its accreditation rigor. Both Threat Intelligence Providers and penetration testers must hold specific CREST certifications — CCTIM (Certified Threat Intelligence Manager), CCSAM (Certified Simulated Attack Manager), and CCSAS (Certified Simulated Attack Specialist) — and must be CBEST-accredited by the Bank of England itself</w:t>
      </w:r>
      <w:r>
        <w:t xml:space="preserve"> </w:t>
      </w:r>
      <w:r>
        <w:rPr>
          <w:vertAlign w:val="superscript"/>
        </w:rPr>
        <w:t xml:space="preserve">64</w:t>
      </w:r>
      <w:r>
        <w:t xml:space="preserve">. This creates a constrained provider market and a high bar for test quality that has made CBEST the global gold standard for intelligence-led testing.</w:t>
      </w:r>
    </w:p>
    <w:p>
      <w:pPr>
        <w:pStyle w:val="BodyText"/>
      </w:pPr>
      <w:r>
        <w:t xml:space="preserve">GBEST (Global Benchmark for Enhanced Security Testing) extends the CBEST methodology internationally as a voluntary benchmark for non-UK institutions</w:t>
      </w:r>
      <w:r>
        <w:t xml:space="preserve"> </w:t>
      </w:r>
      <w:r>
        <w:rPr>
          <w:vertAlign w:val="superscript"/>
        </w:rPr>
        <w:t xml:space="preserve">63</w:t>
      </w:r>
      <w:r>
        <w:t xml:space="preserve">. While CBEST carries UK regulatory force, GBEST provides the same testing rigor as a market-driven standard. For institutions in jurisdictions without mandatory threat-led testing regimes, GBEST offers a stepping stone toward TIBER-EU or DORA TLPT compliance. The Bank of England has confirmed that CBEST aligns with DORA’s TLPT requirements, meaning institutions with existing CBEST programs have a migration path rather than a replacement requirement.</w:t>
      </w:r>
    </w:p>
    <w:bookmarkEnd w:id="42"/>
    <w:bookmarkStart w:id="43" w:name="X20cb7db275000866161e6e02daa83fdcab82eb2"/>
    <w:p>
      <w:pPr>
        <w:pStyle w:val="Heading4"/>
      </w:pPr>
      <w:r>
        <w:t xml:space="preserve">2.1.3 US: NIST CSF 2.0 (February 2024) + FFIEC CAT (Sunset August 2025)</w:t>
      </w:r>
    </w:p>
    <w:p>
      <w:pPr>
        <w:pStyle w:val="FirstParagraph"/>
      </w:pPr>
      <w:r>
        <w:t xml:space="preserve">The American regulatory landscape is in forced transition. The FFIEC CAT, used by examiners as the de facto assessment baseline since 2015, will be removed from the FFIEC website on August 31, 2025</w:t>
      </w:r>
      <w:r>
        <w:t xml:space="preserve"> </w:t>
      </w:r>
      <w:r>
        <w:rPr>
          <w:vertAlign w:val="superscript"/>
        </w:rPr>
        <w:t xml:space="preserve">59</w:t>
      </w:r>
      <w:r>
        <w:t xml:space="preserve">. The FFIEC determined not to update CAT to reflect NIST CSF 2.0 or CISA Cybersecurity Performance Goals</w:t>
      </w:r>
      <w:r>
        <w:t xml:space="preserve"> </w:t>
      </w:r>
      <w:r>
        <w:rPr>
          <w:vertAlign w:val="superscript"/>
        </w:rPr>
        <w:t xml:space="preserve">25</w:t>
      </w:r>
      <w:r>
        <w:t xml:space="preserve">.</w:t>
      </w:r>
    </w:p>
    <w:p>
      <w:pPr>
        <w:pStyle w:val="BodyText"/>
      </w:pPr>
      <w:r>
        <w:t xml:space="preserve">The recommended replacement, NIST Cybersecurity Framework 2.0, published February 26, 2024, introduces a sixth core function:</w:t>
      </w:r>
      <w:r>
        <w:t xml:space="preserve"> </w:t>
      </w:r>
      <w:r>
        <w:rPr>
          <w:bCs/>
          <w:b/>
        </w:rPr>
        <w:t xml:space="preserve">Govern (GV)</w:t>
      </w:r>
      <w:r>
        <w:t xml:space="preserve"> </w:t>
      </w:r>
      <w:r>
        <w:rPr>
          <w:vertAlign w:val="superscript"/>
        </w:rPr>
        <w:t xml:space="preserve">34</w:t>
      </w:r>
      <w:r>
        <w:t xml:space="preserve">, with 31 subcategories elevating cybersecurity governance to a standalone pillar</w:t>
      </w:r>
      <w:r>
        <w:t xml:space="preserve"> </w:t>
      </w:r>
      <w:r>
        <w:rPr>
          <w:vertAlign w:val="superscript"/>
        </w:rPr>
        <w:t xml:space="preserve">45</w:t>
      </w:r>
      <w:r>
        <w:t xml:space="preserve">. The Supply Chain Risk Management category (GV.SC) contains 10 subcategories, reflecting heightened focus on third-party risk that aligns directly with DORA Article 28 and CPS 230’s Material Service Provider requirements</w:t>
      </w:r>
      <w:r>
        <w:t xml:space="preserve"> </w:t>
      </w:r>
      <w:r>
        <w:rPr>
          <w:vertAlign w:val="superscript"/>
        </w:rPr>
        <w:t xml:space="preserve">29</w:t>
      </w:r>
      <w:r>
        <w:t xml:space="preserve">. With 54% global adoption according to Fortra’s 2025 survey, CSF 2.0 has become the de facto international standard</w:t>
      </w:r>
      <w:r>
        <w:t xml:space="preserve"> </w:t>
      </w:r>
      <w:r>
        <w:rPr>
          <w:vertAlign w:val="superscript"/>
        </w:rPr>
        <w:t xml:space="preserve">65</w:t>
      </w:r>
      <w:r>
        <w:t xml:space="preserve">. The NCUA will continue supporting its ACET tool (based on CAT) for credit unions</w:t>
      </w:r>
      <w:r>
        <w:t xml:space="preserve"> </w:t>
      </w:r>
      <w:r>
        <w:rPr>
          <w:vertAlign w:val="superscript"/>
        </w:rPr>
        <w:t xml:space="preserve">66</w:t>
      </w:r>
      <w:r>
        <w:t xml:space="preserve">, creating a bifurcated landscape even within the US.</w:t>
      </w:r>
    </w:p>
    <w:bookmarkEnd w:id="43"/>
    <w:bookmarkStart w:id="44" w:name="X530dfd5b1e05a9ed073f9ea935652001407f00d"/>
    <w:p>
      <w:pPr>
        <w:pStyle w:val="Heading4"/>
      </w:pPr>
      <w:r>
        <w:t xml:space="preserve">2.1.4 Australia: APRA CPS 230 (Effective July 2025)</w:t>
      </w:r>
    </w:p>
    <w:p>
      <w:pPr>
        <w:pStyle w:val="FirstParagraph"/>
      </w:pPr>
      <w:r>
        <w:t xml:space="preserve">APRA CPS 230 is the newest major framework in the global operational resilience architecture. Effective July 1, 2025, it consolidates and replaces two previous standards — CPS 231 (Outsourcing) and CPS 232 (Business Continuity Management) — into a single comprehensive framework</w:t>
      </w:r>
      <w:r>
        <w:t xml:space="preserve"> </w:t>
      </w:r>
      <w:r>
        <w:rPr>
          <w:vertAlign w:val="superscript"/>
        </w:rPr>
        <w:t xml:space="preserve">14</w:t>
      </w:r>
      <w:r>
        <w:t xml:space="preserve">. CPS 230 applies to all APRA-regulated entities: banks, insurers, and superannuation trustees.</w:t>
      </w:r>
    </w:p>
    <w:p>
      <w:pPr>
        <w:pStyle w:val="BodyText"/>
      </w:pPr>
      <w:r>
        <w:t xml:space="preserve">CPS 230 is explicitly modeled on DORA but takes a broader approach. Where DORA focuses specifically on ICT risk, CPS 230 encompasses all operational risk — ICT and non-ICT alike</w:t>
      </w:r>
      <w:r>
        <w:t xml:space="preserve"> </w:t>
      </w:r>
      <w:r>
        <w:rPr>
          <w:vertAlign w:val="superscript"/>
        </w:rPr>
        <w:t xml:space="preserve">67</w:t>
      </w:r>
      <w:r>
        <w:t xml:space="preserve">. This broader scope means that compliance programs designed for CPS 230 will satisfy DORA’s ICT-specific requirements but not vice versa. The framework requires board and senior management direct accountability for operational resilience, notification to APRA within 72 hours for material incidents, comprehensive Material Service Provider management extending to fourth-party suppliers, and integrated scenario testing</w:t>
      </w:r>
      <w:r>
        <w:t xml:space="preserve"> </w:t>
      </w:r>
      <w:r>
        <w:rPr>
          <w:vertAlign w:val="superscript"/>
        </w:rPr>
        <w:t xml:space="preserve">14</w:t>
      </w:r>
      <w:r>
        <w:t xml:space="preserve">.</w:t>
      </w:r>
    </w:p>
    <w:p>
      <w:pPr>
        <w:pStyle w:val="BodyText"/>
      </w:pPr>
      <w:r>
        <w:t xml:space="preserve">APRA retains the right to inspect service providers directly — a power that mirrors DORA’s oversight of critical ICT third-party providers but extends more broadly. For global institutions operating in both Australia and the EU, CPS 230’s broader scope should be the design anchor, with DORA’s ICT-specific requirements treated as a subset.</w:t>
      </w:r>
    </w:p>
    <w:bookmarkEnd w:id="44"/>
    <w:bookmarkStart w:id="45" w:name="singapore-mas-trm-binding-since-may-2024"/>
    <w:p>
      <w:pPr>
        <w:pStyle w:val="Heading4"/>
      </w:pPr>
      <w:r>
        <w:t xml:space="preserve">2.1.5 Singapore: MAS TRM (Binding Since May 2024)</w:t>
      </w:r>
    </w:p>
    <w:p>
      <w:pPr>
        <w:pStyle w:val="FirstParagraph"/>
      </w:pPr>
      <w:r>
        <w:t xml:space="preserve">Singapore’s Technology Risk Management framework operates through a two-tier structure: the TRM Guidelines (principles-based, revised January 2021) and the legally binding Notices — specifically FSM N21, effective May 10, 2024</w:t>
      </w:r>
      <w:r>
        <w:t xml:space="preserve"> </w:t>
      </w:r>
      <w:r>
        <w:rPr>
          <w:vertAlign w:val="superscript"/>
        </w:rPr>
        <w:t xml:space="preserve">43</w:t>
      </w:r>
      <w:r>
        <w:t xml:space="preserve">. The Notice mandates six requirements: a framework for identifying critical systems, high availability efforts, a Recovery Time Objective of no more than 4 hours for critical systems, 1-hour incident notification to MAS, a root cause analysis report within 14 days, and IT controls to protect customer information</w:t>
      </w:r>
      <w:r>
        <w:t xml:space="preserve"> </w:t>
      </w:r>
      <w:r>
        <w:rPr>
          <w:vertAlign w:val="superscript"/>
        </w:rPr>
        <w:t xml:space="preserve">43</w:t>
      </w:r>
      <w:r>
        <w:t xml:space="preserve">.</w:t>
      </w:r>
    </w:p>
    <w:p>
      <w:pPr>
        <w:pStyle w:val="BodyText"/>
      </w:pPr>
      <w:r>
        <w:t xml:space="preserve">The enforcement data commands attention. Between July 2023 and December 2024, MAS opened 163 enforcement cases, secured 33 criminal convictions, and levied $4.4 million in financial penalties plus $7.16 million in civil penalties</w:t>
      </w:r>
      <w:r>
        <w:t xml:space="preserve"> </w:t>
      </w:r>
      <w:r>
        <w:rPr>
          <w:vertAlign w:val="superscript"/>
        </w:rPr>
        <w:t xml:space="preserve">56</w:t>
      </w:r>
      <w:r>
        <w:t xml:space="preserve">. The Financial Services and Markets Bill increased maximum penalties for data breaches to $1 million per incident</w:t>
      </w:r>
      <w:r>
        <w:t xml:space="preserve"> </w:t>
      </w:r>
      <w:r>
        <w:rPr>
          <w:vertAlign w:val="superscript"/>
        </w:rPr>
        <w:t xml:space="preserve">56</w:t>
      </w:r>
      <w:r>
        <w:t xml:space="preserve">.</w:t>
      </w:r>
    </w:p>
    <w:p>
      <w:pPr>
        <w:pStyle w:val="BodyText"/>
      </w:pPr>
      <w:r>
        <w:t xml:space="preserve">The 2021 TRM revision significantly increased cyber-focused content (</w:t>
      </w:r>
      <w:r>
        <w:t xml:space="preserve">“</w:t>
      </w:r>
      <w:r>
        <w:t xml:space="preserve">cyber</w:t>
      </w:r>
      <w:r>
        <w:t xml:space="preserve">”</w:t>
      </w:r>
      <w:r>
        <w:t xml:space="preserve"> </w:t>
      </w:r>
      <w:r>
        <w:t xml:space="preserve">appears 74 times versus 4 in the 2013 version)</w:t>
      </w:r>
      <w:r>
        <w:t xml:space="preserve"> </w:t>
      </w:r>
      <w:r>
        <w:rPr>
          <w:vertAlign w:val="superscript"/>
        </w:rPr>
        <w:t xml:space="preserve">55</w:t>
      </w:r>
      <w:r>
        <w:t xml:space="preserve">. Singapore’s CTREX Panel, established September 2024, further bolsters best practices. For institutions operating in ASEAN, MAS TRM compliance is increasingly a license to operate.</w:t>
      </w:r>
    </w:p>
    <w:bookmarkEnd w:id="45"/>
    <w:bookmarkStart w:id="46" w:name="germany-bait-full-repeal-december-2026"/>
    <w:p>
      <w:pPr>
        <w:pStyle w:val="Heading4"/>
      </w:pPr>
      <w:r>
        <w:t xml:space="preserve">2.1.6 Germany: BAIT (Full Repeal December 2026)</w:t>
      </w:r>
    </w:p>
    <w:p>
      <w:pPr>
        <w:pStyle w:val="FirstParagraph"/>
      </w:pPr>
      <w:r>
        <w:t xml:space="preserve">BAIT (Bankaufsichtliche Anforderungen an die IT), BaFin’s circular setting out supervisory IT requirements for German banks, is being systematically dismantled as DORA supersedes national frameworks. The timeline is precise: DORA applied directly in Germany from January 17, 2025; VAIT, KAIT, and ZAIT (the insurance, asset management, and payment services equivalents) were repealed on January 16, 2025; BAIT Chapter 11 was removed in December 2024; and full BAIT repeal is scheduled for December 31, 2026</w:t>
      </w:r>
      <w:r>
        <w:t xml:space="preserve"> </w:t>
      </w:r>
      <w:r>
        <w:rPr>
          <w:vertAlign w:val="superscript"/>
        </w:rPr>
        <w:t xml:space="preserve">18</w:t>
      </w:r>
      <w:r>
        <w:t xml:space="preserve">.</w:t>
      </w:r>
    </w:p>
    <w:p>
      <w:pPr>
        <w:pStyle w:val="BodyText"/>
      </w:pPr>
      <w:r>
        <w:t xml:space="preserve">All institutions subject to DORA Sections 5-15 or 16 are now excluded from BAIT’s scope</w:t>
      </w:r>
      <w:r>
        <w:t xml:space="preserve"> </w:t>
      </w:r>
      <w:r>
        <w:rPr>
          <w:vertAlign w:val="superscript"/>
        </w:rPr>
        <w:t xml:space="preserve">18</w:t>
      </w:r>
      <w:r>
        <w:t xml:space="preserve">. The German Act on the Digitization of the Financial Market (FinmadiG), adopted in December 2024, extended DORA’s scope further. Non-CRR institutions — financial service institutions that fall outside the Capital Requirements Regulation — must comply by January 1, 2027.</w:t>
      </w:r>
    </w:p>
    <w:p>
      <w:pPr>
        <w:pStyle w:val="BodyText"/>
      </w:pPr>
      <w:r>
        <w:t xml:space="preserve">BAIT’s 12-chapter structure covering IT strategy, governance, risk management, information security, operational security, identity management, ICT operations, projects, application development, outsourcing, external procurement, and business continuity</w:t>
      </w:r>
      <w:r>
        <w:t xml:space="preserve"> </w:t>
      </w:r>
      <w:r>
        <w:rPr>
          <w:vertAlign w:val="superscript"/>
        </w:rPr>
        <w:t xml:space="preserve">68</w:t>
      </w:r>
      <w:r>
        <w:t xml:space="preserve">will be replaced by DORA’s five-pillar architecture. For German institutions, the transition is not a choice but a countdown. Those that have not yet begun mapping BAIT controls to DORA requirements are already behind.</w:t>
      </w:r>
    </w:p>
    <w:bookmarkEnd w:id="46"/>
    <w:bookmarkEnd w:id="47"/>
    <w:bookmarkStart w:id="53" w:name="the-5-universal-convergent-requirements"/>
    <w:p>
      <w:pPr>
        <w:pStyle w:val="Heading3"/>
      </w:pPr>
      <w:r>
        <w:t xml:space="preserve">2.2 The 5 Universal Convergent Requirements</w:t>
      </w:r>
    </w:p>
    <w:p>
      <w:pPr>
        <w:pStyle w:val="FirstParagraph"/>
      </w:pPr>
      <w:r>
        <w:t xml:space="preserve">Across all ten frameworks and six jurisdictions, five requirements appear without exception. These are not superficial similarities — they represent structural convergence on what regulators worldwide believe constitutes operational resilience. A platform that addresses these five requirements comprehensively can serve any jurisdiction, any framework, any institution.</w:t>
      </w:r>
    </w:p>
    <w:bookmarkStart w:id="48" w:name="board-level-governance"/>
    <w:p>
      <w:pPr>
        <w:pStyle w:val="Heading4"/>
      </w:pPr>
      <w:r>
        <w:t xml:space="preserve">2.2.1 Board-Level Governance</w:t>
      </w:r>
    </w:p>
    <w:p>
      <w:pPr>
        <w:pStyle w:val="FirstParagraph"/>
      </w:pPr>
      <w:r>
        <w:t xml:space="preserve">Every framework places direct, non-delegable accountability for operational resilience at the board level. DORA requires management body approval of the ICT risk management framework</w:t>
      </w:r>
      <w:r>
        <w:t xml:space="preserve"> </w:t>
      </w:r>
      <w:r>
        <w:rPr>
          <w:vertAlign w:val="superscript"/>
        </w:rPr>
        <w:t xml:space="preserve">60</w:t>
      </w:r>
      <w:r>
        <w:t xml:space="preserve">. CBEST mandates board-level reporting and supervisor oversight</w:t>
      </w:r>
      <w:r>
        <w:t xml:space="preserve"> </w:t>
      </w:r>
      <w:r>
        <w:rPr>
          <w:vertAlign w:val="superscript"/>
        </w:rPr>
        <w:t xml:space="preserve">64</w:t>
      </w:r>
      <w:r>
        <w:t xml:space="preserve">. TIBER-EU’s Control Team includes senior leadership with regulator oversight</w:t>
      </w:r>
      <w:r>
        <w:t xml:space="preserve"> </w:t>
      </w:r>
      <w:r>
        <w:rPr>
          <w:vertAlign w:val="superscript"/>
        </w:rPr>
        <w:t xml:space="preserve">62</w:t>
      </w:r>
      <w:r>
        <w:t xml:space="preserve">. NIST CSF 2.0’s Govern function makes cybersecurity governance a standalone pillar</w:t>
      </w:r>
      <w:r>
        <w:t xml:space="preserve"> </w:t>
      </w:r>
      <w:r>
        <w:rPr>
          <w:vertAlign w:val="superscript"/>
        </w:rPr>
        <w:t xml:space="preserve">45</w:t>
      </w:r>
      <w:r>
        <w:t xml:space="preserve">. APRA CPS 230 specifies</w:t>
      </w:r>
      <w:r>
        <w:t xml:space="preserve"> </w:t>
      </w:r>
      <w:r>
        <w:t xml:space="preserve">“</w:t>
      </w:r>
      <w:r>
        <w:t xml:space="preserve">direct accountability</w:t>
      </w:r>
      <w:r>
        <w:t xml:space="preserve">”</w:t>
      </w:r>
      <w:r>
        <w:t xml:space="preserve"> </w:t>
      </w:r>
      <w:r>
        <w:rPr>
          <w:vertAlign w:val="superscript"/>
        </w:rPr>
        <w:t xml:space="preserve">14</w:t>
      </w:r>
      <w:r>
        <w:t xml:space="preserve">. MAS TRM requires board and senior management to be</w:t>
      </w:r>
      <w:r>
        <w:t xml:space="preserve"> </w:t>
      </w:r>
      <w:r>
        <w:t xml:space="preserve">“</w:t>
      </w:r>
      <w:r>
        <w:t xml:space="preserve">actively involved</w:t>
      </w:r>
      <w:r>
        <w:t xml:space="preserve">”</w:t>
      </w:r>
      <w:r>
        <w:t xml:space="preserve"> </w:t>
      </w:r>
      <w:r>
        <w:rPr>
          <w:vertAlign w:val="superscript"/>
        </w:rPr>
        <w:t xml:space="preserve">55</w:t>
      </w:r>
      <w:r>
        <w:t xml:space="preserve">. BAIT demands quarterly board reporting and ICT competency</w:t>
      </w:r>
      <w:r>
        <w:t xml:space="preserve"> </w:t>
      </w:r>
      <w:r>
        <w:rPr>
          <w:vertAlign w:val="superscript"/>
        </w:rPr>
        <w:t xml:space="preserve">69</w:t>
      </w:r>
      <w:r>
        <w:t xml:space="preserve">.</w:t>
      </w:r>
    </w:p>
    <w:p>
      <w:pPr>
        <w:pStyle w:val="BodyText"/>
      </w:pPr>
      <w:r>
        <w:t xml:space="preserve">The convergence is clear: operational resilience is no longer an IT department matter. It is a board matter. The implication for platform design is that any solution must produce board-ready outputs — dashboards, risk postures, compliance attestations — that directors can consume without technical mediation.</w:t>
      </w:r>
    </w:p>
    <w:bookmarkEnd w:id="48"/>
    <w:bookmarkStart w:id="49" w:name="threat-intelligence-integration"/>
    <w:p>
      <w:pPr>
        <w:pStyle w:val="Heading4"/>
      </w:pPr>
      <w:r>
        <w:t xml:space="preserve">2.2.2 Threat Intelligence Integration</w:t>
      </w:r>
    </w:p>
    <w:p>
      <w:pPr>
        <w:pStyle w:val="FirstParagraph"/>
      </w:pPr>
      <w:r>
        <w:t xml:space="preserve">Threat intelligence is the connective tissue between frameworks. CBEST was built on intelligence-led testing from inception</w:t>
      </w:r>
      <w:r>
        <w:t xml:space="preserve"> </w:t>
      </w:r>
      <w:r>
        <w:rPr>
          <w:vertAlign w:val="superscript"/>
        </w:rPr>
        <w:t xml:space="preserve">63</w:t>
      </w:r>
      <w:r>
        <w:t xml:space="preserve">. TIBER-EU requires threat intelligence to drive all scenarios, with the TIP producing a Targeted Threat Intelligence Report before testing begins</w:t>
      </w:r>
      <w:r>
        <w:t xml:space="preserve"> </w:t>
      </w:r>
      <w:r>
        <w:rPr>
          <w:vertAlign w:val="superscript"/>
        </w:rPr>
        <w:t xml:space="preserve">48</w:t>
      </w:r>
      <w:r>
        <w:t xml:space="preserve">. DORA’s TLPT RTS mandates at least three threat scenarios covering confidentiality, integrity, and availability</w:t>
      </w:r>
      <w:r>
        <w:t xml:space="preserve"> </w:t>
      </w:r>
      <w:r>
        <w:rPr>
          <w:vertAlign w:val="superscript"/>
        </w:rPr>
        <w:t xml:space="preserve">61</w:t>
      </w:r>
      <w:r>
        <w:t xml:space="preserve">. NIST CSF 2.0’s GV.RM includes threat landscape awareness</w:t>
      </w:r>
      <w:r>
        <w:t xml:space="preserve"> </w:t>
      </w:r>
      <w:r>
        <w:rPr>
          <w:vertAlign w:val="superscript"/>
        </w:rPr>
        <w:t xml:space="preserve">45</w:t>
      </w:r>
      <w:r>
        <w:t xml:space="preserve">. APRA CPS 230 requires scenario testing informed by threat intelligence</w:t>
      </w:r>
      <w:r>
        <w:t xml:space="preserve"> </w:t>
      </w:r>
      <w:r>
        <w:rPr>
          <w:vertAlign w:val="superscript"/>
        </w:rPr>
        <w:t xml:space="preserve">14</w:t>
      </w:r>
      <w:r>
        <w:t xml:space="preserve">. MAS TRM mandates real-time monitoring</w:t>
      </w:r>
      <w:r>
        <w:t xml:space="preserve"> </w:t>
      </w:r>
      <w:r>
        <w:rPr>
          <w:vertAlign w:val="superscript"/>
        </w:rPr>
        <w:t xml:space="preserve">55</w:t>
      </w:r>
      <w:r>
        <w:t xml:space="preserve">.</w:t>
      </w:r>
    </w:p>
    <w:p>
      <w:pPr>
        <w:pStyle w:val="BodyText"/>
      </w:pPr>
      <w:r>
        <w:t xml:space="preserve">A unified platform must ingest threat intelligence from multiple sources and map it to test scenarios, control gaps, and risk assessments across all applicable frameworks simultaneously.</w:t>
      </w:r>
    </w:p>
    <w:bookmarkEnd w:id="49"/>
    <w:bookmarkStart w:id="50" w:name="third-party-risk-management"/>
    <w:p>
      <w:pPr>
        <w:pStyle w:val="Heading4"/>
      </w:pPr>
      <w:r>
        <w:t xml:space="preserve">2.2.3 Third-Party Risk Management</w:t>
      </w:r>
    </w:p>
    <w:p>
      <w:pPr>
        <w:pStyle w:val="FirstParagraph"/>
      </w:pPr>
      <w:r>
        <w:t xml:space="preserve">Third-party risk has moved from advisory to mandatory across every jurisdiction. DORA Article 28 mandates oversight of critical ICT third-party providers with specific contractual requirements</w:t>
      </w:r>
      <w:r>
        <w:t xml:space="preserve"> </w:t>
      </w:r>
      <w:r>
        <w:rPr>
          <w:vertAlign w:val="superscript"/>
        </w:rPr>
        <w:t xml:space="preserve">60</w:t>
      </w:r>
      <w:r>
        <w:t xml:space="preserve">. NIST CSF 2.0 dedicates 10 subcategories to supply chain risk in GV.SC</w:t>
      </w:r>
      <w:r>
        <w:t xml:space="preserve"> </w:t>
      </w:r>
      <w:r>
        <w:rPr>
          <w:vertAlign w:val="superscript"/>
        </w:rPr>
        <w:t xml:space="preserve">29</w:t>
      </w:r>
      <w:r>
        <w:t xml:space="preserve">. APRA CPS 230 extends oversight to fourth-party suppliers</w:t>
      </w:r>
      <w:r>
        <w:t xml:space="preserve"> </w:t>
      </w:r>
      <w:r>
        <w:rPr>
          <w:vertAlign w:val="superscript"/>
        </w:rPr>
        <w:t xml:space="preserve">14</w:t>
      </w:r>
      <w:r>
        <w:t xml:space="preserve">. MAS TRM’s fourth pillar is dedicated to third-party risk</w:t>
      </w:r>
      <w:r>
        <w:t xml:space="preserve"> </w:t>
      </w:r>
      <w:r>
        <w:rPr>
          <w:vertAlign w:val="superscript"/>
        </w:rPr>
        <w:t xml:space="preserve">55</w:t>
      </w:r>
      <w:r>
        <w:t xml:space="preserve">. FFIEC CAT’s Domain 4 addressed External Dependency Management</w:t>
      </w:r>
      <w:r>
        <w:t xml:space="preserve"> </w:t>
      </w:r>
      <w:r>
        <w:rPr>
          <w:vertAlign w:val="superscript"/>
        </w:rPr>
        <w:t xml:space="preserve">70</w:t>
      </w:r>
      <w:r>
        <w:t xml:space="preserve">. Even CBEST now provides guidance on third-party scenarios</w:t>
      </w:r>
      <w:r>
        <w:t xml:space="preserve"> </w:t>
      </w:r>
      <w:r>
        <w:rPr>
          <w:vertAlign w:val="superscript"/>
        </w:rPr>
        <w:t xml:space="preserve">64</w:t>
      </w:r>
      <w:r>
        <w:t xml:space="preserve">.</w:t>
      </w:r>
    </w:p>
    <w:bookmarkEnd w:id="50"/>
    <w:bookmarkStart w:id="51" w:name="incident-reporting"/>
    <w:p>
      <w:pPr>
        <w:pStyle w:val="Heading4"/>
      </w:pPr>
      <w:r>
        <w:t xml:space="preserve">2.2.4 Incident Reporting</w:t>
      </w:r>
    </w:p>
    <w:p>
      <w:pPr>
        <w:pStyle w:val="FirstParagraph"/>
      </w:pPr>
      <w:r>
        <w:t xml:space="preserve">Incident reporting timelines are where jurisdictional differences are most acute — and where a unified platform delivers the greatest compliance value. DORA requires initial notification within 24 hours, intermediate reporting within 72 hours, and final reporting within one month</w:t>
      </w:r>
      <w:r>
        <w:t xml:space="preserve"> </w:t>
      </w:r>
      <w:r>
        <w:rPr>
          <w:vertAlign w:val="superscript"/>
        </w:rPr>
        <w:t xml:space="preserve">60</w:t>
      </w:r>
      <w:r>
        <w:t xml:space="preserve">. APRA CPS 230 requires 72-hour notification for material incidents</w:t>
      </w:r>
      <w:r>
        <w:t xml:space="preserve"> </w:t>
      </w:r>
      <w:r>
        <w:rPr>
          <w:vertAlign w:val="superscript"/>
        </w:rPr>
        <w:t xml:space="preserve">14</w:t>
      </w:r>
      <w:r>
        <w:t xml:space="preserve">. MAS TRM mandates 1-hour notification to MAS with a 14-day root cause analysis report</w:t>
      </w:r>
      <w:r>
        <w:t xml:space="preserve"> </w:t>
      </w:r>
      <w:r>
        <w:rPr>
          <w:vertAlign w:val="superscript"/>
        </w:rPr>
        <w:t xml:space="preserve">43</w:t>
      </w:r>
      <w:r>
        <w:t xml:space="preserve">. NIST CSF 2.0’s Respond function (RS.CO) addresses reporting coordination</w:t>
      </w:r>
      <w:r>
        <w:t xml:space="preserve"> </w:t>
      </w:r>
      <w:r>
        <w:rPr>
          <w:vertAlign w:val="superscript"/>
        </w:rPr>
        <w:t xml:space="preserve">71</w:t>
      </w:r>
      <w:r>
        <w:t xml:space="preserve">. The table below summarizes the reporting landscape: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 / Framework</w:t>
            </w:r>
          </w:p>
        </w:tc>
        <w:tc>
          <w:tcPr/>
          <w:p>
            <w:pPr>
              <w:pStyle w:val="Compact"/>
              <w:jc w:val="left"/>
            </w:pPr>
            <w:r>
              <w:t xml:space="preserve">Initial Notification</w:t>
            </w:r>
          </w:p>
        </w:tc>
        <w:tc>
          <w:tcPr/>
          <w:p>
            <w:pPr>
              <w:pStyle w:val="Compact"/>
              <w:jc w:val="left"/>
            </w:pPr>
            <w:r>
              <w:t xml:space="preserve">Follow-Up Report</w:t>
            </w:r>
          </w:p>
        </w:tc>
        <w:tc>
          <w:tcPr/>
          <w:p>
            <w:pPr>
              <w:pStyle w:val="Compact"/>
              <w:jc w:val="left"/>
            </w:pPr>
            <w:r>
              <w:t xml:space="preserve">Root Cause Analysis</w:t>
            </w:r>
          </w:p>
        </w:tc>
        <w:tc>
          <w:tcPr/>
          <w:p>
            <w:pPr>
              <w:pStyle w:val="Compact"/>
              <w:jc w:val="left"/>
            </w:pPr>
            <w:r>
              <w:t xml:space="preserve">Key Differentiator</w:t>
            </w:r>
          </w:p>
        </w:tc>
      </w:tr>
      <w:tr>
        <w:tc>
          <w:tcPr/>
          <w:p>
            <w:pPr>
              <w:pStyle w:val="Compact"/>
              <w:jc w:val="left"/>
            </w:pPr>
            <w:r>
              <w:rPr>
                <w:bCs/>
                <w:b/>
              </w:rPr>
              <w:t xml:space="preserve">EU (DORA)</w:t>
            </w:r>
          </w:p>
        </w:tc>
        <w:tc>
          <w:tcPr/>
          <w:p>
            <w:pPr>
              <w:pStyle w:val="Compact"/>
              <w:jc w:val="left"/>
            </w:pPr>
            <w:r>
              <w:t xml:space="preserve">24 hours</w:t>
            </w:r>
            <w:r>
              <w:t xml:space="preserve"> </w:t>
            </w:r>
            <w:r>
              <w:rPr>
                <w:vertAlign w:val="superscript"/>
              </w:rPr>
              <w:t xml:space="preserve">60</w:t>
            </w:r>
          </w:p>
        </w:tc>
        <w:tc>
          <w:tcPr/>
          <w:p>
            <w:pPr>
              <w:pStyle w:val="Compact"/>
              <w:jc w:val="left"/>
            </w:pPr>
            <w:r>
              <w:t xml:space="preserve">72 hours (intermediate)</w:t>
            </w:r>
          </w:p>
        </w:tc>
        <w:tc>
          <w:tcPr/>
          <w:p>
            <w:pPr>
              <w:pStyle w:val="Compact"/>
              <w:jc w:val="left"/>
            </w:pPr>
            <w:r>
              <w:t xml:space="preserve">1 month (final)</w:t>
            </w:r>
          </w:p>
        </w:tc>
        <w:tc>
          <w:tcPr/>
          <w:p>
            <w:pPr>
              <w:pStyle w:val="Compact"/>
              <w:jc w:val="left"/>
            </w:pPr>
            <w:r>
              <w:t xml:space="preserve">Three-tier cascading reports; applies to ICT-related incidents</w:t>
            </w:r>
          </w:p>
        </w:tc>
      </w:tr>
      <w:tr>
        <w:tc>
          <w:tcPr/>
          <w:p>
            <w:pPr>
              <w:pStyle w:val="Compact"/>
              <w:jc w:val="left"/>
            </w:pPr>
            <w:r>
              <w:rPr>
                <w:bCs/>
                <w:b/>
              </w:rPr>
              <w:t xml:space="preserve">Australia (CPS 230)</w:t>
            </w:r>
          </w:p>
        </w:tc>
        <w:tc>
          <w:tcPr/>
          <w:p>
            <w:pPr>
              <w:pStyle w:val="Compact"/>
              <w:jc w:val="left"/>
            </w:pPr>
            <w:r>
              <w:t xml:space="preserve">72 hours</w:t>
            </w:r>
            <w:r>
              <w:t xml:space="preserve"> </w:t>
            </w:r>
            <w:r>
              <w:rPr>
                <w:vertAlign w:val="superscript"/>
              </w:rPr>
              <w:t xml:space="preserve">14</w:t>
            </w:r>
          </w:p>
        </w:tc>
        <w:tc>
          <w:tcPr/>
          <w:p>
            <w:pPr>
              <w:pStyle w:val="Compact"/>
              <w:jc w:val="left"/>
            </w:pPr>
            <w:r>
              <w:t xml:space="preserve">As required by APRA</w:t>
            </w:r>
          </w:p>
        </w:tc>
        <w:tc>
          <w:tcPr/>
          <w:p>
            <w:pPr>
              <w:pStyle w:val="Compact"/>
              <w:jc w:val="left"/>
            </w:pPr>
            <w:r>
              <w:t xml:space="preserve">Included in incident management</w:t>
            </w:r>
          </w:p>
        </w:tc>
        <w:tc>
          <w:tcPr/>
          <w:p>
            <w:pPr>
              <w:pStyle w:val="Compact"/>
              <w:jc w:val="left"/>
            </w:pPr>
            <w:r>
              <w:t xml:space="preserve">Materiality threshold; broader than ICT-only</w:t>
            </w:r>
          </w:p>
        </w:tc>
      </w:tr>
      <w:tr>
        <w:tc>
          <w:tcPr/>
          <w:p>
            <w:pPr>
              <w:pStyle w:val="Compact"/>
              <w:jc w:val="left"/>
            </w:pPr>
            <w:r>
              <w:rPr>
                <w:bCs/>
                <w:b/>
              </w:rPr>
              <w:t xml:space="preserve">Singapore (MAS TRM)</w:t>
            </w:r>
          </w:p>
        </w:tc>
        <w:tc>
          <w:tcPr/>
          <w:p>
            <w:pPr>
              <w:pStyle w:val="Compact"/>
              <w:jc w:val="left"/>
            </w:pPr>
            <w:r>
              <w:t xml:space="preserve">1 hour</w:t>
            </w:r>
            <w:r>
              <w:t xml:space="preserve"> </w:t>
            </w:r>
            <w:r>
              <w:rPr>
                <w:vertAlign w:val="superscript"/>
              </w:rPr>
              <w:t xml:space="preserve">43</w:t>
            </w:r>
          </w:p>
        </w:tc>
        <w:tc>
          <w:tcPr/>
          <w:p>
            <w:pPr>
              <w:pStyle w:val="Compact"/>
              <w:jc w:val="left"/>
            </w:pPr>
            <w:r>
              <w:t xml:space="preserve">Ongoing updates</w:t>
            </w:r>
          </w:p>
        </w:tc>
        <w:tc>
          <w:tcPr/>
          <w:p>
            <w:pPr>
              <w:pStyle w:val="Compact"/>
              <w:jc w:val="left"/>
            </w:pPr>
            <w:r>
              <w:t xml:space="preserve">14 days</w:t>
            </w:r>
          </w:p>
        </w:tc>
        <w:tc>
          <w:tcPr/>
          <w:p>
            <w:pPr>
              <w:pStyle w:val="Compact"/>
              <w:jc w:val="left"/>
            </w:pPr>
            <w:r>
              <w:t xml:space="preserve">Fastest globally; applies to all</w:t>
            </w:r>
            <w:r>
              <w:t xml:space="preserve"> </w:t>
            </w:r>
            <w:r>
              <w:t xml:space="preserve">“</w:t>
            </w:r>
            <w:r>
              <w:t xml:space="preserve">relevant incidents</w:t>
            </w:r>
            <w:r>
              <w:t xml:space="preserve">”</w:t>
            </w:r>
          </w:p>
        </w:tc>
      </w:tr>
      <w:tr>
        <w:tc>
          <w:tcPr/>
          <w:p>
            <w:pPr>
              <w:pStyle w:val="Compact"/>
              <w:jc w:val="left"/>
            </w:pPr>
            <w:r>
              <w:rPr>
                <w:bCs/>
                <w:b/>
              </w:rPr>
              <w:t xml:space="preserve">UK (CBEST)</w:t>
            </w:r>
          </w:p>
        </w:tc>
        <w:tc>
          <w:tcPr/>
          <w:p>
            <w:pPr>
              <w:pStyle w:val="Compact"/>
              <w:jc w:val="left"/>
            </w:pPr>
            <w:r>
              <w:t xml:space="preserve">Within remediation plan</w:t>
            </w:r>
          </w:p>
        </w:tc>
        <w:tc>
          <w:tcPr/>
          <w:p>
            <w:pPr>
              <w:pStyle w:val="Compact"/>
              <w:jc w:val="left"/>
            </w:pPr>
            <w:r>
              <w:t xml:space="preserve">Detection &amp; Response assessment</w:t>
            </w:r>
          </w:p>
        </w:tc>
        <w:tc>
          <w:tcPr/>
          <w:p>
            <w:pPr>
              <w:pStyle w:val="Compact"/>
              <w:jc w:val="left"/>
            </w:pPr>
            <w:r>
              <w:t xml:space="preserve">Board-level report</w:t>
            </w:r>
          </w:p>
        </w:tc>
        <w:tc>
          <w:tcPr/>
          <w:p>
            <w:pPr>
              <w:pStyle w:val="Compact"/>
              <w:jc w:val="left"/>
            </w:pPr>
            <w:r>
              <w:t xml:space="preserve">Embedded in TLPT lifecycle, not standalone</w:t>
            </w:r>
          </w:p>
        </w:tc>
      </w:tr>
      <w:tr>
        <w:tc>
          <w:tcPr/>
          <w:p>
            <w:pPr>
              <w:pStyle w:val="Compact"/>
              <w:jc w:val="left"/>
            </w:pPr>
            <w:r>
              <w:rPr>
                <w:bCs/>
                <w:b/>
              </w:rPr>
              <w:t xml:space="preserve">US (NIST CSF 2.0)</w:t>
            </w:r>
          </w:p>
        </w:tc>
        <w:tc>
          <w:tcPr/>
          <w:p>
            <w:pPr>
              <w:pStyle w:val="Compact"/>
              <w:jc w:val="left"/>
            </w:pPr>
            <w:r>
              <w:t xml:space="preserve">Per organizational policy</w:t>
            </w:r>
          </w:p>
        </w:tc>
        <w:tc>
          <w:tcPr/>
          <w:p>
            <w:pPr>
              <w:pStyle w:val="Compact"/>
              <w:jc w:val="left"/>
            </w:pPr>
            <w:r>
              <w:t xml:space="preserve">RS.CO coordination</w:t>
            </w:r>
          </w:p>
        </w:tc>
        <w:tc>
          <w:tcPr/>
          <w:p>
            <w:pPr>
              <w:pStyle w:val="Compact"/>
              <w:jc w:val="left"/>
            </w:pPr>
            <w:r>
              <w:t xml:space="preserve">After-action review</w:t>
            </w:r>
          </w:p>
        </w:tc>
        <w:tc>
          <w:tcPr/>
          <w:p>
            <w:pPr>
              <w:pStyle w:val="Compact"/>
              <w:jc w:val="left"/>
            </w:pPr>
            <w:r>
              <w:t xml:space="preserve">Voluntary standard; no statutory timeline</w:t>
            </w:r>
          </w:p>
        </w:tc>
      </w:tr>
    </w:tbl>
    <w:p>
      <w:pPr>
        <w:pStyle w:val="BodyText"/>
      </w:pPr>
      <w:r>
        <w:t xml:space="preserve">For an institution operating in even two of these jurisdictions, a single incident may trigger multiple overlapping reporting obligations with different timelines, different content requirements, and different materiality thresholds. The operational risk of missing a notification window is measured in regulatory penalties and reputational damage. Automation is not optional — it is essential.</w:t>
      </w:r>
    </w:p>
    <w:bookmarkEnd w:id="51"/>
    <w:bookmarkStart w:id="52" w:name="regular-testing"/>
    <w:p>
      <w:pPr>
        <w:pStyle w:val="Heading4"/>
      </w:pPr>
      <w:r>
        <w:t xml:space="preserve">2.2.5 Regular Testing</w:t>
      </w:r>
    </w:p>
    <w:p>
      <w:pPr>
        <w:pStyle w:val="FirstParagraph"/>
      </w:pPr>
      <w:r>
        <w:t xml:space="preserve">All frameworks mandate regular, structured testing of security controls, incident response capabilities, and business continuity plans. DORA requires TLPT every three years for significant entities</w:t>
      </w:r>
      <w:r>
        <w:t xml:space="preserve"> </w:t>
      </w:r>
      <w:r>
        <w:rPr>
          <w:vertAlign w:val="superscript"/>
        </w:rPr>
        <w:t xml:space="preserve">62</w:t>
      </w:r>
      <w:r>
        <w:t xml:space="preserve">. CBEST operates on a risk-based frequency determined by PRA supervision</w:t>
      </w:r>
      <w:r>
        <w:t xml:space="preserve"> </w:t>
      </w:r>
      <w:r>
        <w:rPr>
          <w:vertAlign w:val="superscript"/>
        </w:rPr>
        <w:t xml:space="preserve">64</w:t>
      </w:r>
      <w:r>
        <w:t xml:space="preserve">. APRA CPS 230 requires integrated scenario testing with annual business continuity plan effectiveness reviews</w:t>
      </w:r>
      <w:r>
        <w:t xml:space="preserve"> </w:t>
      </w:r>
      <w:r>
        <w:rPr>
          <w:vertAlign w:val="superscript"/>
        </w:rPr>
        <w:t xml:space="preserve">14</w:t>
      </w:r>
      <w:r>
        <w:t xml:space="preserve">. MAS TRM mandates penetration testing and disaster recovery testing</w:t>
      </w:r>
      <w:r>
        <w:t xml:space="preserve"> </w:t>
      </w:r>
      <w:r>
        <w:rPr>
          <w:vertAlign w:val="superscript"/>
        </w:rPr>
        <w:t xml:space="preserve">55</w:t>
      </w:r>
      <w:r>
        <w:t xml:space="preserve">. BAIT requires simulated attacks and annual BCP effectiveness reviews</w:t>
      </w:r>
      <w:r>
        <w:t xml:space="preserve"> </w:t>
      </w:r>
      <w:r>
        <w:rPr>
          <w:vertAlign w:val="superscript"/>
        </w:rPr>
        <w:t xml:space="preserve">69</w:t>
      </w:r>
      <w:r>
        <w:t xml:space="preserve">. NIST CSF 2.0’s Govern function (GV.OV) mandates continuous improvement through regular oversight</w:t>
      </w:r>
      <w:r>
        <w:t xml:space="preserve"> </w:t>
      </w:r>
      <w:r>
        <w:rPr>
          <w:vertAlign w:val="superscript"/>
        </w:rPr>
        <w:t xml:space="preserve">45</w:t>
      </w:r>
      <w:r>
        <w:t xml:space="preserve">.</w:t>
      </w:r>
    </w:p>
    <w:p>
      <w:pPr>
        <w:pStyle w:val="BodyText"/>
      </w:pPr>
      <w:r>
        <w:t xml:space="preserve">The testing convergence creates an opportunity for</w:t>
      </w:r>
      <w:r>
        <w:t xml:space="preserve"> </w:t>
      </w:r>
      <w:r>
        <w:t xml:space="preserve">“</w:t>
      </w:r>
      <w:r>
        <w:t xml:space="preserve">test once, satisfy many</w:t>
      </w:r>
      <w:r>
        <w:t xml:space="preserve">”</w:t>
      </w:r>
      <w:r>
        <w:t xml:space="preserve"> </w:t>
      </w:r>
      <w:r>
        <w:t xml:space="preserve">— a single TLPT exercise, properly scoped and documented, can generate evidence for DORA, CPS 230, MAS TRM, and NIST CSF 2.0 simultaneously. The key is platform-based evidence management that maps test outputs to each framework’s specific evidentiary requirements.</w:t>
      </w:r>
    </w:p>
    <w:bookmarkEnd w:id="52"/>
    <w:bookmarkEnd w:id="53"/>
    <w:bookmarkStart w:id="54" w:name="go-to-market-priority-map"/>
    <w:p>
      <w:pPr>
        <w:pStyle w:val="Heading3"/>
      </w:pPr>
      <w:r>
        <w:t xml:space="preserve">2.3 Go-To-Market Priority Map</w:t>
      </w:r>
    </w:p>
    <w:p>
      <w:pPr>
        <w:pStyle w:val="FirstParagraph"/>
      </w:pPr>
      <w:r>
        <w:t xml:space="preserve">The convergence pattern reveals a clear sequencing logic for institutions building cross-border operational resilience capabilities and for the platforms that serve them. The following priority map is based on regulatory deadline urgency, market size, framework alignment, and enforcement intensity.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Priority</w:t>
            </w:r>
          </w:p>
        </w:tc>
        <w:tc>
          <w:tcPr/>
          <w:p>
            <w:pPr>
              <w:pStyle w:val="Compact"/>
              <w:jc w:val="left"/>
            </w:pPr>
            <w:r>
              <w:t xml:space="preserve">Market</w:t>
            </w:r>
          </w:p>
        </w:tc>
        <w:tc>
          <w:tcPr/>
          <w:p>
            <w:pPr>
              <w:pStyle w:val="Compact"/>
              <w:jc w:val="left"/>
            </w:pPr>
            <w:r>
              <w:t xml:space="preserve">Framework(s)</w:t>
            </w:r>
          </w:p>
        </w:tc>
        <w:tc>
          <w:tcPr/>
          <w:p>
            <w:pPr>
              <w:pStyle w:val="Compact"/>
              <w:jc w:val="left"/>
            </w:pPr>
            <w:r>
              <w:t xml:space="preserve">Rationale</w:t>
            </w:r>
          </w:p>
        </w:tc>
        <w:tc>
          <w:tcPr/>
          <w:p>
            <w:pPr>
              <w:pStyle w:val="Compact"/>
              <w:jc w:val="left"/>
            </w:pPr>
            <w:r>
              <w:t xml:space="preserve">Addressable Institutions</w:t>
            </w:r>
          </w:p>
        </w:tc>
        <w:tc>
          <w:tcPr/>
          <w:p>
            <w:pPr>
              <w:pStyle w:val="Compact"/>
              <w:jc w:val="left"/>
            </w:pPr>
            <w:r>
              <w:t xml:space="preserve">Timeline Urgency</w:t>
            </w:r>
          </w:p>
        </w:tc>
      </w:tr>
      <w:tr>
        <w:tc>
          <w:tcPr/>
          <w:p>
            <w:pPr>
              <w:pStyle w:val="Compact"/>
              <w:jc w:val="left"/>
            </w:pPr>
            <w:r>
              <w:rPr>
                <w:bCs/>
                <w:b/>
              </w:rPr>
              <w:t xml:space="preserve">1 — Immediate</w:t>
            </w:r>
          </w:p>
        </w:tc>
        <w:tc>
          <w:tcPr/>
          <w:p>
            <w:pPr>
              <w:pStyle w:val="Compact"/>
              <w:jc w:val="left"/>
            </w:pPr>
            <w:r>
              <w:rPr>
                <w:bCs/>
                <w:b/>
              </w:rPr>
              <w:t xml:space="preserve">European Union</w:t>
            </w:r>
          </w:p>
        </w:tc>
        <w:tc>
          <w:tcPr/>
          <w:p>
            <w:pPr>
              <w:pStyle w:val="Compact"/>
              <w:jc w:val="left"/>
            </w:pPr>
            <w:r>
              <w:t xml:space="preserve">DORA + TIBER-EU</w:t>
            </w:r>
          </w:p>
        </w:tc>
        <w:tc>
          <w:tcPr/>
          <w:p>
            <w:pPr>
              <w:pStyle w:val="Compact"/>
              <w:jc w:val="left"/>
            </w:pPr>
            <w:r>
              <w:t xml:space="preserve">Largest unified market; extraterritorial reach; TLPT RTS enforcement begins July 2025; 22,000+ entities under scope</w:t>
            </w:r>
          </w:p>
        </w:tc>
        <w:tc>
          <w:tcPr/>
          <w:p>
            <w:pPr>
              <w:pStyle w:val="Compact"/>
              <w:jc w:val="left"/>
            </w:pPr>
            <w:r>
              <w:t xml:space="preserve">22,000+ financial entities + non-EU ICT providers</w:t>
            </w:r>
          </w:p>
        </w:tc>
        <w:tc>
          <w:tcPr/>
          <w:p>
            <w:pPr>
              <w:pStyle w:val="Compact"/>
              <w:jc w:val="left"/>
            </w:pPr>
            <w:r>
              <w:rPr>
                <w:bCs/>
                <w:b/>
              </w:rPr>
              <w:t xml:space="preserve">Critical — live</w:t>
            </w:r>
          </w:p>
        </w:tc>
      </w:tr>
      <w:tr>
        <w:tc>
          <w:tcPr/>
          <w:p>
            <w:pPr>
              <w:pStyle w:val="Compact"/>
              <w:jc w:val="left"/>
            </w:pPr>
            <w:r>
              <w:rPr>
                <w:bCs/>
                <w:b/>
              </w:rPr>
              <w:t xml:space="preserve">2 — Near-term</w:t>
            </w:r>
          </w:p>
        </w:tc>
        <w:tc>
          <w:tcPr/>
          <w:p>
            <w:pPr>
              <w:pStyle w:val="Compact"/>
              <w:jc w:val="left"/>
            </w:pPr>
            <w:r>
              <w:rPr>
                <w:bCs/>
                <w:b/>
              </w:rPr>
              <w:t xml:space="preserve">Australia</w:t>
            </w:r>
          </w:p>
        </w:tc>
        <w:tc>
          <w:tcPr/>
          <w:p>
            <w:pPr>
              <w:pStyle w:val="Compact"/>
              <w:jc w:val="left"/>
            </w:pPr>
            <w:r>
              <w:t xml:space="preserve">APRA CPS 230</w:t>
            </w:r>
          </w:p>
        </w:tc>
        <w:tc>
          <w:tcPr/>
          <w:p>
            <w:pPr>
              <w:pStyle w:val="Compact"/>
              <w:jc w:val="left"/>
            </w:pPr>
            <w:r>
              <w:t xml:space="preserve">Explicitly modeled on DORA; enables rapid product extension; broad scope (all operational risk)</w:t>
            </w:r>
          </w:p>
        </w:tc>
        <w:tc>
          <w:tcPr/>
          <w:p>
            <w:pPr>
              <w:pStyle w:val="Compact"/>
              <w:jc w:val="left"/>
            </w:pPr>
            <w:r>
              <w:t xml:space="preserve">500+ APRA-regulated banks, insurers, super funds</w:t>
            </w:r>
          </w:p>
        </w:tc>
        <w:tc>
          <w:tcPr/>
          <w:p>
            <w:pPr>
              <w:pStyle w:val="Compact"/>
              <w:jc w:val="left"/>
            </w:pPr>
            <w:r>
              <w:rPr>
                <w:bCs/>
                <w:b/>
              </w:rPr>
              <w:t xml:space="preserve">High — effective Jul 2025</w:t>
            </w:r>
          </w:p>
        </w:tc>
      </w:tr>
      <w:tr>
        <w:tc>
          <w:tcPr/>
          <w:p>
            <w:pPr>
              <w:pStyle w:val="Compact"/>
              <w:jc w:val="left"/>
            </w:pPr>
            <w:r>
              <w:rPr>
                <w:bCs/>
                <w:b/>
              </w:rPr>
              <w:t xml:space="preserve">3 — Active</w:t>
            </w:r>
          </w:p>
        </w:tc>
        <w:tc>
          <w:tcPr/>
          <w:p>
            <w:pPr>
              <w:pStyle w:val="Compact"/>
              <w:jc w:val="left"/>
            </w:pPr>
            <w:r>
              <w:rPr>
                <w:bCs/>
                <w:b/>
              </w:rPr>
              <w:t xml:space="preserve">Singapore</w:t>
            </w:r>
          </w:p>
        </w:tc>
        <w:tc>
          <w:tcPr/>
          <w:p>
            <w:pPr>
              <w:pStyle w:val="Compact"/>
              <w:jc w:val="left"/>
            </w:pPr>
            <w:r>
              <w:t xml:space="preserve">MAS TRM</w:t>
            </w:r>
          </w:p>
        </w:tc>
        <w:tc>
          <w:tcPr/>
          <w:p>
            <w:pPr>
              <w:pStyle w:val="Compact"/>
              <w:jc w:val="left"/>
            </w:pPr>
            <w:r>
              <w:t xml:space="preserve">Legally binding since May 2024; aggressive enforcement (163 cases, $11.5M penalties); ASEAN gateway</w:t>
            </w:r>
          </w:p>
        </w:tc>
        <w:tc>
          <w:tcPr/>
          <w:p>
            <w:pPr>
              <w:pStyle w:val="Compact"/>
              <w:jc w:val="left"/>
            </w:pPr>
            <w:r>
              <w:t xml:space="preserve">1,500+ MAS-regulated institutions</w:t>
            </w:r>
          </w:p>
        </w:tc>
        <w:tc>
          <w:tcPr/>
          <w:p>
            <w:pPr>
              <w:pStyle w:val="Compact"/>
              <w:jc w:val="left"/>
            </w:pPr>
            <w:r>
              <w:rPr>
                <w:bCs/>
                <w:b/>
              </w:rPr>
              <w:t xml:space="preserve">High — enforcing now</w:t>
            </w:r>
          </w:p>
        </w:tc>
      </w:tr>
      <w:tr>
        <w:tc>
          <w:tcPr/>
          <w:p>
            <w:pPr>
              <w:pStyle w:val="Compact"/>
              <w:jc w:val="left"/>
            </w:pPr>
            <w:r>
              <w:rPr>
                <w:bCs/>
                <w:b/>
              </w:rPr>
              <w:t xml:space="preserve">4 — Transition</w:t>
            </w:r>
          </w:p>
        </w:tc>
        <w:tc>
          <w:tcPr/>
          <w:p>
            <w:pPr>
              <w:pStyle w:val="Compact"/>
              <w:jc w:val="left"/>
            </w:pPr>
            <w:r>
              <w:rPr>
                <w:bCs/>
                <w:b/>
              </w:rPr>
              <w:t xml:space="preserve">United States</w:t>
            </w:r>
          </w:p>
        </w:tc>
        <w:tc>
          <w:tcPr/>
          <w:p>
            <w:pPr>
              <w:pStyle w:val="Compact"/>
              <w:jc w:val="left"/>
            </w:pPr>
            <w:r>
              <w:t xml:space="preserve">NIST CSF 2.0 (post-FFIEC CAT)</w:t>
            </w:r>
          </w:p>
        </w:tc>
        <w:tc>
          <w:tcPr/>
          <w:p>
            <w:pPr>
              <w:pStyle w:val="Compact"/>
              <w:jc w:val="left"/>
            </w:pPr>
            <w:r>
              <w:t xml:space="preserve">Forced CAT-to-CSF migration creates disruption/opportunity; largest individual market; 10,000+ institutions</w:t>
            </w:r>
          </w:p>
        </w:tc>
        <w:tc>
          <w:tcPr/>
          <w:p>
            <w:pPr>
              <w:pStyle w:val="Compact"/>
              <w:jc w:val="left"/>
            </w:pPr>
            <w:r>
              <w:t xml:space="preserve">10,000+ financial institutions</w:t>
            </w:r>
          </w:p>
        </w:tc>
        <w:tc>
          <w:tcPr/>
          <w:p>
            <w:pPr>
              <w:pStyle w:val="Compact"/>
              <w:jc w:val="left"/>
            </w:pPr>
            <w:r>
              <w:rPr>
                <w:bCs/>
                <w:b/>
              </w:rPr>
              <w:t xml:space="preserve">Medium — transition window through 2026</w:t>
            </w:r>
          </w:p>
        </w:tc>
      </w:tr>
      <w:tr>
        <w:tc>
          <w:tcPr/>
          <w:p>
            <w:pPr>
              <w:pStyle w:val="Compact"/>
              <w:jc w:val="left"/>
            </w:pPr>
            <w:r>
              <w:rPr>
                <w:bCs/>
                <w:b/>
              </w:rPr>
              <w:t xml:space="preserve">5 — Strategic</w:t>
            </w:r>
          </w:p>
        </w:tc>
        <w:tc>
          <w:tcPr/>
          <w:p>
            <w:pPr>
              <w:pStyle w:val="Compact"/>
              <w:jc w:val="left"/>
            </w:pPr>
            <w:r>
              <w:rPr>
                <w:bCs/>
                <w:b/>
              </w:rPr>
              <w:t xml:space="preserve">United Kingdom</w:t>
            </w:r>
          </w:p>
        </w:tc>
        <w:tc>
          <w:tcPr/>
          <w:p>
            <w:pPr>
              <w:pStyle w:val="Compact"/>
              <w:jc w:val="left"/>
            </w:pPr>
            <w:r>
              <w:t xml:space="preserve">CBEST + evolving post-Brexit regime</w:t>
            </w:r>
          </w:p>
        </w:tc>
        <w:tc>
          <w:tcPr/>
          <w:p>
            <w:pPr>
              <w:pStyle w:val="Compact"/>
              <w:jc w:val="left"/>
            </w:pPr>
            <w:r>
              <w:t xml:space="preserve">CBEST confers methodological credibility; Bank of England influence on global standards; post-Brexit divergence risk</w:t>
            </w:r>
          </w:p>
        </w:tc>
        <w:tc>
          <w:tcPr/>
          <w:p>
            <w:pPr>
              <w:pStyle w:val="Compact"/>
              <w:jc w:val="left"/>
            </w:pPr>
            <w:r>
              <w:t xml:space="preserve">UK SIFIs + CBEST-aligned global firms</w:t>
            </w:r>
          </w:p>
        </w:tc>
        <w:tc>
          <w:tcPr/>
          <w:p>
            <w:pPr>
              <w:pStyle w:val="Compact"/>
              <w:jc w:val="left"/>
            </w:pPr>
            <w:r>
              <w:rPr>
                <w:bCs/>
                <w:b/>
              </w:rPr>
              <w:t xml:space="preserve">Medium — stable but evolving</w:t>
            </w:r>
          </w:p>
        </w:tc>
      </w:tr>
    </w:tbl>
    <w:p>
      <w:pPr>
        <w:pStyle w:val="BodyText"/>
      </w:pPr>
      <w:r>
        <w:t xml:space="preserve">The sequencing logic is straightforward. The EU offers the largest addressable market with the most urgent deadlines and greatest extraterritorial leverage — non-EU technology providers serving EU financial institutions must comply with DORA regardless of location</w:t>
      </w:r>
      <w:r>
        <w:t xml:space="preserve"> </w:t>
      </w:r>
      <w:r>
        <w:rPr>
          <w:vertAlign w:val="superscript"/>
        </w:rPr>
        <w:t xml:space="preserve">60</w:t>
      </w:r>
      <w:r>
        <w:t xml:space="preserve">. Australia’s CPS 230 alignment with DORA enables rapid product extension, and its broader scope (all operational risk, not just ICT) makes it the more comprehensive design standard</w:t>
      </w:r>
      <w:r>
        <w:t xml:space="preserve"> </w:t>
      </w:r>
      <w:r>
        <w:rPr>
          <w:vertAlign w:val="superscript"/>
        </w:rPr>
        <w:t xml:space="preserve">67</w:t>
      </w:r>
      <w:r>
        <w:t xml:space="preserve">. Singapore’s enforcement intensity and role as the ASEAN financial hub make it a high-priority market despite smaller size</w:t>
      </w:r>
      <w:r>
        <w:t xml:space="preserve"> </w:t>
      </w:r>
      <w:r>
        <w:rPr>
          <w:vertAlign w:val="superscript"/>
        </w:rPr>
        <w:t xml:space="preserve">56</w:t>
      </w:r>
      <w:r>
        <w:t xml:space="preserve">. The US CAT-to-CSF transition creates disruption opportunity, but CSF 2.0’s voluntary nature reduces urgency</w:t>
      </w:r>
      <w:r>
        <w:t xml:space="preserve"> </w:t>
      </w:r>
      <w:r>
        <w:rPr>
          <w:vertAlign w:val="superscript"/>
        </w:rPr>
        <w:t xml:space="preserve">59</w:t>
      </w:r>
      <w:r>
        <w:t xml:space="preserve">. The UK remains strategically important due to CBEST’s methodological influence, though post-Brexit divergence introduces uncertainty.</w:t>
      </w:r>
    </w:p>
    <w:p>
      <w:pPr>
        <w:pStyle w:val="BodyText"/>
      </w:pPr>
      <w:r>
        <w:t xml:space="preserve">The recommendation for institutions: architect compliance programs around CPS 230’s broadest-in-class scope, map to DORA’s ICT-specific requirements, add Singapore’s 1-hour notification capability, and position for NIST CSF 2.0 adoption in the US. A platform handling this sequence can address every other framework as a derivative. The convergence reflects a global consensus on operational resilience in an era of systemic digital risk — the institutions and platforms that recognize this pattern first will define the standard.</w:t>
      </w:r>
    </w:p>
    <w:p>
      <w:r>
        <w:pict>
          <v:rect style="width:0;height:1.5pt" o:hralign="center" o:hrstd="t" o:hr="t"/>
        </w:pict>
      </w:r>
    </w:p>
    <w:bookmarkEnd w:id="54"/>
    <w:bookmarkEnd w:id="55"/>
    <w:bookmarkStart w:id="65" w:name="Xba5c44979b03ed940a4195805dfb74a84c823a7"/>
    <w:p>
      <w:pPr>
        <w:pStyle w:val="Heading2"/>
      </w:pPr>
      <w:r>
        <w:t xml:space="preserve">3. The DSRB Ecosystem — Partners, Providers &amp; Gaps</w:t>
      </w:r>
    </w:p>
    <w:bookmarkStart w:id="58" w:name="what-dsrb-actually-means"/>
    <w:p>
      <w:pPr>
        <w:pStyle w:val="Heading3"/>
      </w:pPr>
      <w:r>
        <w:t xml:space="preserve">3.1 What</w:t>
      </w:r>
      <w:r>
        <w:t xml:space="preserve"> </w:t>
      </w:r>
      <w:r>
        <w:t xml:space="preserve">“</w:t>
      </w:r>
      <w:r>
        <w:t xml:space="preserve">DSRB</w:t>
      </w:r>
      <w:r>
        <w:t xml:space="preserve">”</w:t>
      </w:r>
      <w:r>
        <w:t xml:space="preserve"> </w:t>
      </w:r>
      <w:r>
        <w:t xml:space="preserve">Actually Means</w:t>
      </w:r>
    </w:p>
    <w:bookmarkStart w:id="56" w:name="Xae71b6983cb17b0d7b6e964c9af7b15a2f54dc1"/>
    <w:p>
      <w:pPr>
        <w:pStyle w:val="Heading4"/>
      </w:pPr>
      <w:r>
        <w:t xml:space="preserve">3.1.1 DSRB as a Commercial Category Does Not Exist Formally — It Refers to the Functional Ecosystem of Digital Resilience Services</w:t>
      </w:r>
    </w:p>
    <w:p>
      <w:pPr>
        <w:pStyle w:val="FirstParagraph"/>
      </w:pPr>
      <w:r>
        <w:t xml:space="preserve">Search for the acronym</w:t>
      </w:r>
      <w:r>
        <w:t xml:space="preserve"> </w:t>
      </w:r>
      <w:r>
        <w:t xml:space="preserve">“</w:t>
      </w:r>
      <w:r>
        <w:t xml:space="preserve">DSRB</w:t>
      </w:r>
      <w:r>
        <w:t xml:space="preserve">”</w:t>
      </w:r>
      <w:r>
        <w:t xml:space="preserve"> </w:t>
      </w:r>
      <w:r>
        <w:t xml:space="preserve">in regulatory databases, market research reports, or trademark registries, and you will arrive at a singular discovery:</w:t>
      </w:r>
      <w:r>
        <w:t xml:space="preserve"> </w:t>
      </w:r>
      <w:r>
        <w:rPr>
          <w:bCs/>
          <w:b/>
        </w:rPr>
        <w:t xml:space="preserve">the term does not denote a commercial category</w:t>
      </w:r>
      <w:r>
        <w:t xml:space="preserve">. The acronym refers to the</w:t>
      </w:r>
      <w:r>
        <w:t xml:space="preserve"> </w:t>
      </w:r>
      <w:r>
        <w:rPr>
          <w:iCs/>
          <w:i/>
        </w:rPr>
        <w:t xml:space="preserve">Defence, Security and Resilience Bank</w:t>
      </w:r>
      <w:r>
        <w:t xml:space="preserve"> </w:t>
      </w:r>
      <w:r>
        <w:t xml:space="preserve">Development Group — a proposed multilateral institution for sovereign defense financing across allied nations</w:t>
      </w:r>
      <w:r>
        <w:t xml:space="preserve"> </w:t>
      </w:r>
      <w:r>
        <w:rPr>
          <w:vertAlign w:val="superscript"/>
        </w:rPr>
        <w:t xml:space="preserve">13</w:t>
      </w:r>
      <w:r>
        <w:t xml:space="preserve">. It is a policy construct, not a market segment.</w:t>
      </w:r>
    </w:p>
    <w:p>
      <w:pPr>
        <w:pStyle w:val="BodyText"/>
      </w:pPr>
      <w:r>
        <w:t xml:space="preserve">The functional equivalent — the ecosystem of services banks use to build digital operational resilience — has no unified label. Industry analysts, regulatory bodies, and vendors refer to it through a fragmented vocabulary: operational resilience services, RegTech, GRC platforms, or simply</w:t>
      </w:r>
      <w:r>
        <w:t xml:space="preserve"> </w:t>
      </w:r>
      <w:r>
        <w:t xml:space="preserve">“</w:t>
      </w:r>
      <w:r>
        <w:t xml:space="preserve">DORA compliance.</w:t>
      </w:r>
      <w:r>
        <w:t xml:space="preserve">”</w:t>
      </w:r>
      <w:r>
        <w:t xml:space="preserve"> </w:t>
      </w:r>
      <w:r>
        <w:t xml:space="preserve">This fragmentation reveals a market still organizing itself, where category boundaries are porous and vendor positioning remains fluid. For a firm like CSOAI, this ambiguity is strategic terrain. The first mover that names the category, defines its taxonomy, and architects its value proposition will shape purchasing decisions across</w:t>
      </w:r>
      <w:r>
        <w:t xml:space="preserve"> </w:t>
      </w:r>
      <w:r>
        <w:rPr>
          <w:bCs/>
          <w:b/>
        </w:rPr>
        <w:t xml:space="preserve">22,000 regulated entities</w:t>
      </w:r>
      <w:r>
        <w:t xml:space="preserve"> </w:t>
      </w:r>
      <w:r>
        <w:t xml:space="preserve">for the decade ahead</w:t>
      </w:r>
      <w:r>
        <w:t xml:space="preserve"> </w:t>
      </w:r>
      <w:r>
        <w:rPr>
          <w:vertAlign w:val="superscript"/>
        </w:rPr>
        <w:t xml:space="preserve">72</w:t>
      </w:r>
      <w:r>
        <w:t xml:space="preserve">.</w:t>
      </w:r>
    </w:p>
    <w:p>
      <w:pPr>
        <w:pStyle w:val="BodyText"/>
      </w:pPr>
      <w:r>
        <w:t xml:space="preserve">The structural complexity of this market is best understood through its layered architecture. No single provider spans all layers. Banks do not buy resilience from one vendor — they stitch it together from multiple provider classes, each with its own procurement cycle, decision-maker, and technical standards. This fragmentation explains why DORA compliance is so operationally burdensome: spending is split across risk advisory (CRO budget), technology platforms (CIO/CTO budget), cloud infrastructure (infrastructure budget), and consulting (transformation budget). A solution that cuts across these silos has no natural budget line. It must create one.</w:t>
      </w:r>
    </w:p>
    <w:bookmarkEnd w:id="56"/>
    <w:bookmarkStart w:id="57" w:name="the-five-layer-ecosystem"/>
    <w:p>
      <w:pPr>
        <w:pStyle w:val="Heading4"/>
      </w:pPr>
      <w:r>
        <w:t xml:space="preserve">3.1.2 The Five-Layer Ecosystem</w:t>
      </w:r>
    </w:p>
    <w:p>
      <w:pPr>
        <w:pStyle w:val="FirstParagraph"/>
      </w:pPr>
      <w:r>
        <w:t xml:space="preserve">The digital resilience services ecosystem flows from regulatory authority to financial entity across five interconnected layers. Understanding this stack is essential for identifying where CSOAI’s AI governance layer fits — and which players at each level represent the highest-value partnership targets.</w:t>
      </w:r>
    </w:p>
    <w:tbl>
      <w:tblPr>
        <w:tblStyle w:val="Table"/>
        <w:tblW w:type="pct" w:w="5000"/>
        <w:tblLook w:firstRow="1" w:lastRow="0" w:firstColumn="0" w:lastColumn="0" w:noHBand="0" w:noVBand="0" w:val="0020"/>
      </w:tblPr>
      <w:tblGrid>
        <w:gridCol w:w="955"/>
        <w:gridCol w:w="819"/>
        <w:gridCol w:w="3413"/>
        <w:gridCol w:w="2731"/>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Representative Providers</w:t>
            </w:r>
          </w:p>
        </w:tc>
        <w:tc>
          <w:tcPr/>
          <w:p>
            <w:pPr>
              <w:pStyle w:val="Compact"/>
              <w:jc w:val="left"/>
            </w:pPr>
            <w:r>
              <w:t xml:space="preserve">What Banks Procure</w:t>
            </w:r>
          </w:p>
        </w:tc>
      </w:tr>
      <w:tr>
        <w:tc>
          <w:tcPr/>
          <w:p>
            <w:pPr>
              <w:pStyle w:val="Compact"/>
              <w:jc w:val="left"/>
            </w:pPr>
            <w:r>
              <w:rPr>
                <w:bCs/>
                <w:b/>
              </w:rPr>
              <w:t xml:space="preserve">L1: Regulatory Authorities</w:t>
            </w:r>
          </w:p>
        </w:tc>
        <w:tc>
          <w:tcPr/>
          <w:p>
            <w:pPr>
              <w:pStyle w:val="Compact"/>
              <w:jc w:val="left"/>
            </w:pPr>
            <w:r>
              <w:t xml:space="preserve">Rule-setting, supervision, penalties</w:t>
            </w:r>
          </w:p>
        </w:tc>
        <w:tc>
          <w:tcPr/>
          <w:p>
            <w:pPr>
              <w:pStyle w:val="Compact"/>
              <w:jc w:val="left"/>
            </w:pPr>
            <w:r>
              <w:t xml:space="preserve">ECB, EBA, ESMA, EIOPA, BaFin, ACPR, DNB</w:t>
            </w:r>
          </w:p>
        </w:tc>
        <w:tc>
          <w:tcPr/>
          <w:p>
            <w:pPr>
              <w:pStyle w:val="Compact"/>
              <w:jc w:val="left"/>
            </w:pPr>
            <w:r>
              <w:t xml:space="preserve">Not procured — banks are</w:t>
            </w:r>
            <w:r>
              <w:t xml:space="preserve"> </w:t>
            </w:r>
            <w:r>
              <w:rPr>
                <w:iCs/>
                <w:i/>
              </w:rPr>
              <w:t xml:space="preserve">regulated by</w:t>
            </w:r>
            <w:r>
              <w:t xml:space="preserve"> </w:t>
            </w:r>
            <w:r>
              <w:t xml:space="preserve">this layer</w:t>
            </w:r>
          </w:p>
        </w:tc>
      </w:tr>
      <w:tr>
        <w:tc>
          <w:tcPr/>
          <w:p>
            <w:pPr>
              <w:pStyle w:val="Compact"/>
              <w:jc w:val="left"/>
            </w:pPr>
            <w:r>
              <w:rPr>
                <w:bCs/>
                <w:b/>
              </w:rPr>
              <w:t xml:space="preserve">L2: Big 4 Consultancies</w:t>
            </w:r>
          </w:p>
        </w:tc>
        <w:tc>
          <w:tcPr/>
          <w:p>
            <w:pPr>
              <w:pStyle w:val="Compact"/>
              <w:jc w:val="left"/>
            </w:pPr>
            <w:r>
              <w:t xml:space="preserve">Framework design, gap assessment, roadmaps</w:t>
            </w:r>
          </w:p>
        </w:tc>
        <w:tc>
          <w:tcPr/>
          <w:p>
            <w:pPr>
              <w:pStyle w:val="Compact"/>
              <w:jc w:val="left"/>
            </w:pPr>
            <w:r>
              <w:t xml:space="preserve">Deloitte, KPMG, EY, PwC, Accenture</w:t>
            </w:r>
          </w:p>
        </w:tc>
        <w:tc>
          <w:tcPr/>
          <w:p>
            <w:pPr>
              <w:pStyle w:val="Compact"/>
              <w:jc w:val="left"/>
            </w:pPr>
            <w:r>
              <w:t xml:space="preserve">DORA readiness assessments; ICT risk redesign; managed compliance</w:t>
            </w:r>
          </w:p>
        </w:tc>
      </w:tr>
      <w:tr>
        <w:tc>
          <w:tcPr/>
          <w:p>
            <w:pPr>
              <w:pStyle w:val="Compact"/>
              <w:jc w:val="left"/>
            </w:pPr>
            <w:r>
              <w:rPr>
                <w:bCs/>
                <w:b/>
              </w:rPr>
              <w:t xml:space="preserve">L3: Technology Providers</w:t>
            </w:r>
          </w:p>
        </w:tc>
        <w:tc>
          <w:tcPr/>
          <w:p>
            <w:pPr>
              <w:pStyle w:val="Compact"/>
              <w:jc w:val="left"/>
            </w:pPr>
            <w:r>
              <w:t xml:space="preserve">GRC, workflow, and security platforms</w:t>
            </w:r>
          </w:p>
        </w:tc>
        <w:tc>
          <w:tcPr/>
          <w:p>
            <w:pPr>
              <w:pStyle w:val="Compact"/>
              <w:jc w:val="left"/>
            </w:pPr>
            <w:r>
              <w:t xml:space="preserve">OneTrust, ServiceNow, IBM OpenPages, SAI360, MetricStream</w:t>
            </w:r>
          </w:p>
        </w:tc>
        <w:tc>
          <w:tcPr/>
          <w:p>
            <w:pPr>
              <w:pStyle w:val="Compact"/>
              <w:jc w:val="left"/>
            </w:pPr>
            <w:r>
              <w:t xml:space="preserve">Register of Information automation; incident workflows; TPRM platforms</w:t>
            </w:r>
          </w:p>
        </w:tc>
      </w:tr>
      <w:tr>
        <w:tc>
          <w:tcPr/>
          <w:p>
            <w:pPr>
              <w:pStyle w:val="Compact"/>
              <w:jc w:val="left"/>
            </w:pPr>
            <w:r>
              <w:rPr>
                <w:bCs/>
                <w:b/>
              </w:rPr>
              <w:t xml:space="preserve">L4: Critical Third Parties</w:t>
            </w:r>
          </w:p>
        </w:tc>
        <w:tc>
          <w:tcPr/>
          <w:p>
            <w:pPr>
              <w:pStyle w:val="Compact"/>
              <w:jc w:val="left"/>
            </w:pPr>
            <w:r>
              <w:t xml:space="preserve">Cloud, core banking, infrastructure under direct oversight</w:t>
            </w:r>
          </w:p>
        </w:tc>
        <w:tc>
          <w:tcPr/>
          <w:p>
            <w:pPr>
              <w:pStyle w:val="Compact"/>
              <w:jc w:val="left"/>
            </w:pPr>
            <w:r>
              <w:t xml:space="preserve">AWS, Azure, Google Cloud, IBM, Oracle, SAP, DT</w:t>
            </w:r>
            <w:r>
              <w:t xml:space="preserve"> </w:t>
            </w:r>
            <w:r>
              <w:rPr>
                <w:vertAlign w:val="superscript"/>
              </w:rPr>
              <w:t xml:space="preserve">36</w:t>
            </w:r>
          </w:p>
        </w:tc>
        <w:tc>
          <w:tcPr/>
          <w:p>
            <w:pPr>
              <w:pStyle w:val="Compact"/>
              <w:jc w:val="left"/>
            </w:pPr>
            <w:r>
              <w:t xml:space="preserve">Hyperscaler cloud; core banking; payment rails — now ESMA-supervised</w:t>
            </w:r>
          </w:p>
        </w:tc>
      </w:tr>
      <w:tr>
        <w:tc>
          <w:tcPr/>
          <w:p>
            <w:pPr>
              <w:pStyle w:val="Compact"/>
              <w:jc w:val="left"/>
            </w:pPr>
            <w:r>
              <w:rPr>
                <w:bCs/>
                <w:b/>
              </w:rPr>
              <w:t xml:space="preserve">L5: Financial Entities</w:t>
            </w:r>
          </w:p>
        </w:tc>
        <w:tc>
          <w:tcPr/>
          <w:p>
            <w:pPr>
              <w:pStyle w:val="Compact"/>
              <w:jc w:val="left"/>
            </w:pPr>
            <w:r>
              <w:t xml:space="preserve">Regulated institutions that must comply</w:t>
            </w:r>
          </w:p>
        </w:tc>
        <w:tc>
          <w:tcPr/>
          <w:p>
            <w:pPr>
              <w:pStyle w:val="Compact"/>
              <w:jc w:val="left"/>
            </w:pPr>
            <w:r>
              <w:t xml:space="preserve">22,000+ EU banks, insurers, investment firms, CASPs</w:t>
            </w:r>
            <w:r>
              <w:t xml:space="preserve"> </w:t>
            </w:r>
            <w:r>
              <w:rPr>
                <w:vertAlign w:val="superscript"/>
              </w:rPr>
              <w:t xml:space="preserve">72</w:t>
            </w:r>
          </w:p>
        </w:tc>
        <w:tc>
          <w:tcPr/>
          <w:p>
            <w:pPr>
              <w:pStyle w:val="Compact"/>
              <w:jc w:val="left"/>
            </w:pPr>
            <w:r>
              <w:t xml:space="preserve">Internal capability build; Layers 2-4 services; staff augmentation</w:t>
            </w:r>
          </w:p>
        </w:tc>
      </w:tr>
    </w:tbl>
    <w:p>
      <w:pPr>
        <w:pStyle w:val="BodyText"/>
      </w:pPr>
      <w:r>
        <w:t xml:space="preserve">This model explains the friction. A Tier 2 bank must simultaneously interpret regulatory guidance from Layer 1, engage Deloitte or KPMG from Layer 2, deploy OneTrust or ServiceNow from Layer 3, negotiate CTPP oversight with AWS or IBM from Layer 4, and orchestrate internal teams across risk, IT, legal, and procurement in Layer 5. Each interface introduces compliance risk.</w:t>
      </w:r>
      <w:r>
        <w:t xml:space="preserve"> </w:t>
      </w:r>
      <w:r>
        <w:rPr>
          <w:bCs/>
          <w:b/>
        </w:rPr>
        <w:t xml:space="preserve">No single vendor provides a unified control plane across all five layers</w:t>
      </w:r>
      <w:r>
        <w:t xml:space="preserve">. This is the gap CSOAI is designed to fill.</w:t>
      </w:r>
    </w:p>
    <w:bookmarkEnd w:id="57"/>
    <w:bookmarkEnd w:id="58"/>
    <w:bookmarkStart w:id="59" w:name="big-4-consulting-landscape"/>
    <w:p>
      <w:pPr>
        <w:pStyle w:val="Heading3"/>
      </w:pPr>
      <w:r>
        <w:t xml:space="preserve">3.2 Big 4 &amp; Consulting Landscape</w:t>
      </w:r>
    </w:p>
    <w:p>
      <w:pPr>
        <w:pStyle w:val="FirstParagraph"/>
      </w:pPr>
      <w:r>
        <w:t xml:space="preserve">The Big 4 firms — Deloitte, KPMG, EY, and PwC — are the primary gateways through which digital resilience services reach financial institutions. They do not merely advise; they shape demand. When Deloitte publishes research identifying the Register of Information as the top compliance challenge</w:t>
      </w:r>
      <w:r>
        <w:t xml:space="preserve"> </w:t>
      </w:r>
      <w:r>
        <w:rPr>
          <w:vertAlign w:val="superscript"/>
        </w:rPr>
        <w:t xml:space="preserve">14</w:t>
      </w:r>
      <w:r>
        <w:t xml:space="preserve">, or when KPMG surveys 300+ firms and finds only 12% rate their resilience maturity as</w:t>
      </w:r>
      <w:r>
        <w:t xml:space="preserve"> </w:t>
      </w:r>
      <w:r>
        <w:t xml:space="preserve">“</w:t>
      </w:r>
      <w:r>
        <w:t xml:space="preserve">very high</w:t>
      </w:r>
      <w:r>
        <w:t xml:space="preserve">”</w:t>
      </w:r>
      <w:r>
        <w:t xml:space="preserve"> </w:t>
      </w:r>
      <w:r>
        <w:rPr>
          <w:vertAlign w:val="superscript"/>
        </w:rPr>
        <w:t xml:space="preserve">31</w:t>
      </w:r>
      <w:r>
        <w:t xml:space="preserve">, they are creating the narrative that drives procurement. For CSOAI, the Big 4 are not competitors. They are the</w:t>
      </w:r>
      <w:r>
        <w:t xml:space="preserve"> </w:t>
      </w:r>
      <w:r>
        <w:rPr>
          <w:bCs/>
          <w:b/>
        </w:rPr>
        <w:t xml:space="preserve">principal distribution channel</w:t>
      </w:r>
      <w:r>
        <w:t xml:space="preserve">.</w:t>
      </w:r>
    </w:p>
    <w:p>
      <w:pPr>
        <w:pStyle w:val="BodyText"/>
      </w:pPr>
      <w:r>
        <w:rPr>
          <w:bCs/>
          <w:b/>
        </w:rPr>
        <w:t xml:space="preserve">Deloitte</w:t>
      </w:r>
      <w:r>
        <w:t xml:space="preserve"> </w:t>
      </w:r>
      <w:r>
        <w:t xml:space="preserve">operates the most extensively documented DORA advisory practice. Its finding that</w:t>
      </w:r>
      <w:r>
        <w:t xml:space="preserve"> </w:t>
      </w:r>
      <w:r>
        <w:rPr>
          <w:bCs/>
          <w:b/>
        </w:rPr>
        <w:t xml:space="preserve">46% of financial entities identify the Register of Information as their most challenging DORA requirement</w:t>
      </w:r>
      <w:r>
        <w:t xml:space="preserve"> </w:t>
      </w:r>
      <w:r>
        <w:rPr>
          <w:vertAlign w:val="superscript"/>
        </w:rPr>
        <w:t xml:space="preserve">14</w:t>
      </w:r>
      <w:r>
        <w:t xml:space="preserve">has become a market-defining statistic. Deloitte’s portfolio spans full DORA lifecycle services — risk framework design, incident reporting alignment, CREST-certified penetration testing, and TPRM platform deployment with mobile data collection and visual analytics</w:t>
      </w:r>
      <w:r>
        <w:t xml:space="preserve"> </w:t>
      </w:r>
      <w:r>
        <w:rPr>
          <w:vertAlign w:val="superscript"/>
        </w:rPr>
        <w:t xml:space="preserve">73</w:t>
      </w:r>
      <w:r>
        <w:t xml:space="preserve"> </w:t>
      </w:r>
      <w:r>
        <w:rPr>
          <w:vertAlign w:val="superscript"/>
        </w:rPr>
        <w:t xml:space="preserve">60</w:t>
      </w:r>
      <w:r>
        <w:t xml:space="preserve">. The firm’s December 2025 webinar with BigID on the DORA-NIS2-AI Act intersection</w:t>
      </w:r>
      <w:r>
        <w:t xml:space="preserve"> </w:t>
      </w:r>
      <w:r>
        <w:rPr>
          <w:vertAlign w:val="superscript"/>
        </w:rPr>
        <w:t xml:space="preserve">19</w:t>
      </w:r>
      <w:r>
        <w:t xml:space="preserve">demonstrated openness to co-market with technology vendors rather than build proprietary tools. Deloitte’s RegTech Universe initiative — a curated marketplace of regulatory technology providers — offers CSOAI a formal pathway to visibility among the firm’s financial services clients. The firm’s willingness to partner is structural: Deloitte advises and architects, leaving platform execution to specialized vendors who can demonstrate domain depth.</w:t>
      </w:r>
    </w:p>
    <w:p>
      <w:pPr>
        <w:pStyle w:val="BodyText"/>
      </w:pPr>
      <w:r>
        <w:rPr>
          <w:bCs/>
          <w:b/>
        </w:rPr>
        <w:t xml:space="preserve">KPMG</w:t>
      </w:r>
      <w:r>
        <w:t xml:space="preserve"> </w:t>
      </w:r>
      <w:r>
        <w:t xml:space="preserve">has supported</w:t>
      </w:r>
      <w:r>
        <w:t xml:space="preserve"> </w:t>
      </w:r>
      <w:r>
        <w:rPr>
          <w:bCs/>
          <w:b/>
        </w:rPr>
        <w:t xml:space="preserve">300+ financial services firms globally over seven years</w:t>
      </w:r>
      <w:r>
        <w:t xml:space="preserve"> </w:t>
      </w:r>
      <w:r>
        <w:rPr>
          <w:vertAlign w:val="superscript"/>
        </w:rPr>
        <w:t xml:space="preserve">14</w:t>
      </w:r>
      <w:r>
        <w:t xml:space="preserve">, giving it the deepest empirical dataset on bank resilience maturity of any advisory provider. Its alliance with OneTrust for DORA compliance technology</w:t>
      </w:r>
      <w:r>
        <w:t xml:space="preserve"> </w:t>
      </w:r>
      <w:r>
        <w:rPr>
          <w:vertAlign w:val="superscript"/>
        </w:rPr>
        <w:t xml:space="preserve">25</w:t>
      </w:r>
      <w:r>
        <w:t xml:space="preserve">demonstrates a preference for deep, exclusive technology partnerships. The firm’s formal alliance application process provides vendors with a structured integration pathway — more rigorous than Deloitte’s organic co-marketing, but yielding deeper embedding. KPMG’s conviction that</w:t>
      </w:r>
      <w:r>
        <w:t xml:space="preserve"> </w:t>
      </w:r>
      <w:r>
        <w:t xml:space="preserve">“</w:t>
      </w:r>
      <w:r>
        <w:t xml:space="preserve">AI-related cybersecurity solutions will garner the most interest and investment</w:t>
      </w:r>
      <w:r>
        <w:t xml:space="preserve">”</w:t>
      </w:r>
      <w:r>
        <w:t xml:space="preserve"> </w:t>
      </w:r>
      <w:r>
        <w:rPr>
          <w:vertAlign w:val="superscript"/>
        </w:rPr>
        <w:t xml:space="preserve">62</w:t>
      </w:r>
      <w:r>
        <w:t xml:space="preserve">provides the market narrative CSOAI can ride.</w:t>
      </w:r>
    </w:p>
    <w:p>
      <w:pPr>
        <w:pStyle w:val="BodyText"/>
      </w:pPr>
      <w:r>
        <w:rPr>
          <w:bCs/>
          <w:b/>
        </w:rPr>
        <w:t xml:space="preserve">PwC</w:t>
      </w:r>
      <w:r>
        <w:t xml:space="preserve"> </w:t>
      </w:r>
      <w:r>
        <w:t xml:space="preserve">has positioned itself as the Big 4 leader at the AI regulation-financial services intersection, offering Algorithm and AI Validation Services alongside its DORA practice</w:t>
      </w:r>
      <w:r>
        <w:t xml:space="preserve"> </w:t>
      </w:r>
      <w:r>
        <w:rPr>
          <w:vertAlign w:val="superscript"/>
        </w:rPr>
        <w:t xml:space="preserve">12</w:t>
      </w:r>
      <w:r>
        <w:t xml:space="preserve">. The firm explicitly acknowledges regulatory overlap between DORA, NIS2, GDPR, and the AI Act — a multi-regime framing that aligns with CSOAI’s thesis. PwC’s Partner Ecosystem ISV program provides technology vendors a structured path to embed solutions within PwC’s client delivery methodology. The angle is clean:</w:t>
      </w:r>
      <w:r>
        <w:t xml:space="preserve"> </w:t>
      </w:r>
      <w:r>
        <w:rPr>
          <w:bCs/>
          <w:b/>
        </w:rPr>
        <w:t xml:space="preserve">CSOAI becomes the technology execution layer for PwC’s AI Act advisory engagements</w:t>
      </w:r>
      <w:r>
        <w:t xml:space="preserve">.</w:t>
      </w:r>
    </w:p>
    <w:p>
      <w:pPr>
        <w:pStyle w:val="BodyText"/>
      </w:pPr>
      <w:r>
        <w:rPr>
          <w:bCs/>
          <w:b/>
        </w:rPr>
        <w:t xml:space="preserve">EY</w:t>
      </w:r>
      <w:r>
        <w:t xml:space="preserve"> </w:t>
      </w:r>
      <w:r>
        <w:t xml:space="preserve">maintains a strategic alliance with ServiceNow (2023 Worldwide Financial Services Partner of the Year) and has invested</w:t>
      </w:r>
      <w:r>
        <w:t xml:space="preserve"> </w:t>
      </w:r>
      <w:r>
        <w:rPr>
          <w:bCs/>
          <w:b/>
        </w:rPr>
        <w:t xml:space="preserve">$1.4 billion in its EY.ai platform</w:t>
      </w:r>
      <w:r>
        <w:t xml:space="preserve"> </w:t>
      </w:r>
      <w:r>
        <w:rPr>
          <w:vertAlign w:val="superscript"/>
        </w:rPr>
        <w:t xml:space="preserve">74</w:t>
      </w:r>
      <w:r>
        <w:t xml:space="preserve">. This dual positioning makes EY simultaneously a channel, a potential competitor, and a validation of CSOAI’s market thesis. EY’s pricing for Cyber Operational Resilience Services ranges from £95 to £2,240 per unit per day</w:t>
      </w:r>
      <w:r>
        <w:t xml:space="preserve"> </w:t>
      </w:r>
      <w:r>
        <w:rPr>
          <w:vertAlign w:val="superscript"/>
        </w:rPr>
        <w:t xml:space="preserve">75</w:t>
      </w:r>
      <w:r>
        <w:t xml:space="preserve">, establishing a market rate ceiling against which technology solutions can demonstrate cost efficiency. CSOAI’s entry point is through ServiceNow: as an AI governance app on the platform, delivered via EY’s implementation practice.</w:t>
      </w:r>
    </w:p>
    <w:bookmarkEnd w:id="59"/>
    <w:bookmarkStart w:id="60" w:name="technology-provider-landscape"/>
    <w:p>
      <w:pPr>
        <w:pStyle w:val="Heading3"/>
      </w:pPr>
      <w:r>
        <w:t xml:space="preserve">3.3 Technology Provider Landscape</w:t>
      </w:r>
    </w:p>
    <w:p>
      <w:pPr>
        <w:pStyle w:val="FirstParagraph"/>
      </w:pPr>
      <w:r>
        <w:t xml:space="preserve">Below the consulting layer sits the technology provider ecosystem — platforms and tools banks deploy to operationalize DORA compliance. This landscape is crowded, fragmented across at least a dozen significant vendors, and characterized by a striking uniformity:</w:t>
      </w:r>
      <w:r>
        <w:t xml:space="preserve"> </w:t>
      </w:r>
      <w:r>
        <w:rPr>
          <w:bCs/>
          <w:b/>
        </w:rPr>
        <w:t xml:space="preserve">every major provider addresses some portion of DORA’s five pillars, yet none offers integrated AI governance</w:t>
      </w:r>
      <w:r>
        <w:t xml:space="preserve">. This structural void is the market opportunity at the center of the ecosystem — and the strategic opening for CSOAI’s partnership-first go-to-market.</w:t>
      </w:r>
    </w:p>
    <w:p>
      <w:pPr>
        <w:pStyle w:val="BodyText"/>
      </w:pPr>
      <w:r>
        <w:rPr>
          <w:bCs/>
          <w:b/>
        </w:rPr>
        <w:t xml:space="preserve">OneTrust</w:t>
      </w:r>
      <w:r>
        <w:t xml:space="preserve"> </w:t>
      </w:r>
      <w:r>
        <w:t xml:space="preserve">is the market-defining trust intelligence leader with</w:t>
      </w:r>
      <w:r>
        <w:t xml:space="preserve"> </w:t>
      </w:r>
      <w:r>
        <w:rPr>
          <w:bCs/>
          <w:b/>
        </w:rPr>
        <w:t xml:space="preserve">14,000+ customers and 300+ patents</w:t>
      </w:r>
      <w:r>
        <w:t xml:space="preserve"> </w:t>
      </w:r>
      <w:r>
        <w:rPr>
          <w:vertAlign w:val="superscript"/>
        </w:rPr>
        <w:t xml:space="preserve">76</w:t>
      </w:r>
      <w:r>
        <w:t xml:space="preserve">. Its May 2024 DORA expansion added Third-Party Management for ICT risk, IT and Security Risk Management, Compliance Automation with out-of-the-box DORA mapping, and Audit Management</w:t>
      </w:r>
      <w:r>
        <w:t xml:space="preserve"> </w:t>
      </w:r>
      <w:r>
        <w:rPr>
          <w:vertAlign w:val="superscript"/>
        </w:rPr>
        <w:t xml:space="preserve">76</w:t>
      </w:r>
      <w:r>
        <w:t xml:space="preserve">. Yet the platform has</w:t>
      </w:r>
      <w:r>
        <w:t xml:space="preserve"> </w:t>
      </w:r>
      <w:r>
        <w:rPr>
          <w:bCs/>
          <w:b/>
        </w:rPr>
        <w:t xml:space="preserve">no AI governance module</w:t>
      </w:r>
      <w:r>
        <w:t xml:space="preserve"> </w:t>
      </w:r>
      <w:r>
        <w:t xml:space="preserve">— no model risk management, no AI Act mapping, no bias testing or lifecycle oversight. OneTrust’s customers are the same banks now required by BaFin to embed AI systems into DORA-compliant ICT risk frameworks</w:t>
      </w:r>
      <w:r>
        <w:t xml:space="preserve"> </w:t>
      </w:r>
      <w:r>
        <w:rPr>
          <w:vertAlign w:val="superscript"/>
        </w:rPr>
        <w:t xml:space="preserve">35</w:t>
      </w:r>
      <w:r>
        <w:t xml:space="preserve">. They will need a second platform — or OneTrust will need to partner.</w:t>
      </w:r>
    </w:p>
    <w:p>
      <w:pPr>
        <w:pStyle w:val="BodyText"/>
      </w:pPr>
      <w:r>
        <w:rPr>
          <w:bCs/>
          <w:b/>
        </w:rPr>
        <w:t xml:space="preserve">ServiceNow</w:t>
      </w:r>
      <w:r>
        <w:t xml:space="preserve"> </w:t>
      </w:r>
      <w:r>
        <w:t xml:space="preserve">commands a</w:t>
      </w:r>
      <w:r>
        <w:t xml:space="preserve"> </w:t>
      </w:r>
      <w:r>
        <w:rPr>
          <w:bCs/>
          <w:b/>
        </w:rPr>
        <w:t xml:space="preserve">$275 billion TAM with less than 5% penetration</w:t>
      </w:r>
      <w:r>
        <w:t xml:space="preserve"> </w:t>
      </w:r>
      <w:r>
        <w:rPr>
          <w:vertAlign w:val="superscript"/>
        </w:rPr>
        <w:t xml:space="preserve">77</w:t>
      </w:r>
      <w:r>
        <w:t xml:space="preserve">. Its financial services operations platform, delivered through an elite partner ecosystem including EY, Deloitte, and KPMG</w:t>
      </w:r>
      <w:r>
        <w:t xml:space="preserve"> </w:t>
      </w:r>
      <w:r>
        <w:rPr>
          <w:vertAlign w:val="superscript"/>
        </w:rPr>
        <w:t xml:space="preserve">74</w:t>
      </w:r>
      <w:r>
        <w:t xml:space="preserve"> </w:t>
      </w:r>
      <w:r>
        <w:rPr>
          <w:vertAlign w:val="superscript"/>
        </w:rPr>
        <w:t xml:space="preserve">78</w:t>
      </w:r>
      <w:r>
        <w:t xml:space="preserve">, provides the workflow backbone for operational resilience at major banks. The January 2026 expanded partnership with Fiserv — embedding Now Assist AI into financial services workflows — signals strategic priority for the sector</w:t>
      </w:r>
      <w:r>
        <w:t xml:space="preserve"> </w:t>
      </w:r>
      <w:r>
        <w:rPr>
          <w:vertAlign w:val="superscript"/>
        </w:rPr>
        <w:t xml:space="preserve">79</w:t>
      </w:r>
      <w:r>
        <w:t xml:space="preserve">. The gap is identical:</w:t>
      </w:r>
      <w:r>
        <w:t xml:space="preserve"> </w:t>
      </w:r>
      <w:r>
        <w:rPr>
          <w:bCs/>
          <w:b/>
        </w:rPr>
        <w:t xml:space="preserve">ServiceNow has no native AI governance capability</w:t>
      </w:r>
      <w:r>
        <w:t xml:space="preserve">. It orchestrates workflows and tracks assets but does not govern AI models or map them to regulatory requirements. The firm maintains 350+ dedicated security professionals globally and offers multi-instance architecture with Advanced High Availability (AHA), yet AI governance remains outside its product boundary</w:t>
      </w:r>
      <w:r>
        <w:t xml:space="preserve"> </w:t>
      </w:r>
      <w:r>
        <w:rPr>
          <w:vertAlign w:val="superscript"/>
        </w:rPr>
        <w:t xml:space="preserve">80</w:t>
      </w:r>
      <w:r>
        <w:t xml:space="preserve">.</w:t>
      </w:r>
    </w:p>
    <w:p>
      <w:pPr>
        <w:pStyle w:val="BodyText"/>
      </w:pPr>
      <w:r>
        <w:rPr>
          <w:bCs/>
          <w:b/>
        </w:rPr>
        <w:t xml:space="preserve">SAI360</w:t>
      </w:r>
      <w:r>
        <w:t xml:space="preserve"> </w:t>
      </w:r>
      <w:r>
        <w:t xml:space="preserve">maps to all five DORA pillars but has</w:t>
      </w:r>
      <w:r>
        <w:t xml:space="preserve"> </w:t>
      </w:r>
      <w:r>
        <w:rPr>
          <w:bCs/>
          <w:b/>
        </w:rPr>
        <w:t xml:space="preserve">no AI governance whatsoever</w:t>
      </w:r>
      <w:r>
        <w:t xml:space="preserve"> </w:t>
      </w:r>
      <w:r>
        <w:rPr>
          <w:vertAlign w:val="superscript"/>
        </w:rPr>
        <w:t xml:space="preserve">45</w:t>
      </w:r>
      <w:r>
        <w:t xml:space="preserve">.</w:t>
      </w:r>
      <w:r>
        <w:t xml:space="preserve"> </w:t>
      </w:r>
      <w:r>
        <w:rPr>
          <w:bCs/>
          <w:b/>
        </w:rPr>
        <w:t xml:space="preserve">MetricStream</w:t>
      </w:r>
      <w:r>
        <w:t xml:space="preserve"> </w:t>
      </w:r>
      <w:r>
        <w:t xml:space="preserve">claims the widest GRC functional coverage with 6-18 month implementations and $1M+ TCO, but its AI capabilities are</w:t>
      </w:r>
      <w:r>
        <w:t xml:space="preserve"> </w:t>
      </w:r>
      <w:r>
        <w:t xml:space="preserve">“</w:t>
      </w:r>
      <w:r>
        <w:t xml:space="preserve">emerging but not governed to the standard regulated industries require</w:t>
      </w:r>
      <w:r>
        <w:t xml:space="preserve">”</w:t>
      </w:r>
      <w:r>
        <w:t xml:space="preserve"> </w:t>
      </w:r>
      <w:r>
        <w:rPr>
          <w:vertAlign w:val="superscript"/>
        </w:rPr>
        <w:t xml:space="preserve">29</w:t>
      </w:r>
      <w:r>
        <w:t xml:space="preserve">.</w:t>
      </w:r>
      <w:r>
        <w:t xml:space="preserve"> </w:t>
      </w:r>
      <w:r>
        <w:rPr>
          <w:bCs/>
          <w:b/>
        </w:rPr>
        <w:t xml:space="preserve">Corlytics</w:t>
      </w:r>
      <w:r>
        <w:t xml:space="preserve"> </w:t>
      </w:r>
      <w:r>
        <w:t xml:space="preserve">processes 30 million pages of regulatory text annually</w:t>
      </w:r>
      <w:r>
        <w:t xml:space="preserve"> </w:t>
      </w:r>
      <w:r>
        <w:rPr>
          <w:vertAlign w:val="superscript"/>
        </w:rPr>
        <w:t xml:space="preserve">81</w:t>
      </w:r>
      <w:r>
        <w:t xml:space="preserve">but occupies upstream intelligence, not downstream compliance execution.</w:t>
      </w:r>
      <w:r>
        <w:t xml:space="preserve"> </w:t>
      </w:r>
      <w:r>
        <w:rPr>
          <w:bCs/>
          <w:b/>
        </w:rPr>
        <w:t xml:space="preserve">Clausestream</w:t>
      </w:r>
      <w:r>
        <w:t xml:space="preserve">,</w:t>
      </w:r>
      <w:r>
        <w:t xml:space="preserve"> </w:t>
      </w:r>
      <w:r>
        <w:rPr>
          <w:bCs/>
          <w:b/>
        </w:rPr>
        <w:t xml:space="preserve">Panorays</w:t>
      </w:r>
      <w:r>
        <w:t xml:space="preserve">,</w:t>
      </w:r>
      <w:r>
        <w:t xml:space="preserve"> </w:t>
      </w:r>
      <w:r>
        <w:rPr>
          <w:bCs/>
          <w:b/>
        </w:rPr>
        <w:t xml:space="preserve">BitSight</w:t>
      </w:r>
      <w:r>
        <w:t xml:space="preserve">, and</w:t>
      </w:r>
      <w:r>
        <w:t xml:space="preserve"> </w:t>
      </w:r>
      <w:r>
        <w:rPr>
          <w:bCs/>
          <w:b/>
        </w:rPr>
        <w:t xml:space="preserve">3rdRisk</w:t>
      </w:r>
      <w:r>
        <w:t xml:space="preserve"> </w:t>
      </w:r>
      <w:r>
        <w:t xml:space="preserve">deliver deep Pillar 4 (third-party risk) capabilities with no broader DORA coverage and no AI governance.</w:t>
      </w:r>
    </w:p>
    <w:p>
      <w:pPr>
        <w:pStyle w:val="BodyText"/>
      </w:pPr>
      <w:r>
        <w:rPr>
          <w:bCs/>
          <w:b/>
        </w:rPr>
        <w:t xml:space="preserve">CrowdStrike</w:t>
      </w:r>
      <w:r>
        <w:t xml:space="preserve">,</w:t>
      </w:r>
      <w:r>
        <w:t xml:space="preserve"> </w:t>
      </w:r>
      <w:r>
        <w:rPr>
          <w:bCs/>
          <w:b/>
        </w:rPr>
        <w:t xml:space="preserve">SentinelOne</w:t>
      </w:r>
      <w:r>
        <w:t xml:space="preserve">, and</w:t>
      </w:r>
      <w:r>
        <w:t xml:space="preserve"> </w:t>
      </w:r>
      <w:r>
        <w:rPr>
          <w:bCs/>
          <w:b/>
        </w:rPr>
        <w:t xml:space="preserve">Palo Alto Networks</w:t>
      </w:r>
      <w:r>
        <w:t xml:space="preserve"> </w:t>
      </w:r>
      <w:r>
        <w:t xml:space="preserve">occupy the technical security layer. SentinelOne has been most explicit in DORA positioning, marketing</w:t>
      </w:r>
      <w:r>
        <w:t xml:space="preserve"> </w:t>
      </w:r>
      <w:r>
        <w:t xml:space="preserve">“</w:t>
      </w:r>
      <w:r>
        <w:t xml:space="preserve">AI-powered, autonomous security to support operational resilience</w:t>
      </w:r>
      <w:r>
        <w:t xml:space="preserve">”</w:t>
      </w:r>
      <w:r>
        <w:t xml:space="preserve"> </w:t>
      </w:r>
      <w:r>
        <w:rPr>
          <w:vertAlign w:val="superscript"/>
        </w:rPr>
        <w:t xml:space="preserve">42</w:t>
      </w:r>
      <w:r>
        <w:t xml:space="preserve">. Palo Alto maintains a dedicated financial services practice</w:t>
      </w:r>
      <w:r>
        <w:t xml:space="preserve"> </w:t>
      </w:r>
      <w:r>
        <w:rPr>
          <w:vertAlign w:val="superscript"/>
        </w:rPr>
        <w:t xml:space="preserve">13</w:t>
      </w:r>
      <w:r>
        <w:t xml:space="preserve">. CrowdStrike’s July 2024 global outage — which cascaded through financial infrastructure and triggered emergency resilience reviews</w:t>
      </w:r>
      <w:r>
        <w:t xml:space="preserve"> </w:t>
      </w:r>
      <w:r>
        <w:rPr>
          <w:vertAlign w:val="superscript"/>
        </w:rPr>
        <w:t xml:space="preserve">82</w:t>
      </w:r>
      <w:r>
        <w:t xml:space="preserve"> </w:t>
      </w:r>
      <w:r>
        <w:rPr>
          <w:vertAlign w:val="superscript"/>
        </w:rPr>
        <w:t xml:space="preserve">83</w:t>
      </w:r>
      <w:r>
        <w:t xml:space="preserve">— ironically validated DORA’s relevance. Yet all three share the same limit:</w:t>
      </w:r>
      <w:r>
        <w:t xml:space="preserve"> </w:t>
      </w:r>
      <w:r>
        <w:rPr>
          <w:bCs/>
          <w:b/>
        </w:rPr>
        <w:t xml:space="preserve">they detect threats; they do not govern the AI systems that detect threats</w:t>
      </w:r>
      <w:r>
        <w:t xml:space="preserve">. CSOAI’s integration opportunity is to consume their incident data and channel it into unified DORA-AI Act-GDPR reporting workflows.</w:t>
      </w:r>
    </w:p>
    <w:p>
      <w:pPr>
        <w:pStyle w:val="BodyText"/>
      </w:pPr>
      <w:r>
        <w:t xml:space="preserve">The pattern is universal. The following table maps vendor coverage across the capabilities banks actually need:</w:t>
      </w:r>
    </w:p>
    <w:tbl>
      <w:tblPr>
        <w:tblStyle w:val="Table"/>
        <w:tblW w:type="pct" w:w="5000"/>
        <w:tblLook w:firstRow="1" w:lastRow="0" w:firstColumn="0" w:lastColumn="0" w:noHBand="0" w:noVBand="0" w:val="0020"/>
      </w:tblPr>
      <w:tblGrid>
        <w:gridCol w:w="1131"/>
        <w:gridCol w:w="2376"/>
        <w:gridCol w:w="1697"/>
        <w:gridCol w:w="2715"/>
      </w:tblGrid>
      <w:tr>
        <w:trPr>
          <w:tblHeader w:val="true"/>
        </w:trPr>
        <w:tc>
          <w:tcPr/>
          <w:p>
            <w:pPr>
              <w:pStyle w:val="Compact"/>
              <w:jc w:val="left"/>
            </w:pPr>
            <w:r>
              <w:t xml:space="preserve">Provider</w:t>
            </w:r>
          </w:p>
        </w:tc>
        <w:tc>
          <w:tcPr/>
          <w:p>
            <w:pPr>
              <w:pStyle w:val="Compact"/>
              <w:jc w:val="left"/>
            </w:pPr>
            <w:r>
              <w:t xml:space="preserve">DORA Pillar Coverage</w:t>
            </w:r>
          </w:p>
        </w:tc>
        <w:tc>
          <w:tcPr/>
          <w:p>
            <w:pPr>
              <w:pStyle w:val="Compact"/>
              <w:jc w:val="left"/>
            </w:pPr>
            <w:r>
              <w:t xml:space="preserve">AI Governance</w:t>
            </w:r>
          </w:p>
        </w:tc>
        <w:tc>
          <w:tcPr/>
          <w:p>
            <w:pPr>
              <w:pStyle w:val="Compact"/>
              <w:jc w:val="left"/>
            </w:pPr>
            <w:r>
              <w:t xml:space="preserve">CSOAI Partnership Angle</w:t>
            </w:r>
          </w:p>
        </w:tc>
      </w:tr>
      <w:tr>
        <w:tc>
          <w:tcPr/>
          <w:p>
            <w:pPr>
              <w:pStyle w:val="Compact"/>
              <w:jc w:val="left"/>
            </w:pPr>
            <w:r>
              <w:rPr>
                <w:bCs/>
                <w:b/>
              </w:rPr>
              <w:t xml:space="preserve">OneTrust</w:t>
            </w:r>
          </w:p>
        </w:tc>
        <w:tc>
          <w:tcPr/>
          <w:p>
            <w:pPr>
              <w:pStyle w:val="Compact"/>
              <w:jc w:val="left"/>
            </w:pPr>
            <w:r>
              <w:t xml:space="preserve">Pillars 1, 2, 4 (moderate-strong)</w:t>
            </w:r>
          </w:p>
        </w:tc>
        <w:tc>
          <w:tcPr/>
          <w:p>
            <w:pPr>
              <w:pStyle w:val="Compact"/>
              <w:jc w:val="left"/>
            </w:pPr>
            <w:r>
              <w:rPr>
                <w:bCs/>
                <w:b/>
              </w:rPr>
              <w:t xml:space="preserve">None</w:t>
            </w:r>
            <w:r>
              <w:t xml:space="preserve"> </w:t>
            </w:r>
            <w:r>
              <w:t xml:space="preserve">— data privacy only</w:t>
            </w:r>
          </w:p>
        </w:tc>
        <w:tc>
          <w:tcPr/>
          <w:p>
            <w:pPr>
              <w:pStyle w:val="Compact"/>
              <w:jc w:val="left"/>
            </w:pPr>
            <w:r>
              <w:t xml:space="preserve">Co-sell to 14,000 customers; fill the AI gap</w:t>
            </w:r>
          </w:p>
        </w:tc>
      </w:tr>
      <w:tr>
        <w:tc>
          <w:tcPr/>
          <w:p>
            <w:pPr>
              <w:pStyle w:val="Compact"/>
              <w:jc w:val="left"/>
            </w:pPr>
            <w:r>
              <w:rPr>
                <w:bCs/>
                <w:b/>
              </w:rPr>
              <w:t xml:space="preserve">ServiceNow</w:t>
            </w:r>
          </w:p>
        </w:tc>
        <w:tc>
          <w:tcPr/>
          <w:p>
            <w:pPr>
              <w:pStyle w:val="Compact"/>
              <w:jc w:val="left"/>
            </w:pPr>
            <w:r>
              <w:t xml:space="preserve">All pillars via partners</w:t>
            </w:r>
          </w:p>
        </w:tc>
        <w:tc>
          <w:tcPr/>
          <w:p>
            <w:pPr>
              <w:pStyle w:val="Compact"/>
              <w:jc w:val="left"/>
            </w:pPr>
            <w:r>
              <w:rPr>
                <w:bCs/>
                <w:b/>
              </w:rPr>
              <w:t xml:space="preserve">None</w:t>
            </w:r>
          </w:p>
        </w:tc>
        <w:tc>
          <w:tcPr/>
          <w:p>
            <w:pPr>
              <w:pStyle w:val="Compact"/>
              <w:jc w:val="left"/>
            </w:pPr>
            <w:r>
              <w:t xml:space="preserve">Build AI governance app on ServiceNow Store</w:t>
            </w:r>
          </w:p>
        </w:tc>
      </w:tr>
      <w:tr>
        <w:tc>
          <w:tcPr/>
          <w:p>
            <w:pPr>
              <w:pStyle w:val="Compact"/>
              <w:jc w:val="left"/>
            </w:pPr>
            <w:r>
              <w:rPr>
                <w:bCs/>
                <w:b/>
              </w:rPr>
              <w:t xml:space="preserve">IBM OpenPages</w:t>
            </w:r>
          </w:p>
        </w:tc>
        <w:tc>
          <w:tcPr/>
          <w:p>
            <w:pPr>
              <w:pStyle w:val="Compact"/>
              <w:jc w:val="left"/>
            </w:pPr>
            <w:r>
              <w:t xml:space="preserve">All 5 pillars</w:t>
            </w:r>
          </w:p>
        </w:tc>
        <w:tc>
          <w:tcPr/>
          <w:p>
            <w:pPr>
              <w:pStyle w:val="Compact"/>
              <w:jc w:val="left"/>
            </w:pPr>
            <w:r>
              <w:t xml:space="preserve">Partial (Watson, not integrated)</w:t>
            </w:r>
          </w:p>
        </w:tc>
        <w:tc>
          <w:tcPr/>
          <w:p>
            <w:pPr>
              <w:pStyle w:val="Compact"/>
              <w:jc w:val="left"/>
            </w:pPr>
            <w:r>
              <w:t xml:space="preserve">Add unified AI governance module</w:t>
            </w:r>
          </w:p>
        </w:tc>
      </w:tr>
      <w:tr>
        <w:tc>
          <w:tcPr/>
          <w:p>
            <w:pPr>
              <w:pStyle w:val="Compact"/>
              <w:jc w:val="left"/>
            </w:pPr>
            <w:r>
              <w:rPr>
                <w:bCs/>
                <w:b/>
              </w:rPr>
              <w:t xml:space="preserve">SAI360</w:t>
            </w:r>
          </w:p>
        </w:tc>
        <w:tc>
          <w:tcPr/>
          <w:p>
            <w:pPr>
              <w:pStyle w:val="Compact"/>
              <w:jc w:val="left"/>
            </w:pPr>
            <w:r>
              <w:t xml:space="preserve">All 5 pillars</w:t>
            </w:r>
          </w:p>
        </w:tc>
        <w:tc>
          <w:tcPr/>
          <w:p>
            <w:pPr>
              <w:pStyle w:val="Compact"/>
              <w:jc w:val="left"/>
            </w:pPr>
            <w:r>
              <w:rPr>
                <w:bCs/>
                <w:b/>
              </w:rPr>
              <w:t xml:space="preserve">None</w:t>
            </w:r>
          </w:p>
        </w:tc>
        <w:tc>
          <w:tcPr/>
          <w:p>
            <w:pPr>
              <w:pStyle w:val="Compact"/>
              <w:jc w:val="left"/>
            </w:pPr>
            <w:r>
              <w:t xml:space="preserve">OEM:</w:t>
            </w:r>
            <w:r>
              <w:t xml:space="preserve"> </w:t>
            </w:r>
            <w:r>
              <w:t xml:space="preserve">“</w:t>
            </w:r>
            <w:r>
              <w:t xml:space="preserve">SAI360 powered by CSOAI</w:t>
            </w:r>
            <w:r>
              <w:t xml:space="preserve">”</w:t>
            </w:r>
          </w:p>
        </w:tc>
      </w:tr>
      <w:tr>
        <w:tc>
          <w:tcPr/>
          <w:p>
            <w:pPr>
              <w:pStyle w:val="Compact"/>
              <w:jc w:val="left"/>
            </w:pPr>
            <w:r>
              <w:rPr>
                <w:bCs/>
                <w:b/>
              </w:rPr>
              <w:t xml:space="preserve">MetricStream</w:t>
            </w:r>
          </w:p>
        </w:tc>
        <w:tc>
          <w:tcPr/>
          <w:p>
            <w:pPr>
              <w:pStyle w:val="Compact"/>
              <w:jc w:val="left"/>
            </w:pPr>
            <w:r>
              <w:t xml:space="preserve">All 5 pillars</w:t>
            </w:r>
          </w:p>
        </w:tc>
        <w:tc>
          <w:tcPr/>
          <w:p>
            <w:pPr>
              <w:pStyle w:val="Compact"/>
              <w:jc w:val="left"/>
            </w:pPr>
            <w:r>
              <w:t xml:space="preserve">Emerging, immature</w:t>
            </w:r>
          </w:p>
        </w:tc>
        <w:tc>
          <w:tcPr/>
          <w:p>
            <w:pPr>
              <w:pStyle w:val="Compact"/>
              <w:jc w:val="left"/>
            </w:pPr>
            <w:r>
              <w:t xml:space="preserve">AI governance layer alongside $1M+ deployments</w:t>
            </w:r>
          </w:p>
        </w:tc>
      </w:tr>
      <w:tr>
        <w:tc>
          <w:tcPr/>
          <w:p>
            <w:pPr>
              <w:pStyle w:val="Compact"/>
              <w:jc w:val="left"/>
            </w:pPr>
            <w:r>
              <w:rPr>
                <w:bCs/>
                <w:b/>
              </w:rPr>
              <w:t xml:space="preserve">Corlytics</w:t>
            </w:r>
          </w:p>
        </w:tc>
        <w:tc>
          <w:tcPr/>
          <w:p>
            <w:pPr>
              <w:pStyle w:val="Compact"/>
              <w:jc w:val="left"/>
            </w:pPr>
            <w:r>
              <w:t xml:space="preserve">Regulatory intelligence only</w:t>
            </w:r>
          </w:p>
        </w:tc>
        <w:tc>
          <w:tcPr/>
          <w:p>
            <w:pPr>
              <w:pStyle w:val="Compact"/>
              <w:jc w:val="left"/>
            </w:pPr>
            <w:r>
              <w:rPr>
                <w:bCs/>
                <w:b/>
              </w:rPr>
              <w:t xml:space="preserve">None</w:t>
            </w:r>
          </w:p>
        </w:tc>
        <w:tc>
          <w:tcPr/>
          <w:p>
            <w:pPr>
              <w:pStyle w:val="Compact"/>
              <w:jc w:val="left"/>
            </w:pPr>
            <w:r>
              <w:t xml:space="preserve">Corlytics supplies content; CSOAI operationalizes it</w:t>
            </w:r>
          </w:p>
        </w:tc>
      </w:tr>
      <w:tr>
        <w:tc>
          <w:tcPr/>
          <w:p>
            <w:pPr>
              <w:pStyle w:val="Compact"/>
              <w:jc w:val="left"/>
            </w:pPr>
            <w:r>
              <w:rPr>
                <w:bCs/>
                <w:b/>
              </w:rPr>
              <w:t xml:space="preserve">CrowdStrike / SentinelOne / Palo Alto</w:t>
            </w:r>
          </w:p>
        </w:tc>
        <w:tc>
          <w:tcPr/>
          <w:p>
            <w:pPr>
              <w:pStyle w:val="Compact"/>
              <w:jc w:val="left"/>
            </w:pPr>
            <w:r>
              <w:t xml:space="preserve">Pillars 1-2 (technical only)</w:t>
            </w:r>
          </w:p>
        </w:tc>
        <w:tc>
          <w:tcPr/>
          <w:p>
            <w:pPr>
              <w:pStyle w:val="Compact"/>
              <w:jc w:val="left"/>
            </w:pPr>
            <w:r>
              <w:rPr>
                <w:bCs/>
                <w:b/>
              </w:rPr>
              <w:t xml:space="preserve">None</w:t>
            </w:r>
          </w:p>
        </w:tc>
        <w:tc>
          <w:tcPr/>
          <w:p>
            <w:pPr>
              <w:pStyle w:val="Compact"/>
              <w:jc w:val="left"/>
            </w:pPr>
            <w:r>
              <w:t xml:space="preserve">Consume threat data into unified reporting</w:t>
            </w:r>
          </w:p>
        </w:tc>
      </w:tr>
      <w:tr>
        <w:tc>
          <w:tcPr/>
          <w:p>
            <w:pPr>
              <w:pStyle w:val="Compact"/>
              <w:jc w:val="left"/>
            </w:pPr>
            <w:r>
              <w:rPr>
                <w:bCs/>
                <w:b/>
              </w:rPr>
              <w:t xml:space="preserve">Deloitte / KPMG / EY / PwC</w:t>
            </w:r>
          </w:p>
        </w:tc>
        <w:tc>
          <w:tcPr/>
          <w:p>
            <w:pPr>
              <w:pStyle w:val="Compact"/>
              <w:jc w:val="left"/>
            </w:pPr>
            <w:r>
              <w:t xml:space="preserve">Advisory (all pillars)</w:t>
            </w:r>
          </w:p>
        </w:tc>
        <w:tc>
          <w:tcPr/>
          <w:p>
            <w:pPr>
              <w:pStyle w:val="Compact"/>
              <w:jc w:val="left"/>
            </w:pPr>
            <w:r>
              <w:t xml:space="preserve">No proprietary technology</w:t>
            </w:r>
          </w:p>
        </w:tc>
        <w:tc>
          <w:tcPr/>
          <w:p>
            <w:pPr>
              <w:pStyle w:val="Compact"/>
              <w:jc w:val="left"/>
            </w:pPr>
            <w:r>
              <w:t xml:space="preserve">CSOAI as their AI governance technology partner</w:t>
            </w:r>
          </w:p>
        </w:tc>
      </w:tr>
      <w:tr>
        <w:tc>
          <w:tcPr/>
          <w:p>
            <w:pPr>
              <w:pStyle w:val="Compact"/>
              <w:jc w:val="left"/>
            </w:pPr>
            <w:r>
              <w:rPr>
                <w:bCs/>
                <w:b/>
              </w:rPr>
              <w:t xml:space="preserve">CSOAI</w:t>
            </w:r>
          </w:p>
        </w:tc>
        <w:tc>
          <w:tcPr/>
          <w:p>
            <w:pPr>
              <w:pStyle w:val="Compact"/>
              <w:jc w:val="left"/>
            </w:pPr>
            <w:r>
              <w:t xml:space="preserve">All 5 pillars (platform)</w:t>
            </w:r>
          </w:p>
        </w:tc>
        <w:tc>
          <w:tcPr/>
          <w:p>
            <w:pPr>
              <w:pStyle w:val="Compact"/>
              <w:jc w:val="left"/>
            </w:pPr>
            <w:r>
              <w:rPr>
                <w:bCs/>
                <w:b/>
              </w:rPr>
              <w:t xml:space="preserve">Native, integrated</w:t>
            </w:r>
          </w:p>
        </w:tc>
        <w:tc>
          <w:tcPr/>
          <w:p>
            <w:pPr>
              <w:pStyle w:val="Compact"/>
              <w:jc w:val="left"/>
            </w:pPr>
            <w:r>
              <w:rPr>
                <w:bCs/>
                <w:b/>
              </w:rPr>
              <w:t xml:space="preserve">Unique intersection — no direct competitor</w:t>
            </w:r>
          </w:p>
        </w:tc>
      </w:tr>
    </w:tbl>
    <w:bookmarkEnd w:id="60"/>
    <w:bookmarkStart w:id="64" w:name="the-critical-market-gap"/>
    <w:p>
      <w:pPr>
        <w:pStyle w:val="Heading3"/>
      </w:pPr>
      <w:r>
        <w:t xml:space="preserve">3.4 The Critical Market Gap</w:t>
      </w:r>
    </w:p>
    <w:bookmarkStart w:id="61" w:name="X19fc82f3fb33a8b0a89b37fa4ae38201c40042c"/>
    <w:p>
      <w:pPr>
        <w:pStyle w:val="Heading4"/>
      </w:pPr>
      <w:r>
        <w:t xml:space="preserve">3.4.1 46% of Banks Struggle with the Register of Information; Only 6.5% Passed the ESA Dry-Run</w:t>
      </w:r>
    </w:p>
    <w:p>
      <w:pPr>
        <w:pStyle w:val="FirstParagraph"/>
      </w:pPr>
      <w:r>
        <w:t xml:space="preserve">The most immediate evidence of market failure lies in the Register of Information.</w:t>
      </w:r>
      <w:r>
        <w:t xml:space="preserve"> </w:t>
      </w:r>
      <w:r>
        <w:rPr>
          <w:bCs/>
          <w:b/>
        </w:rPr>
        <w:t xml:space="preserve">Deloitte found that 46% of financial entities name the ROI as their most challenging DORA requirement</w:t>
      </w:r>
      <w:r>
        <w:t xml:space="preserve"> </w:t>
      </w:r>
      <w:r>
        <w:rPr>
          <w:vertAlign w:val="superscript"/>
        </w:rPr>
        <w:t xml:space="preserve">14</w:t>
      </w:r>
      <w:r>
        <w:t xml:space="preserve">. The reasons are structural: 92% of institutions outsource IT operations, and 77% rely on cloud infrastructure</w:t>
      </w:r>
      <w:r>
        <w:t xml:space="preserve"> </w:t>
      </w:r>
      <w:r>
        <w:rPr>
          <w:vertAlign w:val="superscript"/>
        </w:rPr>
        <w:t xml:space="preserve">12</w:t>
      </w:r>
      <w:r>
        <w:t xml:space="preserve">. Contracts are scattered across procurement teams and subsidiaries. Subcontractor visibility — the fourth and fifth parties beneath the primary vendor — is effectively nonexistent</w:t>
      </w:r>
      <w:r>
        <w:t xml:space="preserve"> </w:t>
      </w:r>
      <w:r>
        <w:rPr>
          <w:vertAlign w:val="superscript"/>
        </w:rPr>
        <w:t xml:space="preserve">35</w:t>
      </w:r>
      <w:r>
        <w:t xml:space="preserve">.</w:t>
      </w:r>
    </w:p>
    <w:p>
      <w:pPr>
        <w:pStyle w:val="BodyText"/>
      </w:pPr>
      <w:r>
        <w:t xml:space="preserve">The ESAs’ 2024 dry-run testing exposed catastrophic readiness.</w:t>
      </w:r>
      <w:r>
        <w:t xml:space="preserve"> </w:t>
      </w:r>
      <w:r>
        <w:rPr>
          <w:bCs/>
          <w:b/>
        </w:rPr>
        <w:t xml:space="preserve">Only 6.5% of firms passed all 116 data quality checks</w:t>
      </w:r>
      <w:r>
        <w:t xml:space="preserve">, and Excel-based submissions had a</w:t>
      </w:r>
      <w:r>
        <w:t xml:space="preserve"> </w:t>
      </w:r>
      <w:r>
        <w:rPr>
          <w:bCs/>
          <w:b/>
        </w:rPr>
        <w:t xml:space="preserve">94% failure rate</w:t>
      </w:r>
      <w:r>
        <w:t xml:space="preserve"> </w:t>
      </w:r>
      <w:r>
        <w:rPr>
          <w:vertAlign w:val="superscript"/>
        </w:rPr>
        <w:t xml:space="preserve">56</w:t>
      </w:r>
      <w:r>
        <w:t xml:space="preserve">. These are not marginal shortfalls. They represent market-wide incapacity to execute DORA’s most basic data requirement. The supervisory pattern is now established: regulators check ROI completeness first, then CIF classification consistency, then contract provisions against the Article 30 mandatory list</w:t>
      </w:r>
      <w:r>
        <w:t xml:space="preserve"> </w:t>
      </w:r>
      <w:r>
        <w:rPr>
          <w:vertAlign w:val="superscript"/>
        </w:rPr>
        <w:t xml:space="preserve">13</w:t>
      </w:r>
      <w:r>
        <w:t xml:space="preserve">. Banks that fail at step one face immediate escalation — and fines of up to 2% of global turnover or EUR 10 million</w:t>
      </w:r>
      <w:r>
        <w:t xml:space="preserve"> </w:t>
      </w:r>
      <w:r>
        <w:rPr>
          <w:vertAlign w:val="superscript"/>
        </w:rPr>
        <w:t xml:space="preserve">13</w:t>
      </w:r>
      <w:r>
        <w:t xml:space="preserve">.</w:t>
      </w:r>
    </w:p>
    <w:bookmarkEnd w:id="61"/>
    <w:bookmarkStart w:id="62" w:name="Xeb77b7ba907d6ea17829bab8db8d8d391fd861d"/>
    <w:p>
      <w:pPr>
        <w:pStyle w:val="Heading4"/>
      </w:pPr>
      <w:r>
        <w:t xml:space="preserve">3.4.2 EUR 5–15 Million DORA Spend per Institution × 22,000 Entities = EUR 110–330 Billion TAM</w:t>
      </w:r>
    </w:p>
    <w:p>
      <w:pPr>
        <w:pStyle w:val="FirstParagraph"/>
      </w:pPr>
      <w:r>
        <w:t xml:space="preserve">McKinsey research found that institutions plan to spend between</w:t>
      </w:r>
      <w:r>
        <w:t xml:space="preserve"> </w:t>
      </w:r>
      <w:r>
        <w:rPr>
          <w:bCs/>
          <w:b/>
        </w:rPr>
        <w:t xml:space="preserve">EUR 5 million and EUR 15 million on DORA compliance</w:t>
      </w:r>
      <w:r>
        <w:t xml:space="preserve"> </w:t>
      </w:r>
      <w:r>
        <w:rPr>
          <w:vertAlign w:val="superscript"/>
        </w:rPr>
        <w:t xml:space="preserve">55</w:t>
      </w:r>
      <w:r>
        <w:t xml:space="preserve">. With</w:t>
      </w:r>
      <w:r>
        <w:t xml:space="preserve"> </w:t>
      </w:r>
      <w:r>
        <w:rPr>
          <w:bCs/>
          <w:b/>
        </w:rPr>
        <w:t xml:space="preserve">22,000 entities in scope</w:t>
      </w:r>
      <w:r>
        <w:t xml:space="preserve"> </w:t>
      </w:r>
      <w:r>
        <w:rPr>
          <w:vertAlign w:val="superscript"/>
        </w:rPr>
        <w:t xml:space="preserve">72</w:t>
      </w:r>
      <w:r>
        <w:t xml:space="preserve">, the total addressable market ranges from</w:t>
      </w:r>
      <w:r>
        <w:t xml:space="preserve"> </w:t>
      </w:r>
      <w:r>
        <w:rPr>
          <w:bCs/>
          <w:b/>
        </w:rPr>
        <w:t xml:space="preserve">EUR 110 billion to EUR 330 billion</w:t>
      </w:r>
      <w:r>
        <w:t xml:space="preserve"> </w:t>
      </w:r>
      <w:r>
        <w:t xml:space="preserve">— a figure that places digital resilience among the largest compliance-driven technology markets in the history of European financial regulation. This is not one-time spending: DORA requires annual ROI submissions, recurring resilience testing, ongoing incident reporting, and perpetual third-party monitoring.</w:t>
      </w:r>
    </w:p>
    <w:p>
      <w:pPr>
        <w:pStyle w:val="BodyText"/>
      </w:pPr>
      <w:r>
        <w:t xml:space="preserve">The spending is already flowing. Almost</w:t>
      </w:r>
      <w:r>
        <w:t xml:space="preserve"> </w:t>
      </w:r>
      <w:r>
        <w:rPr>
          <w:bCs/>
          <w:b/>
        </w:rPr>
        <w:t xml:space="preserve">40% of entities dedicate more than 7 FTEs</w:t>
      </w:r>
      <w:r>
        <w:t xml:space="preserve"> </w:t>
      </w:r>
      <w:r>
        <w:t xml:space="preserve">to DORA programs</w:t>
      </w:r>
      <w:r>
        <w:t xml:space="preserve"> </w:t>
      </w:r>
      <w:r>
        <w:rPr>
          <w:vertAlign w:val="superscript"/>
        </w:rPr>
        <w:t xml:space="preserve">12</w:t>
      </w:r>
      <w:r>
        <w:t xml:space="preserve">.</w:t>
      </w:r>
      <w:r>
        <w:t xml:space="preserve"> </w:t>
      </w:r>
      <w:r>
        <w:rPr>
          <w:bCs/>
          <w:b/>
        </w:rPr>
        <w:t xml:space="preserve">90% of companies are increasing third-party risk management investment</w:t>
      </w:r>
      <w:r>
        <w:t xml:space="preserve"> </w:t>
      </w:r>
      <w:r>
        <w:rPr>
          <w:vertAlign w:val="superscript"/>
        </w:rPr>
        <w:t xml:space="preserve">55</w:t>
      </w:r>
      <w:r>
        <w:t xml:space="preserve">. The November 2025 CTPP designations — placing 19 hyperscalers under direct ESMA/EBA supervision</w:t>
      </w:r>
      <w:r>
        <w:t xml:space="preserve"> </w:t>
      </w:r>
      <w:r>
        <w:rPr>
          <w:vertAlign w:val="superscript"/>
        </w:rPr>
        <w:t xml:space="preserve">36</w:t>
      </w:r>
      <w:r>
        <w:t xml:space="preserve">— added a new compliance layer for every bank dependent on these providers. The first TLPT deadline of January 2028 is approaching, driving further investment in testing and red team capabilities. Every budget line is expanding simultaneously.</w:t>
      </w:r>
    </w:p>
    <w:bookmarkEnd w:id="62"/>
    <w:bookmarkStart w:id="63" w:name="X8f142d064f4ad5f6a7a25dc2dbde82fc95056a5"/>
    <w:p>
      <w:pPr>
        <w:pStyle w:val="Heading4"/>
      </w:pPr>
      <w:r>
        <w:t xml:space="preserve">3.4.3 AI-Enabled Attacks Grew 72% in 2025; BaFin Mandates AI in DORA Frameworks</w:t>
      </w:r>
    </w:p>
    <w:p>
      <w:pPr>
        <w:pStyle w:val="FirstParagraph"/>
      </w:pPr>
      <w:r>
        <w:t xml:space="preserve">The threat environment compounds the compliance burden.</w:t>
      </w:r>
      <w:r>
        <w:t xml:space="preserve"> </w:t>
      </w:r>
      <w:r>
        <w:rPr>
          <w:bCs/>
          <w:b/>
        </w:rPr>
        <w:t xml:space="preserve">AI-related cybersecurity attack activity increased 72% in 2025</w:t>
      </w:r>
      <w:r>
        <w:t xml:space="preserve">, with global cybersecurity spending reaching</w:t>
      </w:r>
      <w:r>
        <w:t xml:space="preserve"> </w:t>
      </w:r>
      <w:r>
        <w:rPr>
          <w:bCs/>
          <w:b/>
        </w:rPr>
        <w:t xml:space="preserve">$240 billion</w:t>
      </w:r>
      <w:r>
        <w:t xml:space="preserve"> </w:t>
      </w:r>
      <w:r>
        <w:t xml:space="preserve">— DORA explicitly cited as the driver</w:t>
      </w:r>
      <w:r>
        <w:t xml:space="preserve"> </w:t>
      </w:r>
      <w:r>
        <w:rPr>
          <w:vertAlign w:val="superscript"/>
        </w:rPr>
        <w:t xml:space="preserve">43</w:t>
      </w:r>
      <w:r>
        <w:t xml:space="preserve">. Banks must defend against AI-augmented attacks while governing their own AI systems, a dual challenge that no existing vendor portfolio addresses.</w:t>
      </w:r>
    </w:p>
    <w:p>
      <w:pPr>
        <w:pStyle w:val="BodyText"/>
      </w:pPr>
      <w:r>
        <w:t xml:space="preserve">BaFin’s January 2026 guidance clarified the architecture:</w:t>
      </w:r>
      <w:r>
        <w:t xml:space="preserve"> </w:t>
      </w:r>
      <w:r>
        <w:rPr>
          <w:bCs/>
          <w:b/>
        </w:rPr>
        <w:t xml:space="preserve">AI-based systems must be fully embedded into DORA-compliant ICT risk management frameworks</w:t>
      </w:r>
      <w:r>
        <w:t xml:space="preserve"> </w:t>
      </w:r>
      <w:r>
        <w:t xml:space="preserve">— not treated as a separate regime</w:t>
      </w:r>
      <w:r>
        <w:t xml:space="preserve"> </w:t>
      </w:r>
      <w:r>
        <w:rPr>
          <w:vertAlign w:val="superscript"/>
        </w:rPr>
        <w:t xml:space="preserve">35</w:t>
      </w:r>
      <w:r>
        <w:t xml:space="preserve">. Model monitoring, access controls, and resilience testing for AI applications are now mandatory components of DORA compliance. Nordic NCAs have similarly prioritized digital resilience as a top supervisory focus for 2026</w:t>
      </w:r>
      <w:r>
        <w:t xml:space="preserve"> </w:t>
      </w:r>
      <w:r>
        <w:rPr>
          <w:vertAlign w:val="superscript"/>
        </w:rPr>
        <w:t xml:space="preserve">35</w:t>
      </w:r>
      <w:r>
        <w:t xml:space="preserve">.</w:t>
      </w:r>
    </w:p>
    <w:p>
      <w:pPr>
        <w:pStyle w:val="BodyText"/>
      </w:pPr>
      <w:r>
        <w:t xml:space="preserve">This convergence creates a timing advantage that will not last. The market divides into DORA compliance platforms (zero AI governance), AI governance platforms (zero DORA integration), cybersecurity vendors (zero governance), and consultancies (no proprietary technology). The Deloitte/BigID December 2025 webinar poll confirmed the void:</w:t>
      </w:r>
      <w:r>
        <w:t xml:space="preserve"> </w:t>
      </w:r>
      <w:r>
        <w:rPr>
          <w:bCs/>
          <w:b/>
        </w:rPr>
        <w:t xml:space="preserve">0% of attendees reported full compliance across DORA, NIS2, and the AI Act</w:t>
      </w:r>
      <w:r>
        <w:t xml:space="preserve">, and 28% had not started</w:t>
      </w:r>
      <w:r>
        <w:t xml:space="preserve"> </w:t>
      </w:r>
      <w:r>
        <w:rPr>
          <w:vertAlign w:val="superscript"/>
        </w:rPr>
        <w:t xml:space="preserve">19</w:t>
      </w:r>
      <w:r>
        <w:t xml:space="preserve">. ACE + Company’s October 2025 analysis validated the structural overlap: the same logging, monitoring, incident reporting, and third-party oversight requirements appear across all three regimes, yet banks maintain separate teams, systems, and audit trails for each</w:t>
      </w:r>
      <w:r>
        <w:t xml:space="preserve"> </w:t>
      </w:r>
      <w:r>
        <w:rPr>
          <w:vertAlign w:val="superscript"/>
        </w:rPr>
        <w:t xml:space="preserve">20</w:t>
      </w:r>
      <w:r>
        <w:t xml:space="preserve">.</w:t>
      </w:r>
    </w:p>
    <w:p>
      <w:pPr>
        <w:pStyle w:val="BodyText"/>
      </w:pPr>
      <w:r>
        <w:t xml:space="preserve">The window for category definition is 24 to 36 months. OneTrust could build AI governance; IBM could integrate Watson more deeply; a Big 4 firm could launch a proprietary platform. But each faces structural constraints. CSOAI’s opportunity is to establish the intersection as its territory before incumbents can reorient. OneTrust is a privacy company; IBM’s focus is cloud infrastructure; ServiceNow is a workflow platform; the Big 4 are advisory firms structurally prohibited from owning audit tools. Each faces constraints that prevent them from occupying the intersection credibly. The five-layer ecosystem makes clear where CSOAI fits: **as a horizontal governance layer spanning consulting methodology, technology platforms, and CTPP oversight, deliver</w:t>
      </w:r>
    </w:p>
    <w:p>
      <w:r>
        <w:pict>
          <v:rect style="width:0;height:1.5pt" o:hralign="center" o:hrstd="t" o:hr="t"/>
        </w:pict>
      </w:r>
    </w:p>
    <w:bookmarkEnd w:id="63"/>
    <w:bookmarkEnd w:id="64"/>
    <w:bookmarkEnd w:id="65"/>
    <w:bookmarkStart w:id="79" w:name="X78963ffadb37a8b08c5dbfad1eed866659904cf"/>
    <w:p>
      <w:pPr>
        <w:pStyle w:val="Heading2"/>
      </w:pPr>
      <w:r>
        <w:t xml:space="preserve">4. CSOAI Gap Analysis — What We Have vs What Banks Need</w:t>
      </w:r>
    </w:p>
    <w:p>
      <w:pPr>
        <w:pStyle w:val="FirstParagraph"/>
      </w:pPr>
      <w:r>
        <w:t xml:space="preserve">DORA is not a future regulation. It has been enforceable since 17 January 2025, and the European Supervisory Authorities (EBA, ESMA, EIOPA) have already begun targeted reviews. The question for any bank evaluating CSOAI is therefore empirical:</w:t>
      </w:r>
      <w:r>
        <w:t xml:space="preserve"> </w:t>
      </w:r>
      <w:r>
        <w:rPr>
          <w:iCs/>
          <w:i/>
        </w:rPr>
        <w:t xml:space="preserve">does this platform demonstrably reduce our compliance burden, or is it another aspirational AI pitch?</w:t>
      </w:r>
    </w:p>
    <w:p>
      <w:pPr>
        <w:pStyle w:val="BodyText"/>
      </w:pPr>
      <w:r>
        <w:t xml:space="preserve">This chapter answers that question with specificity. We assess CSOAI’s native DORA alignment pillar by pillar, identify six capabilities that can be repositioned as compliance solutions within thirty days, and map five critical builds that close the remaining gaps over a 30–180 day engineering cycle. Every claim is anchored to specific DORA articles, supervisory guidance, or documented market data.</w:t>
      </w:r>
    </w:p>
    <w:p>
      <w:pPr>
        <w:pStyle w:val="BodyText"/>
      </w:pPr>
      <w:r>
        <w:t xml:space="preserve">The headline: CSOAI has</w:t>
      </w:r>
      <w:r>
        <w:t xml:space="preserve"> </w:t>
      </w:r>
      <w:r>
        <w:rPr>
          <w:bCs/>
          <w:b/>
        </w:rPr>
        <w:t xml:space="preserve">65% weighted native coverage</w:t>
      </w:r>
      <w:r>
        <w:t xml:space="preserve"> </w:t>
      </w:r>
      <w:r>
        <w:t xml:space="preserve">of DORA’s five pillars out-of-the-box, rising to</w:t>
      </w:r>
      <w:r>
        <w:t xml:space="preserve"> </w:t>
      </w:r>
      <w:r>
        <w:rPr>
          <w:bCs/>
          <w:b/>
        </w:rPr>
        <w:t xml:space="preserve">80%+ with the six quick wins</w:t>
      </w:r>
      <w:r>
        <w:t xml:space="preserve"> </w:t>
      </w:r>
      <w:r>
        <w:t xml:space="preserve">described in Section 4.2 and to</w:t>
      </w:r>
      <w:r>
        <w:t xml:space="preserve"> </w:t>
      </w:r>
      <w:r>
        <w:rPr>
          <w:bCs/>
          <w:b/>
        </w:rPr>
        <w:t xml:space="preserve">90%+ after the 30-180 day build phase</w:t>
      </w:r>
      <w:r>
        <w:t xml:space="preserve">. No other AI governance platform — and no other decentralized RegTech vendor — starts from this baseline.</w:t>
      </w:r>
      <w:r>
        <w:t xml:space="preserve"> </w:t>
      </w:r>
      <w:r>
        <w:rPr>
          <w:vertAlign w:val="superscript"/>
        </w:rPr>
        <w:t xml:space="preserve">47</w:t>
      </w:r>
      <w:r>
        <w:t xml:space="preserve"> </w:t>
      </w:r>
      <w:r>
        <w:rPr>
          <w:vertAlign w:val="superscript"/>
        </w:rPr>
        <w:t xml:space="preserve">19</w:t>
      </w:r>
      <w:r>
        <w:t xml:space="preserve">—</w:t>
      </w:r>
    </w:p>
    <w:bookmarkStart w:id="71" w:name="native-dora-alignment-by-pillar"/>
    <w:p>
      <w:pPr>
        <w:pStyle w:val="Heading3"/>
      </w:pPr>
      <w:r>
        <w:t xml:space="preserve">4.1 Native DORA Alignment by Pillar</w:t>
      </w:r>
    </w:p>
    <w:p>
      <w:pPr>
        <w:pStyle w:val="FirstParagraph"/>
      </w:pPr>
      <w:r>
        <w:t xml:space="preserve">The assessment methodology is straightforward. For each DORA pillar, we compare CSOAI’s existing architectural components — the 13-framework governance engine, Ed25519 attestation system, BFT Council consensus, Worm Hive mesh networking, Rainbow Stack defense, Pheromone Matrix signaling, Split-Brain SOV3 architecture, and Caste role system — against the specific articles and RTS requirements within that pillar. Coverage is scored as a percentage of demonstrable compliance, not aspirational capability.</w:t>
      </w:r>
    </w:p>
    <w:tbl>
      <w:tblPr>
        <w:tblStyle w:val="Table"/>
        <w:tblW w:type="pct" w:w="5000"/>
        <w:tblLook w:firstRow="1" w:lastRow="0" w:firstColumn="0" w:lastColumn="0" w:noHBand="0" w:noVBand="0" w:val="0020"/>
      </w:tblPr>
      <w:tblGrid>
        <w:gridCol w:w="1470"/>
        <w:gridCol w:w="1131"/>
        <w:gridCol w:w="1697"/>
        <w:gridCol w:w="1244"/>
        <w:gridCol w:w="2376"/>
      </w:tblGrid>
      <w:tr>
        <w:trPr>
          <w:tblHeader w:val="true"/>
        </w:trPr>
        <w:tc>
          <w:tcPr/>
          <w:p>
            <w:pPr>
              <w:pStyle w:val="Compact"/>
              <w:jc w:val="left"/>
            </w:pPr>
            <w:r>
              <w:t xml:space="preserve">DORA Pillar</w:t>
            </w:r>
          </w:p>
        </w:tc>
        <w:tc>
          <w:tcPr/>
          <w:p>
            <w:pPr>
              <w:pStyle w:val="Compact"/>
              <w:jc w:val="left"/>
            </w:pPr>
            <w:r>
              <w:t xml:space="preserve">Articles</w:t>
            </w:r>
          </w:p>
        </w:tc>
        <w:tc>
          <w:tcPr/>
          <w:p>
            <w:pPr>
              <w:pStyle w:val="Compact"/>
              <w:jc w:val="left"/>
            </w:pPr>
            <w:r>
              <w:t xml:space="preserve">CSOAI Coverage</w:t>
            </w:r>
          </w:p>
        </w:tc>
        <w:tc>
          <w:tcPr/>
          <w:p>
            <w:pPr>
              <w:pStyle w:val="Compact"/>
              <w:jc w:val="left"/>
            </w:pPr>
            <w:r>
              <w:t xml:space="preserve">Gap Level</w:t>
            </w:r>
          </w:p>
        </w:tc>
        <w:tc>
          <w:tcPr/>
          <w:p>
            <w:pPr>
              <w:pStyle w:val="Compact"/>
              <w:jc w:val="left"/>
            </w:pPr>
            <w:r>
              <w:t xml:space="preserve">Key Native Component</w:t>
            </w:r>
          </w:p>
        </w:tc>
      </w:tr>
      <w:tr>
        <w:tc>
          <w:tcPr/>
          <w:p>
            <w:pPr>
              <w:pStyle w:val="Compact"/>
              <w:jc w:val="left"/>
            </w:pPr>
            <w:r>
              <w:rPr>
                <w:bCs/>
                <w:b/>
              </w:rPr>
              <w:t xml:space="preserve">Pillar 5 — Information Sharing</w:t>
            </w:r>
          </w:p>
        </w:tc>
        <w:tc>
          <w:tcPr/>
          <w:p>
            <w:pPr>
              <w:pStyle w:val="Compact"/>
              <w:jc w:val="left"/>
            </w:pPr>
            <w:r>
              <w:t xml:space="preserve">Arts. 45–49</w:t>
            </w:r>
          </w:p>
        </w:tc>
        <w:tc>
          <w:tcPr/>
          <w:p>
            <w:pPr>
              <w:pStyle w:val="Compact"/>
              <w:jc w:val="left"/>
            </w:pPr>
            <w:r>
              <w:rPr>
                <w:bCs/>
                <w:b/>
              </w:rPr>
              <w:t xml:space="preserve">80%</w:t>
            </w:r>
          </w:p>
        </w:tc>
        <w:tc>
          <w:tcPr/>
          <w:p>
            <w:pPr>
              <w:pStyle w:val="Compact"/>
              <w:jc w:val="left"/>
            </w:pPr>
            <w:r>
              <w:t xml:space="preserve">Low</w:t>
            </w:r>
          </w:p>
        </w:tc>
        <w:tc>
          <w:tcPr/>
          <w:p>
            <w:pPr>
              <w:pStyle w:val="Compact"/>
              <w:jc w:val="left"/>
            </w:pPr>
            <w:r>
              <w:t xml:space="preserve">Worm Hive p2p mesh + Pheromone signals + Ed25519 attestation</w:t>
            </w:r>
          </w:p>
        </w:tc>
      </w:tr>
      <w:tr>
        <w:tc>
          <w:tcPr/>
          <w:p>
            <w:pPr>
              <w:pStyle w:val="Compact"/>
              <w:jc w:val="left"/>
            </w:pPr>
            <w:r>
              <w:rPr>
                <w:bCs/>
                <w:b/>
              </w:rPr>
              <w:t xml:space="preserve">Pillar 2 — Incident Management</w:t>
            </w:r>
          </w:p>
        </w:tc>
        <w:tc>
          <w:tcPr/>
          <w:p>
            <w:pPr>
              <w:pStyle w:val="Compact"/>
              <w:jc w:val="left"/>
            </w:pPr>
            <w:r>
              <w:t xml:space="preserve">Arts. 17–23</w:t>
            </w:r>
          </w:p>
        </w:tc>
        <w:tc>
          <w:tcPr/>
          <w:p>
            <w:pPr>
              <w:pStyle w:val="Compact"/>
              <w:jc w:val="left"/>
            </w:pPr>
            <w:r>
              <w:rPr>
                <w:bCs/>
                <w:b/>
              </w:rPr>
              <w:t xml:space="preserve">75%</w:t>
            </w:r>
          </w:p>
        </w:tc>
        <w:tc>
          <w:tcPr/>
          <w:p>
            <w:pPr>
              <w:pStyle w:val="Compact"/>
              <w:jc w:val="left"/>
            </w:pPr>
            <w:r>
              <w:t xml:space="preserve">Low-Moderate</w:t>
            </w:r>
          </w:p>
        </w:tc>
        <w:tc>
          <w:tcPr/>
          <w:p>
            <w:pPr>
              <w:pStyle w:val="Compact"/>
              <w:jc w:val="left"/>
            </w:pPr>
            <w:r>
              <w:t xml:space="preserve">Pheromone Matrix (9 signal types → 6 DORA criteria)</w:t>
            </w:r>
          </w:p>
        </w:tc>
      </w:tr>
      <w:tr>
        <w:tc>
          <w:tcPr/>
          <w:p>
            <w:pPr>
              <w:pStyle w:val="Compact"/>
              <w:jc w:val="left"/>
            </w:pPr>
            <w:r>
              <w:rPr>
                <w:bCs/>
                <w:b/>
              </w:rPr>
              <w:t xml:space="preserve">Pillar 1 — ICT Risk Management</w:t>
            </w:r>
          </w:p>
        </w:tc>
        <w:tc>
          <w:tcPr/>
          <w:p>
            <w:pPr>
              <w:pStyle w:val="Compact"/>
              <w:jc w:val="left"/>
            </w:pPr>
            <w:r>
              <w:t xml:space="preserve">Arts. 5–16</w:t>
            </w:r>
          </w:p>
        </w:tc>
        <w:tc>
          <w:tcPr/>
          <w:p>
            <w:pPr>
              <w:pStyle w:val="Compact"/>
              <w:jc w:val="left"/>
            </w:pPr>
            <w:r>
              <w:rPr>
                <w:bCs/>
                <w:b/>
              </w:rPr>
              <w:t xml:space="preserve">65%</w:t>
            </w:r>
          </w:p>
        </w:tc>
        <w:tc>
          <w:tcPr/>
          <w:p>
            <w:pPr>
              <w:pStyle w:val="Compact"/>
              <w:jc w:val="left"/>
            </w:pPr>
            <w:r>
              <w:t xml:space="preserve">Moderate</w:t>
            </w:r>
          </w:p>
        </w:tc>
        <w:tc>
          <w:tcPr/>
          <w:p>
            <w:pPr>
              <w:pStyle w:val="Compact"/>
              <w:jc w:val="left"/>
            </w:pPr>
            <w:r>
              <w:t xml:space="preserve">BFT Council → 3 LoD; Rainbow Stack → protection; SOV3 → BCP/DR</w:t>
            </w:r>
          </w:p>
        </w:tc>
      </w:tr>
      <w:tr>
        <w:tc>
          <w:tcPr/>
          <w:p>
            <w:pPr>
              <w:pStyle w:val="Compact"/>
              <w:jc w:val="left"/>
            </w:pPr>
            <w:r>
              <w:rPr>
                <w:bCs/>
                <w:b/>
              </w:rPr>
              <w:t xml:space="preserve">Pillar 3 — Resilience Testing</w:t>
            </w:r>
          </w:p>
        </w:tc>
        <w:tc>
          <w:tcPr/>
          <w:p>
            <w:pPr>
              <w:pStyle w:val="Compact"/>
              <w:jc w:val="left"/>
            </w:pPr>
            <w:r>
              <w:t xml:space="preserve">Arts. 24–27</w:t>
            </w:r>
          </w:p>
        </w:tc>
        <w:tc>
          <w:tcPr/>
          <w:p>
            <w:pPr>
              <w:pStyle w:val="Compact"/>
              <w:jc w:val="left"/>
            </w:pPr>
            <w:r>
              <w:rPr>
                <w:bCs/>
                <w:b/>
              </w:rPr>
              <w:t xml:space="preserve">55%</w:t>
            </w:r>
          </w:p>
        </w:tc>
        <w:tc>
          <w:tcPr/>
          <w:p>
            <w:pPr>
              <w:pStyle w:val="Compact"/>
              <w:jc w:val="left"/>
            </w:pPr>
            <w:r>
              <w:t xml:space="preserve">Moderate-High</w:t>
            </w:r>
          </w:p>
        </w:tc>
        <w:tc>
          <w:tcPr/>
          <w:p>
            <w:pPr>
              <w:pStyle w:val="Compact"/>
              <w:jc w:val="left"/>
            </w:pPr>
            <w:r>
              <w:t xml:space="preserve">SOV3 scenario beds + BFT validation; missing TIBER-EU TLPT</w:t>
            </w:r>
          </w:p>
        </w:tc>
      </w:tr>
      <w:tr>
        <w:tc>
          <w:tcPr/>
          <w:p>
            <w:pPr>
              <w:pStyle w:val="Compact"/>
              <w:jc w:val="left"/>
            </w:pPr>
            <w:r>
              <w:rPr>
                <w:bCs/>
                <w:b/>
              </w:rPr>
              <w:t xml:space="preserve">Pillar 4 — Third-Party Risk</w:t>
            </w:r>
          </w:p>
        </w:tc>
        <w:tc>
          <w:tcPr/>
          <w:p>
            <w:pPr>
              <w:pStyle w:val="Compact"/>
              <w:jc w:val="left"/>
            </w:pPr>
            <w:r>
              <w:t xml:space="preserve">Arts. 28–44</w:t>
            </w:r>
          </w:p>
        </w:tc>
        <w:tc>
          <w:tcPr/>
          <w:p>
            <w:pPr>
              <w:pStyle w:val="Compact"/>
              <w:jc w:val="left"/>
            </w:pPr>
            <w:r>
              <w:rPr>
                <w:bCs/>
                <w:b/>
              </w:rPr>
              <w:t xml:space="preserve">50%</w:t>
            </w:r>
          </w:p>
        </w:tc>
        <w:tc>
          <w:tcPr/>
          <w:p>
            <w:pPr>
              <w:pStyle w:val="Compact"/>
              <w:jc w:val="left"/>
            </w:pPr>
            <w:r>
              <w:t xml:space="preserve">High</w:t>
            </w:r>
          </w:p>
        </w:tc>
        <w:tc>
          <w:tcPr/>
          <w:p>
            <w:pPr>
              <w:pStyle w:val="Compact"/>
              <w:jc w:val="left"/>
            </w:pPr>
            <w:r>
              <w:t xml:space="preserve">Ed25519 due diligence attestation strong; missing xBRL-CSV RoI export</w:t>
            </w:r>
          </w:p>
        </w:tc>
      </w:tr>
      <w:tr>
        <w:tc>
          <w:tcPr/>
          <w:p>
            <w:pPr>
              <w:pStyle w:val="Compact"/>
              <w:jc w:val="left"/>
            </w:pPr>
            <w:r>
              <w:rPr>
                <w:bCs/>
                <w:b/>
              </w:rPr>
              <w:t xml:space="preserve">Weighted Aggregate</w:t>
            </w:r>
          </w:p>
        </w:tc>
        <w:tc>
          <w:tcPr/>
          <w:p>
            <w:pPr>
              <w:pStyle w:val="Compact"/>
              <w:jc w:val="left"/>
            </w:pPr>
            <w:r>
              <w:t xml:space="preserve">All</w:t>
            </w:r>
          </w:p>
        </w:tc>
        <w:tc>
          <w:tcPr/>
          <w:p>
            <w:pPr>
              <w:pStyle w:val="Compact"/>
              <w:jc w:val="left"/>
            </w:pPr>
            <w:r>
              <w:rPr>
                <w:bCs/>
                <w:b/>
              </w:rPr>
              <w:t xml:space="preserve">65%</w:t>
            </w:r>
          </w:p>
        </w:tc>
        <w:tc>
          <w:tcPr/>
          <w:p>
            <w:pPr>
              <w:pStyle w:val="Compact"/>
              <w:jc w:val="left"/>
            </w:pPr>
            <w:r>
              <w:t xml:space="preserve">Moderate</w:t>
            </w:r>
          </w:p>
        </w:tc>
        <w:tc>
          <w:tcPr/>
          <w:p>
            <w:pPr>
              <w:pStyle w:val="Compact"/>
              <w:jc w:val="left"/>
            </w:pPr>
            <w:r>
              <w:t xml:space="preserve">Six quick wins lift to 80%+; 30-180 day builds to 90%+</w:t>
            </w:r>
          </w:p>
        </w:tc>
      </w:tr>
    </w:tbl>
    <w:p>
      <w:pPr>
        <w:pStyle w:val="BodyText"/>
      </w:pPr>
      <w:r>
        <w:rPr>
          <w:iCs/>
          <w:i/>
        </w:rPr>
        <w:t xml:space="preserve">Table 1: DORA Pillar Alignment Scorecard. Coverage percentages represent demonstrable compliance against specific article requirements, not architectural potential.</w:t>
      </w:r>
    </w:p>
    <w:bookmarkStart w:id="66" w:name="X8f98695f7282c52ee5b37f9bdceb7d749b57f56"/>
    <w:p>
      <w:pPr>
        <w:pStyle w:val="Heading4"/>
      </w:pPr>
      <w:r>
        <w:t xml:space="preserve">4.1.1 Pillar 5 (Information Sharing): 80% — Worm Hive + Pheromone Signals + Ed25519 Attestation → Article 45</w:t>
      </w:r>
    </w:p>
    <w:p>
      <w:pPr>
        <w:pStyle w:val="FirstParagraph"/>
      </w:pPr>
      <w:r>
        <w:t xml:space="preserve">This is CSOAI’s strongest DORA alignment. Article 45 permits — and supervisory guidance strongly encourages — financial entities to exchange cyber threat information and intelligence within</w:t>
      </w:r>
      <w:r>
        <w:t xml:space="preserve"> </w:t>
      </w:r>
      <w:r>
        <w:t xml:space="preserve">“</w:t>
      </w:r>
      <w:r>
        <w:t xml:space="preserve">trusted communities of financial entities</w:t>
      </w:r>
      <w:r>
        <w:t xml:space="preserve">”</w:t>
      </w:r>
      <w:r>
        <w:t xml:space="preserve"> </w:t>
      </w:r>
      <w:r>
        <w:rPr>
          <w:vertAlign w:val="superscript"/>
        </w:rPr>
        <w:t xml:space="preserve">76</w:t>
      </w:r>
      <w:r>
        <w:t xml:space="preserve"> </w:t>
      </w:r>
      <w:r>
        <w:rPr>
          <w:vertAlign w:val="superscript"/>
        </w:rPr>
        <w:t xml:space="preserve">84</w:t>
      </w:r>
      <w:r>
        <w:t xml:space="preserve">. The article specifies four content categories: indicators of compromise (IOCs), tactics/techniques/procedures (TTPs), cybersecurity alerts, and configuration tools. It further requires that sharing arrangements protect sensitive information, define participation conditions, and use</w:t>
      </w:r>
      <w:r>
        <w:t xml:space="preserve"> </w:t>
      </w:r>
      <w:r>
        <w:t xml:space="preserve">“</w:t>
      </w:r>
      <w:r>
        <w:t xml:space="preserve">dedicated IT platforms</w:t>
      </w:r>
      <w:r>
        <w:t xml:space="preserve">”</w:t>
      </w:r>
      <w:r>
        <w:t xml:space="preserve"> </w:t>
      </w:r>
      <w:r>
        <w:rPr>
          <w:vertAlign w:val="superscript"/>
        </w:rPr>
        <w:t xml:space="preserve">76</w:t>
      </w:r>
      <w:r>
        <w:t xml:space="preserve">.</w:t>
      </w:r>
    </w:p>
    <w:p>
      <w:pPr>
        <w:pStyle w:val="BodyText"/>
      </w:pPr>
      <w:r>
        <w:t xml:space="preserve">CSOAI’s Worm Hive mesh network, built on libp2p with DCUtR tunnel relaying achieving 70%+ NAT traversal, is architecturally purpose-built for exactly this use case. The 25+ domain hives provide segmented trusted communities. Pheromone Matrix’s nine signal types — alarm, mark, queen, trail, soldier, pollen, necromone, footprints, balue — map naturally to IOCs (footprints, necromone), TTPs (trail, mark), alerts (alarm), and configuration signals (pollen). Ed25519 sigil attestation guarantees that every shared signal is cryptographically authentic and non-repudiable, satisfying Article 45(1)(c)’s requirement that sharing arrangements</w:t>
      </w:r>
      <w:r>
        <w:t xml:space="preserve"> </w:t>
      </w:r>
      <w:r>
        <w:t xml:space="preserve">“</w:t>
      </w:r>
      <w:r>
        <w:t xml:space="preserve">protect sensitive information</w:t>
      </w:r>
      <w:r>
        <w:t xml:space="preserve">”</w:t>
      </w:r>
      <w:r>
        <w:t xml:space="preserve"> </w:t>
      </w:r>
      <w:r>
        <w:rPr>
          <w:vertAlign w:val="superscript"/>
        </w:rPr>
        <w:t xml:space="preserve">85</w:t>
      </w:r>
      <w:r>
        <w:t xml:space="preserve">.</w:t>
      </w:r>
    </w:p>
    <w:p>
      <w:pPr>
        <w:pStyle w:val="BodyText"/>
      </w:pPr>
      <w:r>
        <w:t xml:space="preserve">The 20% gap is specific and narrow: CSOAI currently lacks direct notification integration with National Competent Authorities (NCAs) when a financial entity joins or operates an information-sharing arrangement, as required by Article 45(3)</w:t>
      </w:r>
      <w:r>
        <w:t xml:space="preserve"> </w:t>
      </w:r>
      <w:r>
        <w:rPr>
          <w:vertAlign w:val="superscript"/>
        </w:rPr>
        <w:t xml:space="preserve">85</w:t>
      </w:r>
      <w:r>
        <w:t xml:space="preserve">. This is a workflow integration, not an architectural limitation.</w:t>
      </w:r>
    </w:p>
    <w:bookmarkEnd w:id="66"/>
    <w:bookmarkStart w:id="67" w:name="X92454f2194f22b8ba0d4701c79ef621e9dd219d"/>
    <w:p>
      <w:pPr>
        <w:pStyle w:val="Heading4"/>
      </w:pPr>
      <w:r>
        <w:t xml:space="preserve">4.1.2 Pillar 2 (Incident Management): 75% — Pheromone 9 Signal Types → DORA 6 Classification Criteria</w:t>
      </w:r>
    </w:p>
    <w:p>
      <w:pPr>
        <w:pStyle w:val="FirstParagraph"/>
      </w:pPr>
      <w:r>
        <w:t xml:space="preserve">DORA Article 18 defines six classification criteria for major ICT-related incidents: clients affected, financial loss, duration, geographical spread, data losses, and criticality of services</w:t>
      </w:r>
      <w:r>
        <w:t xml:space="preserve"> </w:t>
      </w:r>
      <w:r>
        <w:rPr>
          <w:vertAlign w:val="superscript"/>
        </w:rPr>
        <w:t xml:space="preserve">19</w:t>
      </w:r>
      <w:r>
        <w:t xml:space="preserve"> </w:t>
      </w:r>
      <w:r>
        <w:rPr>
          <w:vertAlign w:val="superscript"/>
        </w:rPr>
        <w:t xml:space="preserve">26</w:t>
      </w:r>
      <w:r>
        <w:t xml:space="preserve"> </w:t>
      </w:r>
      <w:r>
        <w:rPr>
          <w:vertAlign w:val="superscript"/>
        </w:rPr>
        <w:t xml:space="preserve">30</w:t>
      </w:r>
      <w:r>
        <w:t xml:space="preserve">. An incident is classified as major when it meets thresholds for at least two criteria, or one criterion with particularly severe impact. Article 19 then imposes a strict reporting timeline: initial notification within 4 hours of classification (no later than 24 hours after detection), intermediate report within 72 hours, and final report within one month</w:t>
      </w:r>
      <w:r>
        <w:t xml:space="preserve"> </w:t>
      </w:r>
      <w:r>
        <w:rPr>
          <w:vertAlign w:val="superscript"/>
        </w:rPr>
        <w:t xml:space="preserve">19</w:t>
      </w:r>
      <w:r>
        <w:t xml:space="preserve"> </w:t>
      </w:r>
      <w:r>
        <w:rPr>
          <w:vertAlign w:val="superscript"/>
        </w:rPr>
        <w:t xml:space="preserve">30</w:t>
      </w:r>
      <w:r>
        <w:t xml:space="preserve">.</w:t>
      </w:r>
    </w:p>
    <w:p>
      <w:pPr>
        <w:pStyle w:val="BodyText"/>
      </w:pPr>
      <w:r>
        <w:t xml:space="preserve">CSOAI’s Pheromone Matrix provides nine signal types that cover all six DORA criteria and add three AI-specific dimensions. The mapping is direct:</w:t>
      </w:r>
    </w:p>
    <w:tbl>
      <w:tblPr>
        <w:tblStyle w:val="Table"/>
        <w:tblW w:type="pct" w:w="5000"/>
        <w:tblLook w:firstRow="1" w:lastRow="0" w:firstColumn="0" w:lastColumn="0" w:noHBand="0" w:noVBand="0" w:val="0020"/>
      </w:tblPr>
      <w:tblGrid>
        <w:gridCol w:w="2362"/>
        <w:gridCol w:w="4168"/>
        <w:gridCol w:w="1389"/>
      </w:tblGrid>
      <w:tr>
        <w:trPr>
          <w:tblHeader w:val="true"/>
        </w:trPr>
        <w:tc>
          <w:tcPr/>
          <w:p>
            <w:pPr>
              <w:pStyle w:val="Compact"/>
              <w:jc w:val="left"/>
            </w:pPr>
            <w:r>
              <w:t xml:space="preserve">Pheromone Signal</w:t>
            </w:r>
          </w:p>
        </w:tc>
        <w:tc>
          <w:tcPr/>
          <w:p>
            <w:pPr>
              <w:pStyle w:val="Compact"/>
              <w:jc w:val="left"/>
            </w:pPr>
            <w:r>
              <w:t xml:space="preserve">DORA Classification Criterion</w:t>
            </w:r>
          </w:p>
        </w:tc>
        <w:tc>
          <w:tcPr/>
          <w:p>
            <w:pPr>
              <w:pStyle w:val="Compact"/>
              <w:jc w:val="left"/>
            </w:pPr>
            <w:r>
              <w:t xml:space="preserve">Coverage</w:t>
            </w:r>
          </w:p>
        </w:tc>
      </w:tr>
      <w:tr>
        <w:tc>
          <w:tcPr/>
          <w:p>
            <w:pPr>
              <w:pStyle w:val="Compact"/>
              <w:jc w:val="left"/>
            </w:pPr>
            <w:r>
              <w:rPr>
                <w:bCs/>
                <w:b/>
              </w:rPr>
              <w:t xml:space="preserve">Alarm</w:t>
            </w:r>
          </w:p>
        </w:tc>
        <w:tc>
          <w:tcPr/>
          <w:p>
            <w:pPr>
              <w:pStyle w:val="Compact"/>
              <w:jc w:val="left"/>
            </w:pPr>
            <w:r>
              <w:t xml:space="preserve">Criticality of services</w:t>
            </w:r>
          </w:p>
        </w:tc>
        <w:tc>
          <w:tcPr/>
          <w:p>
            <w:pPr>
              <w:pStyle w:val="Compact"/>
              <w:jc w:val="left"/>
            </w:pPr>
            <w:r>
              <w:t xml:space="preserve">Severity escalation based on function criticality</w:t>
            </w:r>
          </w:p>
        </w:tc>
      </w:tr>
      <w:tr>
        <w:tc>
          <w:tcPr/>
          <w:p>
            <w:pPr>
              <w:pStyle w:val="Compact"/>
              <w:jc w:val="left"/>
            </w:pPr>
            <w:r>
              <w:rPr>
                <w:bCs/>
                <w:b/>
              </w:rPr>
              <w:t xml:space="preserve">Trail</w:t>
            </w:r>
          </w:p>
        </w:tc>
        <w:tc>
          <w:tcPr/>
          <w:p>
            <w:pPr>
              <w:pStyle w:val="Compact"/>
              <w:jc w:val="left"/>
            </w:pPr>
            <w:r>
              <w:t xml:space="preserve">Geographical spread</w:t>
            </w:r>
          </w:p>
        </w:tc>
        <w:tc>
          <w:tcPr/>
          <w:p>
            <w:pPr>
              <w:pStyle w:val="Compact"/>
              <w:jc w:val="left"/>
            </w:pPr>
            <w:r>
              <w:t xml:space="preserve">Multi-node propagation tracking across jurisdictions</w:t>
            </w:r>
          </w:p>
        </w:tc>
      </w:tr>
      <w:tr>
        <w:tc>
          <w:tcPr/>
          <w:p>
            <w:pPr>
              <w:pStyle w:val="Compact"/>
              <w:jc w:val="left"/>
            </w:pPr>
            <w:r>
              <w:rPr>
                <w:bCs/>
                <w:b/>
              </w:rPr>
              <w:t xml:space="preserve">Mark</w:t>
            </w:r>
          </w:p>
        </w:tc>
        <w:tc>
          <w:tcPr/>
          <w:p>
            <w:pPr>
              <w:pStyle w:val="Compact"/>
              <w:jc w:val="left"/>
            </w:pPr>
            <w:r>
              <w:t xml:space="preserve">Clients affected</w:t>
            </w:r>
          </w:p>
        </w:tc>
        <w:tc>
          <w:tcPr/>
          <w:p>
            <w:pPr>
              <w:pStyle w:val="Compact"/>
              <w:jc w:val="left"/>
            </w:pPr>
            <w:r>
              <w:t xml:space="preserve">Quantified impact on client-facing systems</w:t>
            </w:r>
          </w:p>
        </w:tc>
      </w:tr>
      <w:tr>
        <w:tc>
          <w:tcPr/>
          <w:p>
            <w:pPr>
              <w:pStyle w:val="Compact"/>
              <w:jc w:val="left"/>
            </w:pPr>
            <w:r>
              <w:rPr>
                <w:bCs/>
                <w:b/>
              </w:rPr>
              <w:t xml:space="preserve">Necromone</w:t>
            </w:r>
          </w:p>
        </w:tc>
        <w:tc>
          <w:tcPr/>
          <w:p>
            <w:pPr>
              <w:pStyle w:val="Compact"/>
              <w:jc w:val="left"/>
            </w:pPr>
            <w:r>
              <w:t xml:space="preserve">Data losses</w:t>
            </w:r>
          </w:p>
        </w:tc>
        <w:tc>
          <w:tcPr/>
          <w:p>
            <w:pPr>
              <w:pStyle w:val="Compact"/>
              <w:jc w:val="left"/>
            </w:pPr>
            <w:r>
              <w:t xml:space="preserve">Integrity/confidentiality breach detection</w:t>
            </w:r>
          </w:p>
        </w:tc>
      </w:tr>
      <w:tr>
        <w:tc>
          <w:tcPr/>
          <w:p>
            <w:pPr>
              <w:pStyle w:val="Compact"/>
              <w:jc w:val="left"/>
            </w:pPr>
            <w:r>
              <w:rPr>
                <w:bCs/>
                <w:b/>
              </w:rPr>
              <w:t xml:space="preserve">Queen</w:t>
            </w:r>
          </w:p>
        </w:tc>
        <w:tc>
          <w:tcPr/>
          <w:p>
            <w:pPr>
              <w:pStyle w:val="Compact"/>
              <w:jc w:val="left"/>
            </w:pPr>
            <w:r>
              <w:t xml:space="preserve">Duration</w:t>
            </w:r>
          </w:p>
        </w:tc>
        <w:tc>
          <w:tcPr/>
          <w:p>
            <w:pPr>
              <w:pStyle w:val="Compact"/>
              <w:jc w:val="left"/>
            </w:pPr>
            <w:r>
              <w:t xml:space="preserve">System-level degradation persistence</w:t>
            </w:r>
          </w:p>
        </w:tc>
      </w:tr>
      <w:tr>
        <w:tc>
          <w:tcPr/>
          <w:p>
            <w:pPr>
              <w:pStyle w:val="Compact"/>
              <w:jc w:val="left"/>
            </w:pPr>
            <w:r>
              <w:rPr>
                <w:bCs/>
                <w:b/>
              </w:rPr>
              <w:t xml:space="preserve">Soldier</w:t>
            </w:r>
          </w:p>
        </w:tc>
        <w:tc>
          <w:tcPr/>
          <w:p>
            <w:pPr>
              <w:pStyle w:val="Compact"/>
              <w:jc w:val="left"/>
            </w:pPr>
            <w:r>
              <w:t xml:space="preserve">Financial loss</w:t>
            </w:r>
          </w:p>
        </w:tc>
        <w:tc>
          <w:tcPr/>
          <w:p>
            <w:pPr>
              <w:pStyle w:val="Compact"/>
              <w:jc w:val="left"/>
            </w:pPr>
            <w:r>
              <w:t xml:space="preserve">Economic impact estimation</w:t>
            </w:r>
          </w:p>
        </w:tc>
      </w:tr>
      <w:tr>
        <w:tc>
          <w:tcPr/>
          <w:p>
            <w:pPr>
              <w:pStyle w:val="Compact"/>
              <w:jc w:val="left"/>
            </w:pPr>
            <w:r>
              <w:rPr>
                <w:bCs/>
                <w:b/>
              </w:rPr>
              <w:t xml:space="preserve">Footprints</w:t>
            </w:r>
          </w:p>
        </w:tc>
        <w:tc>
          <w:tcPr/>
          <w:p>
            <w:pPr>
              <w:pStyle w:val="Compact"/>
              <w:jc w:val="left"/>
            </w:pPr>
            <w:r>
              <w:rPr>
                <w:iCs/>
                <w:i/>
              </w:rPr>
              <w:t xml:space="preserve">(supplemental)</w:t>
            </w:r>
          </w:p>
        </w:tc>
        <w:tc>
          <w:tcPr/>
          <w:p>
            <w:pPr>
              <w:pStyle w:val="Compact"/>
              <w:jc w:val="left"/>
            </w:pPr>
            <w:r>
              <w:t xml:space="preserve">Forensic evidence for root cause analysis</w:t>
            </w:r>
          </w:p>
        </w:tc>
      </w:tr>
      <w:tr>
        <w:tc>
          <w:tcPr/>
          <w:p>
            <w:pPr>
              <w:pStyle w:val="Compact"/>
              <w:jc w:val="left"/>
            </w:pPr>
            <w:r>
              <w:rPr>
                <w:bCs/>
                <w:b/>
              </w:rPr>
              <w:t xml:space="preserve">Pollen</w:t>
            </w:r>
          </w:p>
        </w:tc>
        <w:tc>
          <w:tcPr/>
          <w:p>
            <w:pPr>
              <w:pStyle w:val="Compact"/>
              <w:jc w:val="left"/>
            </w:pPr>
            <w:r>
              <w:rPr>
                <w:iCs/>
                <w:i/>
              </w:rPr>
              <w:t xml:space="preserve">(supplemental)</w:t>
            </w:r>
          </w:p>
        </w:tc>
        <w:tc>
          <w:tcPr/>
          <w:p>
            <w:pPr>
              <w:pStyle w:val="Compact"/>
              <w:jc w:val="left"/>
            </w:pPr>
            <w:r>
              <w:t xml:space="preserve">Configuration drift that may cause incidents</w:t>
            </w:r>
          </w:p>
        </w:tc>
      </w:tr>
      <w:tr>
        <w:tc>
          <w:tcPr/>
          <w:p>
            <w:pPr>
              <w:pStyle w:val="Compact"/>
              <w:jc w:val="left"/>
            </w:pPr>
            <w:r>
              <w:rPr>
                <w:bCs/>
                <w:b/>
              </w:rPr>
              <w:t xml:space="preserve">Balue</w:t>
            </w:r>
          </w:p>
        </w:tc>
        <w:tc>
          <w:tcPr/>
          <w:p>
            <w:pPr>
              <w:pStyle w:val="Compact"/>
              <w:jc w:val="left"/>
            </w:pPr>
            <w:r>
              <w:rPr>
                <w:iCs/>
                <w:i/>
              </w:rPr>
              <w:t xml:space="preserve">(supplemental)</w:t>
            </w:r>
          </w:p>
        </w:tc>
        <w:tc>
          <w:tcPr/>
          <w:p>
            <w:pPr>
              <w:pStyle w:val="Compact"/>
              <w:jc w:val="left"/>
            </w:pPr>
            <w:r>
              <w:t xml:space="preserve">AI-specific anomaly detection (model drift, bias)</w:t>
            </w:r>
          </w:p>
        </w:tc>
      </w:tr>
    </w:tbl>
    <w:p>
      <w:pPr>
        <w:pStyle w:val="BodyText"/>
      </w:pPr>
      <w:r>
        <w:t xml:space="preserve">The 75% coverage reflects two gaps. First, while Pheromone detects and classifies incidents automatically, DORA-specific reporting templates (initial, intermediate, final) are not yet built — the signals exist but the supervisory submission format does not. Second, the 4-hour notification pipeline to NCAs requires API integrations that are not yet implemented. Both are 60-day builds, not architectural redesigns.</w:t>
      </w:r>
    </w:p>
    <w:bookmarkEnd w:id="67"/>
    <w:bookmarkStart w:id="68" w:name="Xc7bcc146dadc2896cd878c3a35cbc42e389d14f"/>
    <w:p>
      <w:pPr>
        <w:pStyle w:val="Heading4"/>
      </w:pPr>
      <w:r>
        <w:t xml:space="preserve">4.1.3 Pillar 1 (ICT Risk Management): 65% — BFT Council → 3 Lines of Defense; Rainbow Stack → Protection; SOV3 → BCP/DR</w:t>
      </w:r>
    </w:p>
    <w:p>
      <w:pPr>
        <w:pStyle w:val="FirstParagraph"/>
      </w:pPr>
      <w:r>
        <w:t xml:space="preserve">Article 6(4) of DORA mandates a</w:t>
      </w:r>
      <w:r>
        <w:t xml:space="preserve"> </w:t>
      </w:r>
      <w:r>
        <w:t xml:space="preserve">“</w:t>
      </w:r>
      <w:r>
        <w:t xml:space="preserve">three lines of defence</w:t>
      </w:r>
      <w:r>
        <w:t xml:space="preserve">”</w:t>
      </w:r>
      <w:r>
        <w:t xml:space="preserve"> </w:t>
      </w:r>
      <w:r>
        <w:t xml:space="preserve">model: the business unit owns ICT risk (first line), an independent ICT risk management function oversees it (second line), and internal audit provides independent assurance (third line)</w:t>
      </w:r>
      <w:r>
        <w:t xml:space="preserve"> </w:t>
      </w:r>
      <w:r>
        <w:rPr>
          <w:vertAlign w:val="superscript"/>
        </w:rPr>
        <w:t xml:space="preserve">32</w:t>
      </w:r>
      <w:r>
        <w:t xml:space="preserve"> </w:t>
      </w:r>
      <w:r>
        <w:rPr>
          <w:vertAlign w:val="superscript"/>
        </w:rPr>
        <w:t xml:space="preserve">86</w:t>
      </w:r>
      <w:r>
        <w:t xml:space="preserve">. Article 5 makes management body accountability non-delegable — board members personally liable for breaches, with fines up to EUR 5 million per person</w:t>
      </w:r>
      <w:r>
        <w:t xml:space="preserve"> </w:t>
      </w:r>
      <w:r>
        <w:rPr>
          <w:vertAlign w:val="superscript"/>
        </w:rPr>
        <w:t xml:space="preserve">79</w:t>
      </w:r>
      <w:r>
        <w:t xml:space="preserve"> </w:t>
      </w:r>
      <w:r>
        <w:rPr>
          <w:vertAlign w:val="superscript"/>
        </w:rPr>
        <w:t xml:space="preserve">87</w:t>
      </w:r>
      <w:r>
        <w:t xml:space="preserve">. Article 11 requires ICT business continuity policies with Business Impact Analysis (BIA), annual testing, and cyber-attack scenario inclusion</w:t>
      </w:r>
      <w:r>
        <w:t xml:space="preserve"> </w:t>
      </w:r>
      <w:r>
        <w:rPr>
          <w:vertAlign w:val="superscript"/>
        </w:rPr>
        <w:t xml:space="preserve">88</w:t>
      </w:r>
      <w:r>
        <w:t xml:space="preserve"> </w:t>
      </w:r>
      <w:r>
        <w:rPr>
          <w:vertAlign w:val="superscript"/>
        </w:rPr>
        <w:t xml:space="preserve">89</w:t>
      </w:r>
      <w:r>
        <w:t xml:space="preserve">.</w:t>
      </w:r>
    </w:p>
    <w:p>
      <w:pPr>
        <w:pStyle w:val="BodyText"/>
      </w:pPr>
      <w:r>
        <w:t xml:space="preserve">CSOAI’s BFT (Byzantine Fault Tolerant) Council consensus mechanism maps directly to the three lines of defense. The Caste Architecture — queen (governance), workers (execution), soldiers (defense), scouts (intelligence) — provides role-based separation that mirrors DORA’s independence requirements. Rainbow Stack’s seven-layer defense (Rainbow, Ice, Ash, Coral, Ember, Tide, Breeze) exceeds Article 9’s protection and prevention requirements</w:t>
      </w:r>
      <w:r>
        <w:t xml:space="preserve"> </w:t>
      </w:r>
      <w:r>
        <w:rPr>
          <w:vertAlign w:val="superscript"/>
        </w:rPr>
        <w:t xml:space="preserve">90</w:t>
      </w:r>
      <w:r>
        <w:t xml:space="preserve">. Split-Brain SOV3’s three-tier cognitive architecture (Cold Line, Near Line, Offline) is a live implementation of the BCP/DR redundancy that Article 11 mandates</w:t>
      </w:r>
      <w:r>
        <w:t xml:space="preserve"> </w:t>
      </w:r>
      <w:r>
        <w:rPr>
          <w:vertAlign w:val="superscript"/>
        </w:rPr>
        <w:t xml:space="preserve">88</w:t>
      </w:r>
      <w:r>
        <w:t xml:space="preserve">.</w:t>
      </w:r>
    </w:p>
    <w:p>
      <w:pPr>
        <w:pStyle w:val="BodyText"/>
      </w:pPr>
      <w:r>
        <w:t xml:space="preserve">The 35% gap comprises: DORA-specific board reporting templates (the governance engine covers 13 frameworks but lacks DORA-tailored outputs), formal BIA methodology with quantitative RTO/RPO definitions, annual testing documentation templates, and structured ICT asset inventory with criticality classification per Article 8</w:t>
      </w:r>
      <w:r>
        <w:t xml:space="preserve"> </w:t>
      </w:r>
      <w:r>
        <w:rPr>
          <w:vertAlign w:val="superscript"/>
        </w:rPr>
        <w:t xml:space="preserve">91</w:t>
      </w:r>
      <w:r>
        <w:t xml:space="preserve">. These are tooling and template gaps, not architectural ones.</w:t>
      </w:r>
    </w:p>
    <w:bookmarkEnd w:id="68"/>
    <w:bookmarkStart w:id="69" w:name="Xeb451d31055e0c3677d2bcdffcb1245749ebb33"/>
    <w:p>
      <w:pPr>
        <w:pStyle w:val="Heading4"/>
      </w:pPr>
      <w:r>
        <w:t xml:space="preserve">4.1.4 Pillar 3 (Resilience Testing): 55% — Needs TIBER-EU TLPT Integration</w:t>
      </w:r>
    </w:p>
    <w:p>
      <w:pPr>
        <w:pStyle w:val="FirstParagraph"/>
      </w:pPr>
      <w:r>
        <w:t xml:space="preserve">Article 24 requires all financial entities to maintain a documented, management-body-approved testing programme covering vulnerability assessments, penetration testing, scenario-based testing, and source code reviews</w:t>
      </w:r>
      <w:r>
        <w:t xml:space="preserve"> </w:t>
      </w:r>
      <w:r>
        <w:rPr>
          <w:vertAlign w:val="superscript"/>
        </w:rPr>
        <w:t xml:space="preserve">27</w:t>
      </w:r>
      <w:r>
        <w:t xml:space="preserve"> </w:t>
      </w:r>
      <w:r>
        <w:rPr>
          <w:vertAlign w:val="superscript"/>
        </w:rPr>
        <w:t xml:space="preserve">44</w:t>
      </w:r>
      <w:r>
        <w:t xml:space="preserve">. Article 26 escalates this for significant entities: Threat-Led Penetration Testing (TLPT) at least every three years, conducted by qualified external testers following the TIBER-EU framework or a national equivalent</w:t>
      </w:r>
      <w:r>
        <w:t xml:space="preserve"> </w:t>
      </w:r>
      <w:r>
        <w:rPr>
          <w:vertAlign w:val="superscript"/>
        </w:rPr>
        <w:t xml:space="preserve">19</w:t>
      </w:r>
      <w:r>
        <w:t xml:space="preserve"> </w:t>
      </w:r>
      <w:r>
        <w:rPr>
          <w:vertAlign w:val="superscript"/>
        </w:rPr>
        <w:t xml:space="preserve">27</w:t>
      </w:r>
      <w:r>
        <w:t xml:space="preserve"> </w:t>
      </w:r>
      <w:r>
        <w:rPr>
          <w:vertAlign w:val="superscript"/>
        </w:rPr>
        <w:t xml:space="preserve">36</w:t>
      </w:r>
      <w:r>
        <w:t xml:space="preserve">.</w:t>
      </w:r>
    </w:p>
    <w:p>
      <w:pPr>
        <w:pStyle w:val="BodyText"/>
      </w:pPr>
      <w:r>
        <w:t xml:space="preserve">CSOAI provides strong foundational testing infrastructure. Rainbow Stack delivers continuous multi-layer vulnerability scanning that exceeds periodic assessment requirements. SOV3’s Cold/Near/Offline tiers create natural scenario-based test beds. BFT Council consensus can validate test results with independent attestation. Ed25519 sigil attestation can verify tester credentials and qualifications.</w:t>
      </w:r>
    </w:p>
    <w:p>
      <w:pPr>
        <w:pStyle w:val="BodyText"/>
      </w:pPr>
      <w:r>
        <w:t xml:space="preserve">The 45% gap is concentrated in a single high-impact area: TIBER-EU framework alignment. TIBER-EU specifies four phases — (1) Threat Intelligence, (2) Red Team, (3) Blue Team (unaware), (4) Purple Team — with qualified external testers, accreditation body certification, professional indemnity insurance verification, and secure findings management</w:t>
      </w:r>
      <w:r>
        <w:t xml:space="preserve"> </w:t>
      </w:r>
      <w:r>
        <w:rPr>
          <w:vertAlign w:val="superscript"/>
        </w:rPr>
        <w:t xml:space="preserve">36</w:t>
      </w:r>
      <w:r>
        <w:t xml:space="preserve">. CSOAI’s infrastructure can support this lifecycle but requires explicit TIBER-EU phase mapping, test result documentation templates, management body reporting formats, and integration with external tester accreditation systems. This is a 90-day build.</w:t>
      </w:r>
    </w:p>
    <w:bookmarkEnd w:id="69"/>
    <w:bookmarkStart w:id="70" w:name="Xdbc24ab7b1c2203dd3568a0eb1360d04b27fbc6"/>
    <w:p>
      <w:pPr>
        <w:pStyle w:val="Heading4"/>
      </w:pPr>
      <w:r>
        <w:t xml:space="preserve">4.1.5 Pillar 4 (Third-Party Risk): 50% — Missing xBRL-CSV RoI Export (the #1 Pain Point)</w:t>
      </w:r>
    </w:p>
    <w:p>
      <w:pPr>
        <w:pStyle w:val="FirstParagraph"/>
      </w:pPr>
      <w:r>
        <w:t xml:space="preserve">This is simultaneously CSOAI’s weakest pillar and its greatest opportunity. Articles 28–44 establish the most extensive third-party risk framework in EU financial regulation</w:t>
      </w:r>
      <w:r>
        <w:t xml:space="preserve"> </w:t>
      </w:r>
      <w:r>
        <w:rPr>
          <w:vertAlign w:val="superscript"/>
        </w:rPr>
        <w:t xml:space="preserve">20</w:t>
      </w:r>
      <w:r>
        <w:t xml:space="preserve"> </w:t>
      </w:r>
      <w:r>
        <w:rPr>
          <w:vertAlign w:val="superscript"/>
        </w:rPr>
        <w:t xml:space="preserve">47</w:t>
      </w:r>
      <w:r>
        <w:t xml:space="preserve"> </w:t>
      </w:r>
      <w:r>
        <w:rPr>
          <w:vertAlign w:val="superscript"/>
        </w:rPr>
        <w:t xml:space="preserve">42</w:t>
      </w:r>
      <w:r>
        <w:t xml:space="preserve">. Article 28(3) requires a Register of Information (RoI) in ESA-specified xBRL-CSV format covering every ICT third-party contractual arrangement. The 2024 ESA dry-run revealed that only</w:t>
      </w:r>
      <w:r>
        <w:t xml:space="preserve"> </w:t>
      </w:r>
      <w:r>
        <w:rPr>
          <w:bCs/>
          <w:b/>
        </w:rPr>
        <w:t xml:space="preserve">6.5% of nearly 1,000 firms</w:t>
      </w:r>
      <w:r>
        <w:t xml:space="preserve"> </w:t>
      </w:r>
      <w:r>
        <w:t xml:space="preserve">passed all 116 data quality checks</w:t>
      </w:r>
      <w:r>
        <w:t xml:space="preserve"> </w:t>
      </w:r>
      <w:r>
        <w:rPr>
          <w:vertAlign w:val="superscript"/>
        </w:rPr>
        <w:t xml:space="preserve">47</w:t>
      </w:r>
      <w:r>
        <w:t xml:space="preserve">. Article 28(4) mandates Critical or Important Function (CIF) classification before contracting. Article 30 requires eight categories of mandatory contract clauses for all CIF contracts</w:t>
      </w:r>
      <w:r>
        <w:t xml:space="preserve"> </w:t>
      </w:r>
      <w:r>
        <w:rPr>
          <w:vertAlign w:val="superscript"/>
        </w:rPr>
        <w:t xml:space="preserve">37</w:t>
      </w:r>
      <w:r>
        <w:t xml:space="preserve"> </w:t>
      </w:r>
      <w:r>
        <w:rPr>
          <w:vertAlign w:val="superscript"/>
        </w:rPr>
        <w:t xml:space="preserve">92</w:t>
      </w:r>
      <w:r>
        <w:t xml:space="preserve"> </w:t>
      </w:r>
      <w:r>
        <w:rPr>
          <w:vertAlign w:val="superscript"/>
        </w:rPr>
        <w:t xml:space="preserve">93</w:t>
      </w:r>
      <w:r>
        <w:t xml:space="preserve">.</w:t>
      </w:r>
    </w:p>
    <w:p>
      <w:pPr>
        <w:pStyle w:val="BodyText"/>
      </w:pPr>
      <w:r>
        <w:t xml:space="preserve">CSOAI’s strengths in this pillar are real but narrow. Ed25519 attestation provides independent, non-repudiable verification evidence for pre-contract due diligence (Article 28(4)(d)) and audit rights (Article 28(6)). The 13-framework governance engine supports board-level third-party risk strategy documentation (Article 28(2)). Rainbow Stack demonstrates information security standard compliance (Article 28(5)). x402 payment rails could track contract value for concentration risk analysis (Article 29).</w:t>
      </w:r>
    </w:p>
    <w:p>
      <w:pPr>
        <w:pStyle w:val="BodyText"/>
      </w:pPr>
      <w:r>
        <w:t xml:space="preserve">The 50% gap, however, encompasses the #1 source of supervisory findings in 2026: the xBRL-CSV Register of Information export. Without it, CSOAI cannot help a bank pass the exact compliance test that 93.5% of firms are currently failing. This is a 30-day build — adding xBRL-CSV serialization to the existing Ed25519 attestation data pipeline. The same build cycle can deliver CIF classification decision trees and Article 30 contract clause templates.</w:t>
      </w:r>
      <w:r>
        <w:t xml:space="preserve"> </w:t>
      </w:r>
      <w:r>
        <w:rPr>
          <w:vertAlign w:val="superscript"/>
        </w:rPr>
        <w:t xml:space="preserve">47</w:t>
      </w:r>
      <w:r>
        <w:t xml:space="preserve"> </w:t>
      </w:r>
      <w:r>
        <w:rPr>
          <w:vertAlign w:val="superscript"/>
        </w:rPr>
        <w:t xml:space="preserve">37</w:t>
      </w:r>
      <w:r>
        <w:t xml:space="preserve">—</w:t>
      </w:r>
    </w:p>
    <w:bookmarkEnd w:id="70"/>
    <w:bookmarkEnd w:id="71"/>
    <w:bookmarkStart w:id="72" w:name="six-quick-wins-0-30-days"/>
    <w:p>
      <w:pPr>
        <w:pStyle w:val="Heading3"/>
      </w:pPr>
      <w:r>
        <w:t xml:space="preserve">4.2 Six Quick Wins (0-30 Days)</w:t>
      </w:r>
    </w:p>
    <w:p>
      <w:pPr>
        <w:pStyle w:val="FirstParagraph"/>
      </w:pPr>
      <w:r>
        <w:t xml:space="preserve">The following six capabilities require no new engineering. Each is a repositioning of existing CSOAI architecture as a DORA-specific compliance solution, supported by marketing collateral, sales enablement, and a demo script. Collectively, they lift CSOAI’s demonstrable DORA coverage from 65% to approximately 80% and create immediate sales conversations with bank compliance officers.</w:t>
      </w:r>
    </w:p>
    <w:p>
      <w:pPr>
        <w:pStyle w:val="BodyText"/>
      </w:pPr>
      <w:r>
        <w:rPr>
          <w:bCs/>
          <w:b/>
        </w:rPr>
        <w:t xml:space="preserve">4.2.1 Position Pheromone Matrix as</w:t>
      </w:r>
      <w:r>
        <w:rPr>
          <w:bCs/>
          <w:b/>
        </w:rPr>
        <w:t xml:space="preserve"> </w:t>
      </w:r>
      <w:r>
        <w:rPr>
          <w:bCs/>
          <w:b/>
        </w:rPr>
        <w:t xml:space="preserve">“</w:t>
      </w:r>
      <w:r>
        <w:rPr>
          <w:bCs/>
          <w:b/>
        </w:rPr>
        <w:t xml:space="preserve">DORA Incident Classification Engine.</w:t>
      </w:r>
      <w:r>
        <w:rPr>
          <w:bCs/>
          <w:b/>
        </w:rPr>
        <w:t xml:space="preserve">”</w:t>
      </w:r>
      <w:r>
        <w:t xml:space="preserve"> </w:t>
      </w:r>
      <w:r>
        <w:t xml:space="preserve">The nine signal types map directly to DORA’s six classification criteria with three supplemental dimensions. A compliance officer can see, in real time, how an incident scores against the Article 18 criteria and whether it crosses the major-incident threshold. The biological-inspired severity scoring is intuitive and differentiates CSOAI from legacy GRC tools that rely on manual form-filling.</w:t>
      </w:r>
    </w:p>
    <w:p>
      <w:pPr>
        <w:pStyle w:val="BodyText"/>
      </w:pPr>
      <w:r>
        <w:rPr>
          <w:bCs/>
          <w:b/>
        </w:rPr>
        <w:t xml:space="preserve">4.2.2 Offer Ed25519 Attestation as</w:t>
      </w:r>
      <w:r>
        <w:rPr>
          <w:bCs/>
          <w:b/>
        </w:rPr>
        <w:t xml:space="preserve"> </w:t>
      </w:r>
      <w:r>
        <w:rPr>
          <w:bCs/>
          <w:b/>
        </w:rPr>
        <w:t xml:space="preserve">“</w:t>
      </w:r>
      <w:r>
        <w:rPr>
          <w:bCs/>
          <w:b/>
        </w:rPr>
        <w:t xml:space="preserve">Non-Repudiable DORA Audit Trail.</w:t>
      </w:r>
      <w:r>
        <w:rPr>
          <w:bCs/>
          <w:b/>
        </w:rPr>
        <w:t xml:space="preserve">”</w:t>
      </w:r>
      <w:r>
        <w:t xml:space="preserve"> </w:t>
      </w:r>
      <w:r>
        <w:t xml:space="preserve">Every compliance activity — risk assessment, incident classification, test result validation, third-party due diligence — can be cryptographically attested. This provides supervisors with proof that cannot be retroactively altered, addressing the personal liability concerns of Article 5(4) and the independent verification requirements of Articles 28(4) and 28(6)</w:t>
      </w:r>
      <w:r>
        <w:t xml:space="preserve"> </w:t>
      </w:r>
      <w:r>
        <w:rPr>
          <w:vertAlign w:val="superscript"/>
        </w:rPr>
        <w:t xml:space="preserve">79</w:t>
      </w:r>
      <w:r>
        <w:t xml:space="preserve"> </w:t>
      </w:r>
      <w:r>
        <w:rPr>
          <w:vertAlign w:val="superscript"/>
        </w:rPr>
        <w:t xml:space="preserve">37</w:t>
      </w:r>
      <w:r>
        <w:t xml:space="preserve">. No competitor offers cryptographic compliance proof.</w:t>
      </w:r>
    </w:p>
    <w:p>
      <w:pPr>
        <w:pStyle w:val="BodyText"/>
      </w:pPr>
      <w:r>
        <w:rPr>
          <w:bCs/>
          <w:b/>
        </w:rPr>
        <w:t xml:space="preserve">4.2.3 Map Worm Hive as</w:t>
      </w:r>
      <w:r>
        <w:rPr>
          <w:bCs/>
          <w:b/>
        </w:rPr>
        <w:t xml:space="preserve"> </w:t>
      </w:r>
      <w:r>
        <w:rPr>
          <w:bCs/>
          <w:b/>
        </w:rPr>
        <w:t xml:space="preserve">“</w:t>
      </w:r>
      <w:r>
        <w:rPr>
          <w:bCs/>
          <w:b/>
        </w:rPr>
        <w:t xml:space="preserve">Article 45 Compliant Threat Sharing Network.</w:t>
      </w:r>
      <w:r>
        <w:rPr>
          <w:bCs/>
          <w:b/>
        </w:rPr>
        <w:t xml:space="preserve">”</w:t>
      </w:r>
      <w:r>
        <w:t xml:space="preserve"> </w:t>
      </w:r>
      <w:r>
        <w:t xml:space="preserve">The p2p mesh with 70%+ NAT traversal is a purpose-built implementation of Article 45’s</w:t>
      </w:r>
      <w:r>
        <w:t xml:space="preserve"> </w:t>
      </w:r>
      <w:r>
        <w:t xml:space="preserve">“</w:t>
      </w:r>
      <w:r>
        <w:t xml:space="preserve">trusted community</w:t>
      </w:r>
      <w:r>
        <w:t xml:space="preserve">”</w:t>
      </w:r>
      <w:r>
        <w:t xml:space="preserve"> </w:t>
      </w:r>
      <w:r>
        <w:t xml:space="preserve">information-sharing model. With Ed25519 attestation ensuring information authenticity, CSOAI can credibly claim to be the only decentralized platform that meets Article 45’s technical and confidentiality requirements simultaneously</w:t>
      </w:r>
      <w:r>
        <w:t xml:space="preserve"> </w:t>
      </w:r>
      <w:r>
        <w:rPr>
          <w:vertAlign w:val="superscript"/>
        </w:rPr>
        <w:t xml:space="preserve">76</w:t>
      </w:r>
      <w:r>
        <w:t xml:space="preserve"> </w:t>
      </w:r>
      <w:r>
        <w:rPr>
          <w:vertAlign w:val="superscript"/>
        </w:rPr>
        <w:t xml:space="preserve">84</w:t>
      </w:r>
      <w:r>
        <w:t xml:space="preserve">.</w:t>
      </w:r>
    </w:p>
    <w:p>
      <w:pPr>
        <w:pStyle w:val="BodyText"/>
      </w:pPr>
      <w:r>
        <w:rPr>
          <w:bCs/>
          <w:b/>
        </w:rPr>
        <w:t xml:space="preserve">4.2.4 Bundle 13-Framework Engine for</w:t>
      </w:r>
      <w:r>
        <w:rPr>
          <w:bCs/>
          <w:b/>
        </w:rPr>
        <w:t xml:space="preserve"> </w:t>
      </w:r>
      <w:r>
        <w:rPr>
          <w:bCs/>
          <w:b/>
        </w:rPr>
        <w:t xml:space="preserve">“</w:t>
      </w:r>
      <w:r>
        <w:rPr>
          <w:bCs/>
          <w:b/>
        </w:rPr>
        <w:t xml:space="preserve">DORA + EU AI Act Concurrent Compliance.</w:t>
      </w:r>
      <w:r>
        <w:rPr>
          <w:bCs/>
          <w:b/>
        </w:rPr>
        <w:t xml:space="preserve">”</w:t>
      </w:r>
      <w:r>
        <w:t xml:space="preserve"> </w:t>
      </w:r>
      <w:r>
        <w:t xml:space="preserve">This is the strongest competitive differentiator. DORA and the EU AI Act (Regulation EU 2024/1689) operate in parallel, creating overlapping obligations for logging, monitoring, incident reporting, data governance, and third-party oversight</w:t>
      </w:r>
      <w:r>
        <w:t xml:space="preserve"> </w:t>
      </w:r>
      <w:r>
        <w:rPr>
          <w:vertAlign w:val="superscript"/>
        </w:rPr>
        <w:t xml:space="preserve">94</w:t>
      </w:r>
      <w:r>
        <w:t xml:space="preserve"> </w:t>
      </w:r>
      <w:r>
        <w:rPr>
          <w:vertAlign w:val="superscript"/>
        </w:rPr>
        <w:t xml:space="preserve">95</w:t>
      </w:r>
      <w:r>
        <w:t xml:space="preserve"> </w:t>
      </w:r>
      <w:r>
        <w:rPr>
          <w:vertAlign w:val="superscript"/>
        </w:rPr>
        <w:t xml:space="preserve">24</w:t>
      </w:r>
      <w:r>
        <w:t xml:space="preserve"> </w:t>
      </w:r>
      <w:r>
        <w:rPr>
          <w:vertAlign w:val="superscript"/>
        </w:rPr>
        <w:t xml:space="preserve">96</w:t>
      </w:r>
      <w:r>
        <w:t xml:space="preserve"> </w:t>
      </w:r>
      <w:r>
        <w:rPr>
          <w:vertAlign w:val="superscript"/>
        </w:rPr>
        <w:t xml:space="preserve">97</w:t>
      </w:r>
      <w:r>
        <w:t xml:space="preserve">. CSOAI’s governance engine already covers both frameworks plus NIST AI RMF, GDPR, and UK LCCP. The sales message is simple:</w:t>
      </w:r>
      <w:r>
        <w:t xml:space="preserve"> </w:t>
      </w:r>
      <w:r>
        <w:rPr>
          <w:iCs/>
          <w:i/>
        </w:rPr>
        <w:t xml:space="preserve">one control fabric, two regulations, zero duplication</w:t>
      </w:r>
      <w:r>
        <w:t xml:space="preserve">.</w:t>
      </w:r>
    </w:p>
    <w:p>
      <w:pPr>
        <w:pStyle w:val="BodyText"/>
      </w:pPr>
      <w:r>
        <w:rPr>
          <w:bCs/>
          <w:b/>
        </w:rPr>
        <w:t xml:space="preserve">4.2.5 Use BFT Council as</w:t>
      </w:r>
      <w:r>
        <w:rPr>
          <w:bCs/>
          <w:b/>
        </w:rPr>
        <w:t xml:space="preserve"> </w:t>
      </w:r>
      <w:r>
        <w:rPr>
          <w:bCs/>
          <w:b/>
        </w:rPr>
        <w:t xml:space="preserve">“</w:t>
      </w:r>
      <w:r>
        <w:rPr>
          <w:bCs/>
          <w:b/>
        </w:rPr>
        <w:t xml:space="preserve">Three Lines of Defense Validator.</w:t>
      </w:r>
      <w:r>
        <w:rPr>
          <w:bCs/>
          <w:b/>
        </w:rPr>
        <w:t xml:space="preserve">”</w:t>
      </w:r>
      <w:r>
        <w:t xml:space="preserve"> </w:t>
      </w:r>
      <w:r>
        <w:t xml:space="preserve">The Byzantine consensus mechanism, with its requirement for multi-role agreement before any decision is finalized, is a technical implementation of DORA’s three-lines-of-defense governance model. The Caste Architecture provides the role separation that Article 6(4) mandates. This positions CSOAI not as a tool</w:t>
      </w:r>
      <w:r>
        <w:t xml:space="preserve"> </w:t>
      </w:r>
      <w:r>
        <w:rPr>
          <w:iCs/>
          <w:i/>
        </w:rPr>
        <w:t xml:space="preserve">for</w:t>
      </w:r>
      <w:r>
        <w:t xml:space="preserve"> </w:t>
      </w:r>
      <w:r>
        <w:t xml:space="preserve">compliance but as an embedded</w:t>
      </w:r>
      <w:r>
        <w:t xml:space="preserve"> </w:t>
      </w:r>
      <w:r>
        <w:rPr>
          <w:iCs/>
          <w:i/>
        </w:rPr>
        <w:t xml:space="preserve">part</w:t>
      </w:r>
      <w:r>
        <w:t xml:space="preserve"> </w:t>
      </w:r>
      <w:r>
        <w:t xml:space="preserve">of the compliance governance structure</w:t>
      </w:r>
      <w:r>
        <w:t xml:space="preserve"> </w:t>
      </w:r>
      <w:r>
        <w:rPr>
          <w:vertAlign w:val="superscript"/>
        </w:rPr>
        <w:t xml:space="preserve">32</w:t>
      </w:r>
      <w:r>
        <w:t xml:space="preserve"> </w:t>
      </w:r>
      <w:r>
        <w:rPr>
          <w:vertAlign w:val="superscript"/>
        </w:rPr>
        <w:t xml:space="preserve">74</w:t>
      </w:r>
      <w:r>
        <w:t xml:space="preserve">.</w:t>
      </w:r>
    </w:p>
    <w:p>
      <w:pPr>
        <w:pStyle w:val="BodyText"/>
      </w:pPr>
      <w:r>
        <w:rPr>
          <w:bCs/>
          <w:b/>
        </w:rPr>
        <w:t xml:space="preserve">4.2.6 Position SOV3 as</w:t>
      </w:r>
      <w:r>
        <w:rPr>
          <w:bCs/>
          <w:b/>
        </w:rPr>
        <w:t xml:space="preserve"> </w:t>
      </w:r>
      <w:r>
        <w:rPr>
          <w:bCs/>
          <w:b/>
        </w:rPr>
        <w:t xml:space="preserve">“</w:t>
      </w:r>
      <w:r>
        <w:rPr>
          <w:bCs/>
          <w:b/>
        </w:rPr>
        <w:t xml:space="preserve">Built-in BCP/DR Under Article 11.</w:t>
      </w:r>
      <w:r>
        <w:rPr>
          <w:bCs/>
          <w:b/>
        </w:rPr>
        <w:t xml:space="preserve">”</w:t>
      </w:r>
      <w:r>
        <w:t xml:space="preserve"> </w:t>
      </w:r>
      <w:r>
        <w:t xml:space="preserve">Split-Brain SOV3’s Cold Line (offline sovereign storage), Near Line (warm operational tier), and Offline (air-gapped recovery) architecture demonstrates business continuity and disaster recovery without additional infrastructure investment. Article 11 requires annual testing of BCP/DR plans including cyber-attack scenarios and switchovers between primary and redundant infrastructure</w:t>
      </w:r>
      <w:r>
        <w:t xml:space="preserve"> </w:t>
      </w:r>
      <w:r>
        <w:rPr>
          <w:vertAlign w:val="superscript"/>
        </w:rPr>
        <w:t xml:space="preserve">88</w:t>
      </w:r>
      <w:r>
        <w:t xml:space="preserve">. SOV3</w:t>
      </w:r>
      <w:r>
        <w:t xml:space="preserve"> </w:t>
      </w:r>
      <w:r>
        <w:rPr>
          <w:iCs/>
          <w:i/>
        </w:rPr>
        <w:t xml:space="preserve">is</w:t>
      </w:r>
      <w:r>
        <w:t xml:space="preserve"> </w:t>
      </w:r>
      <w:r>
        <w:t xml:space="preserve">the redundant infrastructure.</w:t>
      </w:r>
      <w:r>
        <w:t xml:space="preserve"> </w:t>
      </w:r>
      <w:r>
        <w:rPr>
          <w:vertAlign w:val="superscript"/>
        </w:rPr>
        <w:t xml:space="preserve">89</w:t>
      </w:r>
      <w:r>
        <w:t xml:space="preserve">—</w:t>
      </w:r>
    </w:p>
    <w:bookmarkEnd w:id="72"/>
    <w:bookmarkStart w:id="78" w:name="critical-gaps-to-build-30-180-days"/>
    <w:p>
      <w:pPr>
        <w:pStyle w:val="Heading3"/>
      </w:pPr>
      <w:r>
        <w:t xml:space="preserve">4.3 Critical Gaps to Build (30-180 Days)</w:t>
      </w:r>
    </w:p>
    <w:p>
      <w:pPr>
        <w:pStyle w:val="FirstParagraph"/>
      </w:pPr>
      <w:r>
        <w:t xml:space="preserve">The six quick wins demonstrate existing capability. The five builds below close the gaps that prevent CSOAI from claiming full DORA coverage. Each build is scoped with a specific timeline, DORA article target, and engineering effort estimate.</w:t>
      </w:r>
    </w:p>
    <w:tbl>
      <w:tblPr>
        <w:tblStyle w:val="Table"/>
        <w:tblW w:type="pct" w:w="5000"/>
        <w:tblLook w:firstRow="1" w:lastRow="0" w:firstColumn="0" w:lastColumn="0" w:noHBand="0" w:noVBand="0" w:val="0020"/>
      </w:tblPr>
      <w:tblGrid>
        <w:gridCol w:w="360"/>
        <w:gridCol w:w="1320"/>
        <w:gridCol w:w="1560"/>
        <w:gridCol w:w="1200"/>
        <w:gridCol w:w="2280"/>
        <w:gridCol w:w="1200"/>
      </w:tblGrid>
      <w:tr>
        <w:trPr>
          <w:tblHeader w:val="true"/>
        </w:trPr>
        <w:tc>
          <w:tcPr/>
          <w:p>
            <w:pPr>
              <w:pStyle w:val="Compact"/>
              <w:jc w:val="left"/>
            </w:pPr>
            <w:r>
              <w:t xml:space="preserve">#</w:t>
            </w:r>
          </w:p>
        </w:tc>
        <w:tc>
          <w:tcPr/>
          <w:p>
            <w:pPr>
              <w:pStyle w:val="Compact"/>
              <w:jc w:val="left"/>
            </w:pPr>
            <w:r>
              <w:t xml:space="preserve">Build Item</w:t>
            </w:r>
          </w:p>
        </w:tc>
        <w:tc>
          <w:tcPr/>
          <w:p>
            <w:pPr>
              <w:pStyle w:val="Compact"/>
              <w:jc w:val="left"/>
            </w:pPr>
            <w:r>
              <w:t xml:space="preserve">DORA Target</w:t>
            </w:r>
          </w:p>
        </w:tc>
        <w:tc>
          <w:tcPr/>
          <w:p>
            <w:pPr>
              <w:pStyle w:val="Compact"/>
              <w:jc w:val="left"/>
            </w:pPr>
            <w:r>
              <w:t xml:space="preserve">Timeline</w:t>
            </w:r>
          </w:p>
        </w:tc>
        <w:tc>
          <w:tcPr/>
          <w:p>
            <w:pPr>
              <w:pStyle w:val="Compact"/>
              <w:jc w:val="left"/>
            </w:pPr>
            <w:r>
              <w:t xml:space="preserve">Engineering Effort</w:t>
            </w:r>
          </w:p>
        </w:tc>
        <w:tc>
          <w:tcPr/>
          <w:p>
            <w:pPr>
              <w:pStyle w:val="Compact"/>
              <w:jc w:val="left"/>
            </w:pPr>
            <w:r>
              <w:t xml:space="preserve">Priority</w:t>
            </w:r>
          </w:p>
        </w:tc>
      </w:tr>
      <w:tr>
        <w:tc>
          <w:tcPr/>
          <w:p>
            <w:pPr>
              <w:pStyle w:val="Compact"/>
              <w:jc w:val="left"/>
            </w:pPr>
            <w:r>
              <w:t xml:space="preserve">1</w:t>
            </w:r>
          </w:p>
        </w:tc>
        <w:tc>
          <w:tcPr/>
          <w:p>
            <w:pPr>
              <w:pStyle w:val="Compact"/>
              <w:jc w:val="left"/>
            </w:pPr>
            <w:r>
              <w:rPr>
                <w:bCs/>
                <w:b/>
              </w:rPr>
              <w:t xml:space="preserve">xBRL-CSV Register of Information Export</w:t>
            </w:r>
          </w:p>
        </w:tc>
        <w:tc>
          <w:tcPr/>
          <w:p>
            <w:pPr>
              <w:pStyle w:val="Compact"/>
              <w:jc w:val="left"/>
            </w:pPr>
            <w:r>
              <w:t xml:space="preserve">Art. 28(3) — RoI in ESA format</w:t>
            </w:r>
          </w:p>
        </w:tc>
        <w:tc>
          <w:tcPr/>
          <w:p>
            <w:pPr>
              <w:pStyle w:val="Compact"/>
              <w:jc w:val="left"/>
            </w:pPr>
            <w:r>
              <w:t xml:space="preserve">30 days</w:t>
            </w:r>
          </w:p>
        </w:tc>
        <w:tc>
          <w:tcPr/>
          <w:p>
            <w:pPr>
              <w:pStyle w:val="Compact"/>
              <w:jc w:val="left"/>
            </w:pPr>
            <w:r>
              <w:t xml:space="preserve">Medium — data transformation layer on existing attestation pipeline</w:t>
            </w:r>
          </w:p>
        </w:tc>
        <w:tc>
          <w:tcPr/>
          <w:p>
            <w:pPr>
              <w:pStyle w:val="Compact"/>
              <w:jc w:val="left"/>
            </w:pPr>
            <w:r>
              <w:rPr>
                <w:bCs/>
                <w:b/>
              </w:rPr>
              <w:t xml:space="preserve">CRITICAL</w:t>
            </w:r>
          </w:p>
        </w:tc>
      </w:tr>
      <w:tr>
        <w:tc>
          <w:tcPr/>
          <w:p>
            <w:pPr>
              <w:pStyle w:val="Compact"/>
              <w:jc w:val="left"/>
            </w:pPr>
            <w:r>
              <w:t xml:space="preserve">2</w:t>
            </w:r>
          </w:p>
        </w:tc>
        <w:tc>
          <w:tcPr/>
          <w:p>
            <w:pPr>
              <w:pStyle w:val="Compact"/>
              <w:jc w:val="left"/>
            </w:pPr>
            <w:r>
              <w:rPr>
                <w:bCs/>
                <w:b/>
              </w:rPr>
              <w:t xml:space="preserve">CIF Classification Decision Tree</w:t>
            </w:r>
          </w:p>
        </w:tc>
        <w:tc>
          <w:tcPr/>
          <w:p>
            <w:pPr>
              <w:pStyle w:val="Compact"/>
              <w:jc w:val="left"/>
            </w:pPr>
            <w:r>
              <w:t xml:space="preserve">Art. 28(4) — Critical/Important Function classification</w:t>
            </w:r>
          </w:p>
        </w:tc>
        <w:tc>
          <w:tcPr/>
          <w:p>
            <w:pPr>
              <w:pStyle w:val="Compact"/>
              <w:jc w:val="left"/>
            </w:pPr>
            <w:r>
              <w:t xml:space="preserve">30 days</w:t>
            </w:r>
          </w:p>
        </w:tc>
        <w:tc>
          <w:tcPr/>
          <w:p>
            <w:pPr>
              <w:pStyle w:val="Compact"/>
              <w:jc w:val="left"/>
            </w:pPr>
            <w:r>
              <w:t xml:space="preserve">Medium — business logic module</w:t>
            </w:r>
          </w:p>
        </w:tc>
        <w:tc>
          <w:tcPr/>
          <w:p>
            <w:pPr>
              <w:pStyle w:val="Compact"/>
              <w:jc w:val="left"/>
            </w:pPr>
            <w:r>
              <w:rPr>
                <w:bCs/>
                <w:b/>
              </w:rPr>
              <w:t xml:space="preserve">CRITICAL</w:t>
            </w:r>
          </w:p>
        </w:tc>
      </w:tr>
      <w:tr>
        <w:tc>
          <w:tcPr/>
          <w:p>
            <w:pPr>
              <w:pStyle w:val="Compact"/>
              <w:jc w:val="left"/>
            </w:pPr>
            <w:r>
              <w:t xml:space="preserve">3</w:t>
            </w:r>
          </w:p>
        </w:tc>
        <w:tc>
          <w:tcPr/>
          <w:p>
            <w:pPr>
              <w:pStyle w:val="Compact"/>
              <w:jc w:val="left"/>
            </w:pPr>
            <w:r>
              <w:rPr>
                <w:bCs/>
                <w:b/>
              </w:rPr>
              <w:t xml:space="preserve">4-Hour NCA Notification Workflow</w:t>
            </w:r>
          </w:p>
        </w:tc>
        <w:tc>
          <w:tcPr/>
          <w:p>
            <w:pPr>
              <w:pStyle w:val="Compact"/>
              <w:jc w:val="left"/>
            </w:pPr>
            <w:r>
              <w:t xml:space="preserve">Art. 19 — Automated incident notification</w:t>
            </w:r>
          </w:p>
        </w:tc>
        <w:tc>
          <w:tcPr/>
          <w:p>
            <w:pPr>
              <w:pStyle w:val="Compact"/>
              <w:jc w:val="left"/>
            </w:pPr>
            <w:r>
              <w:t xml:space="preserve">60 days</w:t>
            </w:r>
          </w:p>
        </w:tc>
        <w:tc>
          <w:tcPr/>
          <w:p>
            <w:pPr>
              <w:pStyle w:val="Compact"/>
              <w:jc w:val="left"/>
            </w:pPr>
            <w:r>
              <w:t xml:space="preserve">Medium — API integrations to NCA portals</w:t>
            </w:r>
          </w:p>
        </w:tc>
        <w:tc>
          <w:tcPr/>
          <w:p>
            <w:pPr>
              <w:pStyle w:val="Compact"/>
              <w:jc w:val="left"/>
            </w:pPr>
            <w:r>
              <w:rPr>
                <w:bCs/>
                <w:b/>
              </w:rPr>
              <w:t xml:space="preserve">HIGH</w:t>
            </w:r>
          </w:p>
        </w:tc>
      </w:tr>
      <w:tr>
        <w:tc>
          <w:tcPr/>
          <w:p>
            <w:pPr>
              <w:pStyle w:val="Compact"/>
              <w:jc w:val="left"/>
            </w:pPr>
            <w:r>
              <w:t xml:space="preserve">4</w:t>
            </w:r>
          </w:p>
        </w:tc>
        <w:tc>
          <w:tcPr/>
          <w:p>
            <w:pPr>
              <w:pStyle w:val="Compact"/>
              <w:jc w:val="left"/>
            </w:pPr>
            <w:r>
              <w:rPr>
                <w:bCs/>
                <w:b/>
              </w:rPr>
              <w:t xml:space="preserve">Article 30 Contract Clause Templates</w:t>
            </w:r>
          </w:p>
        </w:tc>
        <w:tc>
          <w:tcPr/>
          <w:p>
            <w:pPr>
              <w:pStyle w:val="Compact"/>
              <w:jc w:val="left"/>
            </w:pPr>
            <w:r>
              <w:t xml:space="preserve">Art. 30 — Mandatory CIF contract clauses</w:t>
            </w:r>
          </w:p>
        </w:tc>
        <w:tc>
          <w:tcPr/>
          <w:p>
            <w:pPr>
              <w:pStyle w:val="Compact"/>
              <w:jc w:val="left"/>
            </w:pPr>
            <w:r>
              <w:t xml:space="preserve">60 days</w:t>
            </w:r>
          </w:p>
        </w:tc>
        <w:tc>
          <w:tcPr/>
          <w:p>
            <w:pPr>
              <w:pStyle w:val="Compact"/>
              <w:jc w:val="left"/>
            </w:pPr>
            <w:r>
              <w:t xml:space="preserve">Low-Medium — legal template library with deviation analysis</w:t>
            </w:r>
          </w:p>
        </w:tc>
        <w:tc>
          <w:tcPr/>
          <w:p>
            <w:pPr>
              <w:pStyle w:val="Compact"/>
              <w:jc w:val="left"/>
            </w:pPr>
            <w:r>
              <w:rPr>
                <w:bCs/>
                <w:b/>
              </w:rPr>
              <w:t xml:space="preserve">HIGH</w:t>
            </w:r>
          </w:p>
        </w:tc>
      </w:tr>
      <w:tr>
        <w:tc>
          <w:tcPr/>
          <w:p>
            <w:pPr>
              <w:pStyle w:val="Compact"/>
              <w:jc w:val="left"/>
            </w:pPr>
            <w:r>
              <w:t xml:space="preserve">5</w:t>
            </w:r>
          </w:p>
        </w:tc>
        <w:tc>
          <w:tcPr/>
          <w:p>
            <w:pPr>
              <w:pStyle w:val="Compact"/>
              <w:jc w:val="left"/>
            </w:pPr>
            <w:r>
              <w:rPr>
                <w:bCs/>
                <w:b/>
              </w:rPr>
              <w:t xml:space="preserve">TIBER-EU TLPT Framework Integration</w:t>
            </w:r>
          </w:p>
        </w:tc>
        <w:tc>
          <w:tcPr/>
          <w:p>
            <w:pPr>
              <w:pStyle w:val="Compact"/>
              <w:jc w:val="left"/>
            </w:pPr>
            <w:r>
              <w:t xml:space="preserve">Arts. 26–27 — Threat-led penetration testing</w:t>
            </w:r>
          </w:p>
        </w:tc>
        <w:tc>
          <w:tcPr/>
          <w:p>
            <w:pPr>
              <w:pStyle w:val="Compact"/>
              <w:jc w:val="left"/>
            </w:pPr>
            <w:r>
              <w:t xml:space="preserve">90 days</w:t>
            </w:r>
          </w:p>
        </w:tc>
        <w:tc>
          <w:tcPr/>
          <w:p>
            <w:pPr>
              <w:pStyle w:val="Compact"/>
              <w:jc w:val="left"/>
            </w:pPr>
            <w:r>
              <w:t xml:space="preserve">High — TIBER-EU phase lifecycle management</w:t>
            </w:r>
          </w:p>
        </w:tc>
        <w:tc>
          <w:tcPr/>
          <w:p>
            <w:pPr>
              <w:pStyle w:val="Compact"/>
              <w:jc w:val="left"/>
            </w:pPr>
            <w:r>
              <w:rPr>
                <w:bCs/>
                <w:b/>
              </w:rPr>
              <w:t xml:space="preserve">HIGH</w:t>
            </w:r>
          </w:p>
        </w:tc>
      </w:tr>
    </w:tbl>
    <w:p>
      <w:pPr>
        <w:pStyle w:val="BodyText"/>
      </w:pPr>
      <w:r>
        <w:rPr>
          <w:iCs/>
          <w:i/>
        </w:rPr>
        <w:t xml:space="preserve">Table 2: 30-180 Day Build Roadmap. All timelines assume a single dedicated engineering squad of 2-3 backend engineers.</w:t>
      </w:r>
    </w:p>
    <w:bookmarkStart w:id="73" w:name="X69110cd4016a7673ce9fb85fe4a041d8eb10dd9"/>
    <w:p>
      <w:pPr>
        <w:pStyle w:val="Heading4"/>
      </w:pPr>
      <w:r>
        <w:t xml:space="preserve">4.3.1 xBRL-CSV Register of Information Export (30-Day Build)</w:t>
      </w:r>
    </w:p>
    <w:p>
      <w:pPr>
        <w:pStyle w:val="FirstParagraph"/>
      </w:pPr>
      <w:r>
        <w:t xml:space="preserve">This is the highest-impact, shortest-timeline build. The ESA-specified xBRL-CSV format requires 116 data quality checks covering entity identification (LEI), contract details, service descriptions, provider information, criticality classification, and subcontractor chains</w:t>
      </w:r>
      <w:r>
        <w:t xml:space="preserve"> </w:t>
      </w:r>
      <w:r>
        <w:rPr>
          <w:vertAlign w:val="superscript"/>
        </w:rPr>
        <w:t xml:space="preserve">47</w:t>
      </w:r>
      <w:r>
        <w:t xml:space="preserve">. CSOAI’s Ed25519 attestation system already captures much of this data in its verification chains. The build adds an xBRL-CSV serialization layer and data quality validation engine. The business case is direct: 93.5% of firms failed the ESA dry-run. A CSOAI module that reliably produces a compliant RoI is a product that banks will pay for immediately, independent of any other CSOAI capability.</w:t>
      </w:r>
    </w:p>
    <w:bookmarkEnd w:id="73"/>
    <w:bookmarkStart w:id="74" w:name="X8bbd1abc2eb78c389febda891cc6e456b3ad247"/>
    <w:p>
      <w:pPr>
        <w:pStyle w:val="Heading4"/>
      </w:pPr>
      <w:r>
        <w:t xml:space="preserve">4.3.2 CIF Classification Decision Tree (30-Day Build)</w:t>
      </w:r>
    </w:p>
    <w:p>
      <w:pPr>
        <w:pStyle w:val="FirstParagraph"/>
      </w:pPr>
      <w:r>
        <w:t xml:space="preserve">Article 28(4)(a)-(b) requires every ICT service to be classified as supporting a Critical or Important Function (CIF) or standard before a contract is signed</w:t>
      </w:r>
      <w:r>
        <w:t xml:space="preserve"> </w:t>
      </w:r>
      <w:r>
        <w:rPr>
          <w:vertAlign w:val="superscript"/>
        </w:rPr>
        <w:t xml:space="preserve">47</w:t>
      </w:r>
      <w:r>
        <w:t xml:space="preserve">. A CIF is defined as a function</w:t>
      </w:r>
      <w:r>
        <w:t xml:space="preserve"> </w:t>
      </w:r>
      <w:r>
        <w:t xml:space="preserve">“</w:t>
      </w:r>
      <w:r>
        <w:t xml:space="preserve">whose disruption would materially impair financial performance, service continuity, or regulatory compliance.</w:t>
      </w:r>
      <w:r>
        <w:t xml:space="preserve">”</w:t>
      </w:r>
      <w:r>
        <w:t xml:space="preserve"> </w:t>
      </w:r>
      <w:r>
        <w:t xml:space="preserve">Misclassification creates cascading compliance failures: the wrong classification leads to incorrect contract clauses, incorrect RoI entries, incorrect testing requirements, and incorrect exit strategies. CSOAI’s 13-framework governance engine has risk classification logic that can be extended with a DORA-specific CIF decision tree. This is a 30-day business logic build.</w:t>
      </w:r>
    </w:p>
    <w:bookmarkEnd w:id="74"/>
    <w:bookmarkStart w:id="75" w:name="X933b738ff6c5792662ec055ec23f2d1432393c6"/>
    <w:p>
      <w:pPr>
        <w:pStyle w:val="Heading4"/>
      </w:pPr>
      <w:r>
        <w:t xml:space="preserve">4.3.3 4-Hour NCA Notification Workflow (60-Day Build)</w:t>
      </w:r>
    </w:p>
    <w:p>
      <w:pPr>
        <w:pStyle w:val="FirstParagraph"/>
      </w:pPr>
      <w:r>
        <w:t xml:space="preserve">Article 19’s 4-hour notification deadline is strictly enforced — missed deadlines trigger automatic supervisory findings</w:t>
      </w:r>
      <w:r>
        <w:t xml:space="preserve"> </w:t>
      </w:r>
      <w:r>
        <w:rPr>
          <w:vertAlign w:val="superscript"/>
        </w:rPr>
        <w:t xml:space="preserve">19</w:t>
      </w:r>
      <w:r>
        <w:t xml:space="preserve"> </w:t>
      </w:r>
      <w:r>
        <w:rPr>
          <w:vertAlign w:val="superscript"/>
        </w:rPr>
        <w:t xml:space="preserve">30</w:t>
      </w:r>
      <w:r>
        <w:t xml:space="preserve">. CSOAI’s Pheromone Matrix detects incidents in real time. The 60-day build adds automated NCA notification pipelines: API integrations to the 27 EU member state competent authority portals plus EBA/ESMA/EIOPA submission channels, triggered automatically when Pheromone signals cross the major-incident threshold. The workflow must support the full reporting lifecycle: initial notification (4 hours), intermediate report (72 hours), and final report (1 month), each with ESA-standardized templates.</w:t>
      </w:r>
    </w:p>
    <w:bookmarkEnd w:id="75"/>
    <w:bookmarkStart w:id="76" w:name="Xa04d266898672bd83d8daa21582342bac8107a5"/>
    <w:p>
      <w:pPr>
        <w:pStyle w:val="Heading4"/>
      </w:pPr>
      <w:r>
        <w:t xml:space="preserve">4.3.4 Article 30 Contract Clause Templates (60-Day Build)</w:t>
      </w:r>
    </w:p>
    <w:p>
      <w:pPr>
        <w:pStyle w:val="FirstParagraph"/>
      </w:pPr>
      <w:r>
        <w:t xml:space="preserve">Article 30 mandates eight categories of contractual provisions for all CIF contracts: service description and performance levels, notification of developments, business contingency plans and ICT security, TLPT participation, audit and inspection rights, and exit strategies</w:t>
      </w:r>
      <w:r>
        <w:t xml:space="preserve"> </w:t>
      </w:r>
      <w:r>
        <w:rPr>
          <w:vertAlign w:val="superscript"/>
        </w:rPr>
        <w:t xml:space="preserve">37</w:t>
      </w:r>
      <w:r>
        <w:t xml:space="preserve"> </w:t>
      </w:r>
      <w:r>
        <w:rPr>
          <w:vertAlign w:val="superscript"/>
        </w:rPr>
        <w:t xml:space="preserve">92</w:t>
      </w:r>
      <w:r>
        <w:t xml:space="preserve"> </w:t>
      </w:r>
      <w:r>
        <w:rPr>
          <w:vertAlign w:val="superscript"/>
        </w:rPr>
        <w:t xml:space="preserve">93</w:t>
      </w:r>
      <w:r>
        <w:t xml:space="preserve"> </w:t>
      </w:r>
      <w:r>
        <w:rPr>
          <w:vertAlign w:val="superscript"/>
        </w:rPr>
        <w:t xml:space="preserve">98</w:t>
      </w:r>
      <w:r>
        <w:t xml:space="preserve">.</w:t>
      </w:r>
      <w:r>
        <w:t xml:space="preserve"> </w:t>
      </w:r>
      <w:r>
        <w:t xml:space="preserve">“</w:t>
      </w:r>
      <w:r>
        <w:t xml:space="preserve">The vendor wouldn’t negotiate</w:t>
      </w:r>
      <w:r>
        <w:t xml:space="preserve">”</w:t>
      </w:r>
      <w:r>
        <w:t xml:space="preserve"> </w:t>
      </w:r>
      <w:r>
        <w:t xml:space="preserve">is not a valid defense under DORA. CSOAI’s 60-day build delivers a contract clause template library with deviation analysis — the bank uploads an existing contract, the system identifies which Article 30 requirements are missing or insufficient, and generates red-line recommendations. Combined with Ed25519 attestation, this creates a defensible audit trail of due diligence effort.</w:t>
      </w:r>
    </w:p>
    <w:bookmarkEnd w:id="76"/>
    <w:bookmarkStart w:id="77" w:name="X2ef72dd9ab8bf1b664c5f66a9afe73ca37d85e0"/>
    <w:p>
      <w:pPr>
        <w:pStyle w:val="Heading4"/>
      </w:pPr>
      <w:r>
        <w:t xml:space="preserve">4.3.5 TIBER-EU TLPT Framework Integration (90-Day Build)</w:t>
      </w:r>
    </w:p>
    <w:p>
      <w:pPr>
        <w:pStyle w:val="FirstParagraph"/>
      </w:pPr>
      <w:r>
        <w:t xml:space="preserve">Articles 26–27 require TLPT every three years for significant entities, following the TIBER-EU framework’s four-phase model: Threat Intelligence, Red Team, Blue Team, and Purple Team</w:t>
      </w:r>
      <w:r>
        <w:t xml:space="preserve"> </w:t>
      </w:r>
      <w:r>
        <w:rPr>
          <w:vertAlign w:val="superscript"/>
        </w:rPr>
        <w:t xml:space="preserve">19</w:t>
      </w:r>
      <w:r>
        <w:t xml:space="preserve"> </w:t>
      </w:r>
      <w:r>
        <w:rPr>
          <w:vertAlign w:val="superscript"/>
        </w:rPr>
        <w:t xml:space="preserve">27</w:t>
      </w:r>
      <w:r>
        <w:t xml:space="preserve"> </w:t>
      </w:r>
      <w:r>
        <w:rPr>
          <w:vertAlign w:val="superscript"/>
        </w:rPr>
        <w:t xml:space="preserve">36</w:t>
      </w:r>
      <w:r>
        <w:t xml:space="preserve">. Testers must be</w:t>
      </w:r>
      <w:r>
        <w:t xml:space="preserve"> </w:t>
      </w:r>
      <w:r>
        <w:t xml:space="preserve">“</w:t>
      </w:r>
      <w:r>
        <w:t xml:space="preserve">of the highest suitability and reputability,</w:t>
      </w:r>
      <w:r>
        <w:t xml:space="preserve">”</w:t>
      </w:r>
      <w:r>
        <w:t xml:space="preserve"> </w:t>
      </w:r>
      <w:r>
        <w:t xml:space="preserve">certified by an accreditation body, and covered by professional indemnity insurance</w:t>
      </w:r>
      <w:r>
        <w:t xml:space="preserve"> </w:t>
      </w:r>
      <w:r>
        <w:rPr>
          <w:vertAlign w:val="superscript"/>
        </w:rPr>
        <w:t xml:space="preserve">36</w:t>
      </w:r>
      <w:r>
        <w:t xml:space="preserve">. CSOAI’s 90-day build integrates TIBER-EU phase management into the BFT Council workflow: threat intelligence feeds into Pheromone signals, red team tests execute against SOV3 scenario beds, blue team responses are validated by BFT consensus, and purple team findings are attested with Ed25519. The build also adds tester qualification verification and findings management with secure generation, storage, aggregation, and destruction protocols.</w:t>
      </w:r>
    </w:p>
    <w:p>
      <w:r>
        <w:pict>
          <v:rect style="width:0;height:1.5pt" o:hralign="center" o:hrstd="t" o:hr="t"/>
        </w:pict>
      </w:r>
    </w:p>
    <w:p>
      <w:pPr>
        <w:pStyle w:val="FirstParagraph"/>
      </w:pPr>
      <w:r>
        <w:rPr>
          <w:iCs/>
          <w:i/>
        </w:rPr>
        <w:t xml:space="preserve">In sum: CSOAI does not require a ground-up rebuild to serve the DORA market. It requires targeted engineering against five well-defined gaps, combined with intelligent repositioning of six existing capabilities. The 65% baseline, six quick wins, and five critical builds together create a credible 90%+ DORA coverage claim within 180 days — a timeline that matches the supervisory review cycle and the procurement cycles of the 2,200+ smaller EU institutions that represent the immediate addressable market.</w:t>
      </w:r>
    </w:p>
    <w:p>
      <w:r>
        <w:pict>
          <v:rect style="width:0;height:1.5pt" o:hralign="center" o:hrstd="t" o:hr="t"/>
        </w:pict>
      </w:r>
    </w:p>
    <w:bookmarkEnd w:id="77"/>
    <w:bookmarkEnd w:id="78"/>
    <w:bookmarkEnd w:id="79"/>
    <w:bookmarkStart w:id="97" w:name="partnership-strategy-who-to-approach-how"/>
    <w:p>
      <w:pPr>
        <w:pStyle w:val="Heading2"/>
      </w:pPr>
      <w:r>
        <w:t xml:space="preserve">5. Partnership Strategy — Who to Approach &amp; How</w:t>
      </w:r>
    </w:p>
    <w:p>
      <w:pPr>
        <w:pStyle w:val="FirstParagraph"/>
      </w:pPr>
      <w:r>
        <w:t xml:space="preserve">DORA compliance is not a product any single vendor can deliver alone. A significant institution needs governance frameworks, threat intelligence, incident reporting, resilience testing, third-party risk management, and information sharing — across five regulatory pillars and thousands of contractual relationships. The institutions that solve this fastest will assemble the right coalition, not build every component internally.</w:t>
      </w:r>
    </w:p>
    <w:p>
      <w:pPr>
        <w:pStyle w:val="BodyText"/>
      </w:pPr>
      <w:r>
        <w:t xml:space="preserve">CSOAI’s strategic imperative is therefore partnership-first. The platform brings AI-native governance, biological-inspired threat detection, and multi-agent consensus that no DORA competitor offers. But to reach 22,000 financial entities, CSOAI must embed itself inside channels banks already trust: Big Four consultancies that write compliance roadmaps, cloud providers that host infrastructure, GRC platforms that manage workflows, and innovation labs that introduce technology to the largest institutions.</w:t>
      </w:r>
    </w:p>
    <w:p>
      <w:pPr>
        <w:pStyle w:val="BodyText"/>
      </w:pPr>
      <w:r>
        <w:t xml:space="preserve">This chapter maps a three-tier partnership strategy — Immediate (30 days), Short-Term (90 days), and Medium-Term (180 days) — anchored around a single commercial construct:</w:t>
      </w:r>
      <w:r>
        <w:t xml:space="preserve"> </w:t>
      </w:r>
      <w:r>
        <w:rPr>
          <w:bCs/>
          <w:b/>
        </w:rPr>
        <w:t xml:space="preserve">“</w:t>
      </w:r>
      <w:r>
        <w:rPr>
          <w:bCs/>
          <w:b/>
        </w:rPr>
        <w:t xml:space="preserve">Digital Resilience in a Box.</w:t>
      </w:r>
      <w:r>
        <w:rPr>
          <w:bCs/>
          <w:b/>
        </w:rPr>
        <w:t xml:space="preserve">”</w:t>
      </w:r>
      <w:r>
        <w:t xml:space="preserve"> </w:t>
      </w:r>
      <w:r>
        <w:t xml:space="preserve">This is a coalition architecture combining CSOAI’s AI governance engine with compliance, infrastructure, and consulting layers banks already buy, creating a turnkey solution a 200-person regional bank deploys in eight weeks rather than eighteen months.</w:t>
      </w:r>
    </w:p>
    <w:p>
      <w:pPr>
        <w:pStyle w:val="BodyText"/>
      </w:pPr>
      <w:r>
        <w:t xml:space="preserve">The selection criteria for each tier are deliberate. Tier 1 partners are chosen because they have established DORA practices, formal partner programs with clear application paths, and gaps that CSOAI fills precisely. Tier 2 partners offer broader distribution but require longer sales or development cycles. Tier 3 partners provide ecosystem validation and long-term strategic positioning. Together, they create a partner mesh that covers every route to market in the DORA compliance value chain.</w:t>
      </w:r>
    </w:p>
    <w:bookmarkStart w:id="83" w:name="tier-1-partners-immediate-30-days"/>
    <w:p>
      <w:pPr>
        <w:pStyle w:val="Heading3"/>
      </w:pPr>
      <w:r>
        <w:t xml:space="preserve">5.1 Tier 1 Partners (Immediate — 30 Days)</w:t>
      </w:r>
    </w:p>
    <w:p>
      <w:pPr>
        <w:pStyle w:val="FirstParagraph"/>
      </w:pPr>
      <w:r>
        <w:t xml:space="preserve">Tier 1 targets three partners that are (a) actively seeking DORA-capable technology, (b) already inside target institutions, and (c) open to commercial conversations on a 30-day horizon. Each addresses a different gap: GRC workflow (OneTrust), infrastructure hosting (IBM), and consulting implementation (Deloitte).</w:t>
      </w:r>
    </w:p>
    <w:bookmarkStart w:id="80" w:name="X50bd1a8f110528dff39cbeeaa33f06343d3bf0e"/>
    <w:p>
      <w:pPr>
        <w:pStyle w:val="Heading4"/>
      </w:pPr>
      <w:r>
        <w:t xml:space="preserve">5.1.1 OneTrust: 14,000 Customers, Zero AI Governance</w:t>
      </w:r>
    </w:p>
    <w:p>
      <w:pPr>
        <w:pStyle w:val="FirstParagraph"/>
      </w:pPr>
      <w:r>
        <w:t xml:space="preserve">OneTrust leads the GRC software market with</w:t>
      </w:r>
      <w:r>
        <w:t xml:space="preserve"> </w:t>
      </w:r>
      <w:r>
        <w:rPr>
          <w:bCs/>
          <w:b/>
        </w:rPr>
        <w:t xml:space="preserve">14,000 customers</w:t>
      </w:r>
      <w:r>
        <w:t xml:space="preserve"> </w:t>
      </w:r>
      <w:r>
        <w:t xml:space="preserve">globally and a platform covering privacy, security, ethics, and compliance workflows. The company has invested heavily in DORA readiness: its GRC module maps to all five pillars, supports Register of Information workflows, and provides policy management and control testing. What OneTrust does not have — and has shown no roadmap to build — is an AI governance layer connecting DORA operational resilience to the EU AI Act’s risk classification, algorithmic accountability, and high-risk system documentation requirements</w:t>
      </w:r>
      <w:r>
        <w:t xml:space="preserve"> </w:t>
      </w:r>
      <w:r>
        <w:rPr>
          <w:vertAlign w:val="superscript"/>
        </w:rPr>
        <w:t xml:space="preserve">56</w:t>
      </w:r>
      <w:r>
        <w:t xml:space="preserve">.</w:t>
      </w:r>
    </w:p>
    <w:p>
      <w:pPr>
        <w:pStyle w:val="BodyText"/>
      </w:pPr>
      <w:r>
        <w:t xml:space="preserve">CSOAI’s pitch is precise:</w:t>
      </w:r>
      <w:r>
        <w:t xml:space="preserve"> </w:t>
      </w:r>
      <w:r>
        <w:rPr>
          <w:bCs/>
          <w:b/>
        </w:rPr>
        <w:t xml:space="preserve">“</w:t>
      </w:r>
      <w:r>
        <w:rPr>
          <w:bCs/>
          <w:b/>
        </w:rPr>
        <w:t xml:space="preserve">We are the AI governance layer for your DORA platform.</w:t>
      </w:r>
      <w:r>
        <w:rPr>
          <w:bCs/>
          <w:b/>
        </w:rPr>
        <w:t xml:space="preserve">”</w:t>
      </w:r>
      <w:r>
        <w:t xml:space="preserve"> </w:t>
      </w:r>
      <w:r>
        <w:t xml:space="preserve">The BFT Council maps to EU AI Act governance requirements. Pheromone’s nine-signal classification engine provides the real-time monitoring that AI Act Article 15 (accuracy, robustness, cybersecurity) demands. The MCP server catalog with attestation chains delivers the documentation trail Article 12 (record-keeping) requires. No other vendor combines biological-inspired threat detection with formal governance consensus for dual-framework compliance.</w:t>
      </w:r>
    </w:p>
    <w:p>
      <w:pPr>
        <w:pStyle w:val="BodyText"/>
      </w:pPr>
      <w:r>
        <w:t xml:space="preserve">Apply through partner.onetrust.com with a</w:t>
      </w:r>
      <w:r>
        <w:t xml:space="preserve"> </w:t>
      </w:r>
      <w:r>
        <w:rPr>
          <w:bCs/>
          <w:b/>
        </w:rPr>
        <w:t xml:space="preserve">pre-built integration prototype</w:t>
      </w:r>
      <w:r>
        <w:t xml:space="preserve"> </w:t>
      </w:r>
      <w:r>
        <w:t xml:space="preserve">— a working API connection between Pheromone signals and OneTrust’s incident management module — not a deck. OneTrust structures technology partnerships as</w:t>
      </w:r>
      <w:r>
        <w:t xml:space="preserve"> </w:t>
      </w:r>
      <w:r>
        <w:rPr>
          <w:bCs/>
          <w:b/>
        </w:rPr>
        <w:t xml:space="preserve">revenue-sharing arrangements in the 70/30 to 80/20 range</w:t>
      </w:r>
      <w:r>
        <w:t xml:space="preserve"> </w:t>
      </w:r>
      <w:r>
        <w:t xml:space="preserve">(vendor/OneTrust), with co-sell access to the enterprise customer base once integration is certified</w:t>
      </w:r>
      <w:r>
        <w:t xml:space="preserve"> </w:t>
      </w:r>
      <w:r>
        <w:rPr>
          <w:vertAlign w:val="superscript"/>
        </w:rPr>
        <w:t xml:space="preserve">99</w:t>
      </w:r>
      <w:r>
        <w:t xml:space="preserve">.</w:t>
      </w:r>
    </w:p>
    <w:bookmarkEnd w:id="80"/>
    <w:bookmarkStart w:id="81" w:name="X2c872fb1ad9a4b7a8b4fde38307c8ac6398926f"/>
    <w:p>
      <w:pPr>
        <w:pStyle w:val="Heading4"/>
      </w:pPr>
      <w:r>
        <w:t xml:space="preserve">5.1.2 IBM Partner Plus: Designated CTPP, 100+ FS Ecosystem Partners</w:t>
      </w:r>
    </w:p>
    <w:p>
      <w:pPr>
        <w:pStyle w:val="FirstParagraph"/>
      </w:pPr>
      <w:r>
        <w:t xml:space="preserve">IBM holds a unique position: the ESAs designated it a</w:t>
      </w:r>
      <w:r>
        <w:t xml:space="preserve"> </w:t>
      </w:r>
      <w:r>
        <w:rPr>
          <w:bCs/>
          <w:b/>
        </w:rPr>
        <w:t xml:space="preserve">Critical Third-Party Provider (CTPP)</w:t>
      </w:r>
      <w:r>
        <w:t xml:space="preserve"> </w:t>
      </w:r>
      <w:r>
        <w:t xml:space="preserve">under DORA Article 31 in January 2025</w:t>
      </w:r>
      <w:r>
        <w:t xml:space="preserve"> </w:t>
      </w:r>
      <w:r>
        <w:rPr>
          <w:vertAlign w:val="superscript"/>
        </w:rPr>
        <w:t xml:space="preserve">18</w:t>
      </w:r>
      <w:r>
        <w:t xml:space="preserve"> </w:t>
      </w:r>
      <w:r>
        <w:rPr>
          <w:vertAlign w:val="superscript"/>
        </w:rPr>
        <w:t xml:space="preserve">81</w:t>
      </w:r>
      <w:r>
        <w:t xml:space="preserve">. This means IBM is directly supervised by a Lead Overseer, must comply with the CTPP oversight framework, and is building compliance solutions at scale. IBM’s Promontory unit is actively supporting EU financial institutions with DORA readiness assessments and implementation roadmaps</w:t>
      </w:r>
      <w:r>
        <w:t xml:space="preserve"> </w:t>
      </w:r>
      <w:r>
        <w:rPr>
          <w:vertAlign w:val="superscript"/>
        </w:rPr>
        <w:t xml:space="preserve">100</w:t>
      </w:r>
      <w:r>
        <w:t xml:space="preserve">.</w:t>
      </w:r>
    </w:p>
    <w:p>
      <w:pPr>
        <w:pStyle w:val="BodyText"/>
      </w:pPr>
      <w:r>
        <w:t xml:space="preserve">Simultaneously,</w:t>
      </w:r>
      <w:r>
        <w:t xml:space="preserve"> </w:t>
      </w:r>
      <w:r>
        <w:rPr>
          <w:bCs/>
          <w:b/>
        </w:rPr>
        <w:t xml:space="preserve">IBM Cloud for Financial Services</w:t>
      </w:r>
      <w:r>
        <w:t xml:space="preserve"> </w:t>
      </w:r>
      <w:r>
        <w:t xml:space="preserve">has grown to</w:t>
      </w:r>
      <w:r>
        <w:t xml:space="preserve"> </w:t>
      </w:r>
      <w:r>
        <w:rPr>
          <w:bCs/>
          <w:b/>
        </w:rPr>
        <w:t xml:space="preserve">100+ ecosystem partners</w:t>
      </w:r>
      <w:r>
        <w:t xml:space="preserve"> </w:t>
      </w:r>
      <w:r>
        <w:t xml:space="preserve">including SAP, EY, and Tata Consultancy Services, serving BNP Paribas, Luminor Bank, and MUFG</w:t>
      </w:r>
      <w:r>
        <w:t xml:space="preserve"> </w:t>
      </w:r>
      <w:r>
        <w:rPr>
          <w:vertAlign w:val="superscript"/>
        </w:rPr>
        <w:t xml:space="preserve">31</w:t>
      </w:r>
      <w:r>
        <w:t xml:space="preserve">. IBM provides the infrastructure; what it lacks is a native AI governance and operational resilience testing engine.</w:t>
      </w:r>
    </w:p>
    <w:p>
      <w:pPr>
        <w:pStyle w:val="BodyText"/>
      </w:pPr>
      <w:r>
        <w:t xml:space="preserve">The pitch:</w:t>
      </w:r>
      <w:r>
        <w:t xml:space="preserve"> </w:t>
      </w:r>
      <w:r>
        <w:rPr>
          <w:bCs/>
          <w:b/>
        </w:rPr>
        <w:t xml:space="preserve">“</w:t>
      </w:r>
      <w:r>
        <w:rPr>
          <w:bCs/>
          <w:b/>
        </w:rPr>
        <w:t xml:space="preserve">We provide the resilience monitoring and AI governance layer for your financial services cloud ecosystem.</w:t>
      </w:r>
      <w:r>
        <w:rPr>
          <w:bCs/>
          <w:b/>
        </w:rPr>
        <w:t xml:space="preserve">”</w:t>
      </w:r>
      <w:r>
        <w:t xml:space="preserve"> </w:t>
      </w:r>
      <w:r>
        <w:t xml:space="preserve">Register at partner.ibm.com and position CSOAI as the DORA resilience testing component IBM’s 100+ bank clients need. IBM’s ecosystem model involves</w:t>
      </w:r>
      <w:r>
        <w:t xml:space="preserve"> </w:t>
      </w:r>
      <w:r>
        <w:rPr>
          <w:bCs/>
          <w:b/>
        </w:rPr>
        <w:t xml:space="preserve">co-selling through marketplace listings with 15-20% revenue share</w:t>
      </w:r>
      <w:r>
        <w:t xml:space="preserve"> </w:t>
      </w:r>
      <w:r>
        <w:t xml:space="preserve">and joint solution development for flagship clients</w:t>
      </w:r>
      <w:r>
        <w:t xml:space="preserve"> </w:t>
      </w:r>
      <w:r>
        <w:rPr>
          <w:vertAlign w:val="superscript"/>
        </w:rPr>
        <w:t xml:space="preserve">31</w:t>
      </w:r>
      <w:r>
        <w:t xml:space="preserve">. The CTPP designation gives IBM both the regulatory imperative and client urgency to move quickly.</w:t>
      </w:r>
    </w:p>
    <w:bookmarkEnd w:id="81"/>
    <w:bookmarkStart w:id="82" w:name="X7ce0d62cf76ec15a6cb3f95ad36dfe34e0e47e5"/>
    <w:p>
      <w:pPr>
        <w:pStyle w:val="Heading4"/>
      </w:pPr>
      <w:r>
        <w:t xml:space="preserve">5.1.3 Deloitte Alliance: Largest DORA Advisory, Seeking RegTech</w:t>
      </w:r>
    </w:p>
    <w:p>
      <w:pPr>
        <w:pStyle w:val="FirstParagraph"/>
      </w:pPr>
      <w:r>
        <w:t xml:space="preserve">Deloitte has positioned itself as the leading DORA advisory practice, publishing the</w:t>
      </w:r>
      <w:r>
        <w:t xml:space="preserve"> </w:t>
      </w:r>
      <w:r>
        <w:t xml:space="preserve">“</w:t>
      </w:r>
      <w:r>
        <w:t xml:space="preserve">RegTech Universe</w:t>
      </w:r>
      <w:r>
        <w:t xml:space="preserve">”</w:t>
      </w:r>
      <w:r>
        <w:t xml:space="preserve"> </w:t>
      </w:r>
      <w:r>
        <w:t xml:space="preserve">map covering 80+ RegTech firms and developing</w:t>
      </w:r>
      <w:r>
        <w:t xml:space="preserve"> </w:t>
      </w:r>
      <w:r>
        <w:rPr>
          <w:bCs/>
          <w:b/>
        </w:rPr>
        <w:t xml:space="preserve">RegMiner</w:t>
      </w:r>
      <w:r>
        <w:t xml:space="preserve">, an AI-powered regulatory compliance solution</w:t>
      </w:r>
      <w:r>
        <w:t xml:space="preserve"> </w:t>
      </w:r>
      <w:r>
        <w:rPr>
          <w:vertAlign w:val="superscript"/>
        </w:rPr>
        <w:t xml:space="preserve">13</w:t>
      </w:r>
      <w:r>
        <w:t xml:space="preserve"> </w:t>
      </w:r>
      <w:r>
        <w:rPr>
          <w:vertAlign w:val="superscript"/>
        </w:rPr>
        <w:t xml:space="preserve">56</w:t>
      </w:r>
      <w:r>
        <w:t xml:space="preserve">. Deloitte’s research shows 87% of financial institutions view RegTech as significant to strategic initiatives, and the firm is actively seeking technology partners to complete its DORA stack</w:t>
      </w:r>
      <w:r>
        <w:t xml:space="preserve"> </w:t>
      </w:r>
      <w:r>
        <w:rPr>
          <w:vertAlign w:val="superscript"/>
        </w:rPr>
        <w:t xml:space="preserve">13</w:t>
      </w:r>
      <w:r>
        <w:t xml:space="preserve">.</w:t>
      </w:r>
    </w:p>
    <w:p>
      <w:pPr>
        <w:pStyle w:val="BodyText"/>
      </w:pPr>
      <w:r>
        <w:t xml:space="preserve">RegMiner covers regulatory change management. It does not cover biological-inspired threat detection, multi-agent governance consensus, or the intersection of AI governance with operational resilience. Deloitte’s DORA clients need a platform connecting regulatory compliance (what DORA says you must do) with AI governance (how you ensure your AI systems remain resilient while doing it).</w:t>
      </w:r>
    </w:p>
    <w:p>
      <w:pPr>
        <w:pStyle w:val="BodyText"/>
      </w:pPr>
      <w:r>
        <w:t xml:space="preserve">The pitch:</w:t>
      </w:r>
      <w:r>
        <w:t xml:space="preserve"> </w:t>
      </w:r>
      <w:r>
        <w:rPr>
          <w:bCs/>
          <w:b/>
        </w:rPr>
        <w:t xml:space="preserve">“</w:t>
      </w:r>
      <w:r>
        <w:rPr>
          <w:bCs/>
          <w:b/>
        </w:rPr>
        <w:t xml:space="preserve">We are the only AI governance + DORA dual-compliance engine. White-label our platform under your brand, add your consulting, and deliver a complete solution in 90 days.</w:t>
      </w:r>
      <w:r>
        <w:rPr>
          <w:bCs/>
          <w:b/>
        </w:rPr>
        <w:t xml:space="preserve">”</w:t>
      </w:r>
      <w:r>
        <w:t xml:space="preserve"> </w:t>
      </w:r>
      <w:r>
        <w:t xml:space="preserve">Apply through deloitte.com/en/services/consulting-risk. Deloitte typically takes a</w:t>
      </w:r>
      <w:r>
        <w:t xml:space="preserve"> </w:t>
      </w:r>
      <w:r>
        <w:rPr>
          <w:bCs/>
          <w:b/>
        </w:rPr>
        <w:t xml:space="preserve">30-40% margin on technology implementations</w:t>
      </w:r>
      <w:r>
        <w:t xml:space="preserve">, but the volume multiplier is substantial: the firm’s financial services practice touches hundreds of banks annually, and a DORA offering with AI governance differentiation has no equivalent across the other Big Four</w:t>
      </w:r>
      <w:r>
        <w:t xml:space="preserve"> </w:t>
      </w:r>
      <w:r>
        <w:rPr>
          <w:vertAlign w:val="superscript"/>
        </w:rPr>
        <w:t xml:space="preserve">13</w:t>
      </w:r>
      <w:r>
        <w:t xml:space="preserve"> </w:t>
      </w:r>
      <w:r>
        <w:rPr>
          <w:vertAlign w:val="superscript"/>
        </w:rPr>
        <w:t xml:space="preserve">99</w:t>
      </w:r>
      <w:r>
        <w:t xml:space="preserve">.</w:t>
      </w:r>
    </w:p>
    <w:bookmarkEnd w:id="82"/>
    <w:bookmarkEnd w:id="83"/>
    <w:bookmarkStart w:id="88" w:name="tier-2-partners-90-days"/>
    <w:p>
      <w:pPr>
        <w:pStyle w:val="Heading3"/>
      </w:pPr>
      <w:r>
        <w:t xml:space="preserve">5.2 Tier 2 Partners (90 Days)</w:t>
      </w:r>
    </w:p>
    <w:p>
      <w:pPr>
        <w:pStyle w:val="FirstParagraph"/>
      </w:pPr>
      <w:r>
        <w:t xml:space="preserve">Tier 2 partners require more preparation — formal applications, technical reviews, or program cycle alignment — but each offers access to distinct distribution channels that Tier 1 partners do not cover. Microsoft opens the Azure Marketplace channel; KPMG provides access to mid-tier institutions that Deloitte may not prioritize; ServiceNow embeds CSOAI into daily bank operations; Accenture creates direct G-SIB proof-of-concept opportunities. These should be pursued in parallel with Tier 1, with agreements expected within 90 days.</w:t>
      </w:r>
    </w:p>
    <w:bookmarkStart w:id="84" w:name="Xfff50977000bfe3e57fb53679621653d2d2de78"/>
    <w:p>
      <w:pPr>
        <w:pStyle w:val="Heading4"/>
      </w:pPr>
      <w:r>
        <w:t xml:space="preserve">5.2.1 Microsoft ISV Success: $5K Credits + Azure Marketplace + Co-Sell</w:t>
      </w:r>
    </w:p>
    <w:p>
      <w:pPr>
        <w:pStyle w:val="FirstParagraph"/>
      </w:pPr>
      <w:r>
        <w:t xml:space="preserve">Microsoft has proven a fertile RegTech channel: CUBE partnered with Microsoft to deliver AI compliance on Azure and listed its RegPlatform on the Microsoft Marketplace</w:t>
      </w:r>
      <w:r>
        <w:t xml:space="preserve"> </w:t>
      </w:r>
      <w:r>
        <w:rPr>
          <w:vertAlign w:val="superscript"/>
        </w:rPr>
        <w:t xml:space="preserve">60</w:t>
      </w:r>
      <w:r>
        <w:t xml:space="preserve">. The</w:t>
      </w:r>
      <w:r>
        <w:t xml:space="preserve"> </w:t>
      </w:r>
      <w:r>
        <w:rPr>
          <w:bCs/>
          <w:b/>
        </w:rPr>
        <w:t xml:space="preserve">ISV Success Program</w:t>
      </w:r>
      <w:r>
        <w:t xml:space="preserve"> </w:t>
      </w:r>
      <w:r>
        <w:t xml:space="preserve">provides 12-month engagement with Azure credits ($5,000-$50,000), technical consultations, marketplace listing support, and a pathway to the</w:t>
      </w:r>
      <w:r>
        <w:t xml:space="preserve"> </w:t>
      </w:r>
      <w:r>
        <w:rPr>
          <w:bCs/>
          <w:b/>
        </w:rPr>
        <w:t xml:space="preserve">Co-Sell Program</w:t>
      </w:r>
      <w:r>
        <w:t xml:space="preserve"> </w:t>
      </w:r>
      <w:r>
        <w:t xml:space="preserve">granting access to Microsoft’s global customer base and reseller network</w:t>
      </w:r>
      <w:r>
        <w:t xml:space="preserve"> </w:t>
      </w:r>
      <w:r>
        <w:rPr>
          <w:vertAlign w:val="superscript"/>
        </w:rPr>
        <w:t xml:space="preserve">65</w:t>
      </w:r>
      <w:r>
        <w:t xml:space="preserve">. Marketplace rewards reach</w:t>
      </w:r>
      <w:r>
        <w:t xml:space="preserve"> </w:t>
      </w:r>
      <w:r>
        <w:rPr>
          <w:bCs/>
          <w:b/>
        </w:rPr>
        <w:t xml:space="preserve">up to $200,000</w:t>
      </w:r>
      <w:r>
        <w:t xml:space="preserve">, with a</w:t>
      </w:r>
      <w:r>
        <w:t xml:space="preserve"> </w:t>
      </w:r>
      <w:r>
        <w:rPr>
          <w:bCs/>
          <w:b/>
        </w:rPr>
        <w:t xml:space="preserve">3% transaction fee</w:t>
      </w:r>
      <w:r>
        <w:t xml:space="preserve"> </w:t>
      </w:r>
      <w:r>
        <w:rPr>
          <w:vertAlign w:val="superscript"/>
        </w:rPr>
        <w:t xml:space="preserve">101</w:t>
      </w:r>
      <w:r>
        <w:t xml:space="preserve">.</w:t>
      </w:r>
    </w:p>
    <w:p>
      <w:pPr>
        <w:pStyle w:val="BodyText"/>
      </w:pPr>
      <w:r>
        <w:t xml:space="preserve">Position CSOAI as a</w:t>
      </w:r>
      <w:r>
        <w:t xml:space="preserve"> </w:t>
      </w:r>
      <w:r>
        <w:rPr>
          <w:bCs/>
          <w:b/>
        </w:rPr>
        <w:t xml:space="preserve">“</w:t>
      </w:r>
      <w:r>
        <w:rPr>
          <w:bCs/>
          <w:b/>
        </w:rPr>
        <w:t xml:space="preserve">Financial Services Digital Resilience</w:t>
      </w:r>
      <w:r>
        <w:rPr>
          <w:bCs/>
          <w:b/>
        </w:rPr>
        <w:t xml:space="preserve">”</w:t>
      </w:r>
      <w:r>
        <w:t xml:space="preserve"> </w:t>
      </w:r>
      <w:r>
        <w:t xml:space="preserve">app on Azure Marketplace. FY25 incentives include a</w:t>
      </w:r>
      <w:r>
        <w:t xml:space="preserve"> </w:t>
      </w:r>
      <w:r>
        <w:rPr>
          <w:bCs/>
          <w:b/>
        </w:rPr>
        <w:t xml:space="preserve">$20,000 rebate at $100,000 ACR</w:t>
      </w:r>
      <w:r>
        <w:t xml:space="preserve"> </w:t>
      </w:r>
      <w:r>
        <w:t xml:space="preserve">and an additional</w:t>
      </w:r>
      <w:r>
        <w:t xml:space="preserve"> </w:t>
      </w:r>
      <w:r>
        <w:rPr>
          <w:bCs/>
          <w:b/>
        </w:rPr>
        <w:t xml:space="preserve">$50,000 at $4 million ACR</w:t>
      </w:r>
      <w:r>
        <w:t xml:space="preserve"> </w:t>
      </w:r>
      <w:r>
        <w:rPr>
          <w:vertAlign w:val="superscript"/>
        </w:rPr>
        <w:t xml:space="preserve">102</w:t>
      </w:r>
      <w:r>
        <w:t xml:space="preserve">. The CUBE precedent proves RegTech succeeds on this channel; CSOAI need only demonstrate that its AI governance layer adds what CUBE (regulatory change management) does not.</w:t>
      </w:r>
    </w:p>
    <w:bookmarkEnd w:id="84"/>
    <w:bookmarkStart w:id="85" w:name="Xa05d3b6e339dfdaf25a319dba6b607db85898e7"/>
    <w:p>
      <w:pPr>
        <w:pStyle w:val="Heading4"/>
      </w:pPr>
      <w:r>
        <w:t xml:space="preserve">5.2.2 KPMG Alliances: Formal Application, 300+ DORA Clients</w:t>
      </w:r>
    </w:p>
    <w:p>
      <w:pPr>
        <w:pStyle w:val="FirstParagraph"/>
      </w:pPr>
      <w:r>
        <w:t xml:space="preserve">KPMG’s formal Alliances program requires partners to have an established client base, clear differentiation, and capability-gap fit</w:t>
      </w:r>
      <w:r>
        <w:t xml:space="preserve"> </w:t>
      </w:r>
      <w:r>
        <w:rPr>
          <w:vertAlign w:val="superscript"/>
        </w:rPr>
        <w:t xml:space="preserve">103</w:t>
      </w:r>
      <w:r>
        <w:t xml:space="preserve">. Existing partners include Appian (low-code automation for risk management), BlackLine (financial close automation), and Databricks (integrated into KPMG Clara audit platform)</w:t>
      </w:r>
      <w:r>
        <w:t xml:space="preserve"> </w:t>
      </w:r>
      <w:r>
        <w:rPr>
          <w:vertAlign w:val="superscript"/>
        </w:rPr>
        <w:t xml:space="preserve">103</w:t>
      </w:r>
      <w:r>
        <w:t xml:space="preserve"> </w:t>
      </w:r>
      <w:r>
        <w:rPr>
          <w:vertAlign w:val="superscript"/>
        </w:rPr>
        <w:t xml:space="preserve">63</w:t>
      </w:r>
      <w:r>
        <w:t xml:space="preserve">. KPMG’s financial services practice has served</w:t>
      </w:r>
      <w:r>
        <w:t xml:space="preserve"> </w:t>
      </w:r>
      <w:r>
        <w:rPr>
          <w:bCs/>
          <w:b/>
        </w:rPr>
        <w:t xml:space="preserve">300+ firms for DORA readiness</w:t>
      </w:r>
      <w:r>
        <w:t xml:space="preserve"> </w:t>
      </w:r>
      <w:r>
        <w:t xml:space="preserve">— a client base needing technology, not just advisory.</w:t>
      </w:r>
    </w:p>
    <w:p>
      <w:pPr>
        <w:pStyle w:val="BodyText"/>
      </w:pPr>
      <w:r>
        <w:t xml:space="preserve">CSOAI fits all three criteria: differentiation is unambiguous (no KPMG partner offers AI-native operational resilience testing), the capability gap is documented in KPMG’s own DORA materials (technology automation is the primary obstacle for mid-sized institutions), and the client base can be demonstrated through pilot regional bank relationships. Apply via kpmg.com/alliances with a joint go-to-market proposal. KPMG’s model uses</w:t>
      </w:r>
      <w:r>
        <w:t xml:space="preserve"> </w:t>
      </w:r>
      <w:r>
        <w:rPr>
          <w:bCs/>
          <w:b/>
        </w:rPr>
        <w:t xml:space="preserve">joint go-to-market with 40-60 revenue splits</w:t>
      </w:r>
      <w:r>
        <w:t xml:space="preserve">, co-branded solutions, and shared client ownership</w:t>
      </w:r>
      <w:r>
        <w:t xml:space="preserve"> </w:t>
      </w:r>
      <w:r>
        <w:rPr>
          <w:vertAlign w:val="superscript"/>
        </w:rPr>
        <w:t xml:space="preserve">99</w:t>
      </w:r>
      <w:r>
        <w:t xml:space="preserve">.</w:t>
      </w:r>
    </w:p>
    <w:bookmarkEnd w:id="85"/>
    <w:bookmarkStart w:id="86" w:name="servicenow-store-build-fs-operations-app"/>
    <w:p>
      <w:pPr>
        <w:pStyle w:val="Heading4"/>
      </w:pPr>
      <w:r>
        <w:t xml:space="preserve">5.2.3 ServiceNow Store: Build FS Operations App</w:t>
      </w:r>
    </w:p>
    <w:p>
      <w:pPr>
        <w:pStyle w:val="FirstParagraph"/>
      </w:pPr>
      <w:r>
        <w:t xml:space="preserve">ServiceNow’s Financial Services Operations module addresses a</w:t>
      </w:r>
      <w:r>
        <w:t xml:space="preserve"> </w:t>
      </w:r>
      <w:r>
        <w:rPr>
          <w:bCs/>
          <w:b/>
        </w:rPr>
        <w:t xml:space="preserve">$275 billion TAM</w:t>
      </w:r>
      <w:r>
        <w:t xml:space="preserve"> </w:t>
      </w:r>
      <w:r>
        <w:t xml:space="preserve">with less than 5% penetration. The ServiceNow Store allows third-party apps integrating with the platform — an opportunity to deliver</w:t>
      </w:r>
      <w:r>
        <w:t xml:space="preserve"> </w:t>
      </w:r>
      <w:r>
        <w:rPr>
          <w:bCs/>
          <w:b/>
        </w:rPr>
        <w:t xml:space="preserve">“</w:t>
      </w:r>
      <w:r>
        <w:rPr>
          <w:bCs/>
          <w:b/>
        </w:rPr>
        <w:t xml:space="preserve">AI-powered resilience workflow automation</w:t>
      </w:r>
      <w:r>
        <w:rPr>
          <w:bCs/>
          <w:b/>
        </w:rPr>
        <w:t xml:space="preserve">”</w:t>
      </w:r>
      <w:r>
        <w:t xml:space="preserve"> </w:t>
      </w:r>
      <w:r>
        <w:t xml:space="preserve">into tools bank staff use daily. Build target: a ServiceNow app ingesting Pheromone signals, routing them through DORA-compliant incident classification workflows, auto-generating NCA notifications within Article 19’s 4-hour deadline, and feeding Ed25519 attestation data into the Register of Information. Every bank using ServiceNow for IT service management becomes a potential customer without CSOAI needing to displace an incumbent — the app simply appears in their existing workflow infrastructure.</w:t>
      </w:r>
    </w:p>
    <w:bookmarkEnd w:id="86"/>
    <w:bookmarkStart w:id="87" w:name="X65dac85a1e53067a2cb40b4c35f46aa46b6a3ee"/>
    <w:p>
      <w:pPr>
        <w:pStyle w:val="Heading4"/>
      </w:pPr>
      <w:r>
        <w:t xml:space="preserve">5.2.4 Accenture FinTech Innovation Lab: No Equity, 12+ G-SIB Access</w:t>
      </w:r>
    </w:p>
    <w:p>
      <w:pPr>
        <w:pStyle w:val="FirstParagraph"/>
      </w:pPr>
      <w:r>
        <w:t xml:space="preserve">Accenture’s FinTech Innovation Lab Asia-Pacific (11th year) provides G-SIB access without equity dilution or fees</w:t>
      </w:r>
      <w:r>
        <w:t xml:space="preserve"> </w:t>
      </w:r>
      <w:r>
        <w:rPr>
          <w:vertAlign w:val="superscript"/>
        </w:rPr>
        <w:t xml:space="preserve">91</w:t>
      </w:r>
      <w:r>
        <w:t xml:space="preserve">. Selected startups receive proof-of-concept opportunities with Bank of America, BNP Paribas, Goldman Sachs, HSBC, J.P. Morgan, Morgan Stanley, UBS, and Standard Chartered</w:t>
      </w:r>
      <w:r>
        <w:t xml:space="preserve"> </w:t>
      </w:r>
      <w:r>
        <w:rPr>
          <w:vertAlign w:val="superscript"/>
        </w:rPr>
        <w:t xml:space="preserve">38</w:t>
      </w:r>
      <w:r>
        <w:t xml:space="preserve">. Accenture seeks</w:t>
      </w:r>
      <w:r>
        <w:t xml:space="preserve"> </w:t>
      </w:r>
      <w:r>
        <w:t xml:space="preserve">“</w:t>
      </w:r>
      <w:r>
        <w:t xml:space="preserve">price-competitive</w:t>
      </w:r>
      <w:r>
        <w:t xml:space="preserve"> </w:t>
      </w:r>
      <w:r>
        <w:t xml:space="preserve">‘</w:t>
      </w:r>
      <w:r>
        <w:t xml:space="preserve">as a Service</w:t>
      </w:r>
      <w:r>
        <w:t xml:space="preserve">’</w:t>
      </w:r>
      <w:r>
        <w:t xml:space="preserve"> </w:t>
      </w:r>
      <w:r>
        <w:t xml:space="preserve">offerings</w:t>
      </w:r>
      <w:r>
        <w:t xml:space="preserve">”</w:t>
      </w:r>
      <w:r>
        <w:t xml:space="preserve"> </w:t>
      </w:r>
      <w:r>
        <w:t xml:space="preserve">from partners</w:t>
      </w:r>
      <w:r>
        <w:t xml:space="preserve"> </w:t>
      </w:r>
      <w:r>
        <w:rPr>
          <w:vertAlign w:val="superscript"/>
        </w:rPr>
        <w:t xml:space="preserve">104</w:t>
      </w:r>
      <w:r>
        <w:t xml:space="preserve">.</w:t>
      </w:r>
    </w:p>
    <w:p>
      <w:pPr>
        <w:pStyle w:val="BodyText"/>
      </w:pPr>
      <w:r>
        <w:t xml:space="preserve">Pitch</w:t>
      </w:r>
      <w:r>
        <w:t xml:space="preserve"> </w:t>
      </w:r>
      <w:r>
        <w:rPr>
          <w:bCs/>
          <w:b/>
        </w:rPr>
        <w:t xml:space="preserve">“</w:t>
      </w:r>
      <w:r>
        <w:rPr>
          <w:bCs/>
          <w:b/>
        </w:rPr>
        <w:t xml:space="preserve">Digital Resilience in a Box for regional banks</w:t>
      </w:r>
      <w:r>
        <w:rPr>
          <w:bCs/>
          <w:b/>
        </w:rPr>
        <w:t xml:space="preserve">”</w:t>
      </w:r>
      <w:r>
        <w:t xml:space="preserve"> </w:t>
      </w:r>
      <w:r>
        <w:t xml:space="preserve">— a solution Accenture’s G-SIB partners white-label for their regional banking networks. Accenture operates on</w:t>
      </w:r>
      <w:r>
        <w:t xml:space="preserve"> </w:t>
      </w:r>
      <w:r>
        <w:rPr>
          <w:bCs/>
          <w:b/>
        </w:rPr>
        <w:t xml:space="preserve">white-label or API integration models with 20-30% revenue share</w:t>
      </w:r>
      <w:r>
        <w:t xml:space="preserve"> </w:t>
      </w:r>
      <w:r>
        <w:rPr>
          <w:vertAlign w:val="superscript"/>
        </w:rPr>
        <w:t xml:space="preserve">104</w:t>
      </w:r>
      <w:r>
        <w:t xml:space="preserve">.</w:t>
      </w:r>
    </w:p>
    <w:bookmarkEnd w:id="87"/>
    <w:bookmarkEnd w:id="88"/>
    <w:bookmarkStart w:id="92" w:name="tier-3-partners-180-days"/>
    <w:p>
      <w:pPr>
        <w:pStyle w:val="Heading3"/>
      </w:pPr>
      <w:r>
        <w:t xml:space="preserve">5.3 Tier 3 Partners (180 Days)</w:t>
      </w:r>
    </w:p>
    <w:p>
      <w:pPr>
        <w:pStyle w:val="FirstParagraph"/>
      </w:pPr>
      <w:r>
        <w:t xml:space="preserve">Tier 3 partners offer significant long-term value but require technical certification, marketplace development, or membership processes. Initiate within 90 days; expect commercial activation within 180.</w:t>
      </w:r>
    </w:p>
    <w:bookmarkStart w:id="89" w:name="swift-partner-programme"/>
    <w:p>
      <w:pPr>
        <w:pStyle w:val="Heading4"/>
      </w:pPr>
      <w:r>
        <w:t xml:space="preserve">5.3.1 SWIFT Partner Programme</w:t>
      </w:r>
    </w:p>
    <w:p>
      <w:pPr>
        <w:pStyle w:val="FirstParagraph"/>
      </w:pPr>
      <w:r>
        <w:t xml:space="preserve">SWIFT certifies applications across Platform, Delivery, and Connectivity tiers, requiring five live customers and SWIFT standards compliance</w:t>
      </w:r>
      <w:r>
        <w:t xml:space="preserve"> </w:t>
      </w:r>
      <w:r>
        <w:rPr>
          <w:vertAlign w:val="superscript"/>
        </w:rPr>
        <w:t xml:space="preserve">45</w:t>
      </w:r>
      <w:r>
        <w:t xml:space="preserve"> </w:t>
      </w:r>
      <w:r>
        <w:rPr>
          <w:vertAlign w:val="superscript"/>
        </w:rPr>
        <w:t xml:space="preserve">16</w:t>
      </w:r>
      <w:r>
        <w:t xml:space="preserve">. Certification delivers access to SWIFT’s global financial messaging network, brand credibility, and co-creation opportunities</w:t>
      </w:r>
      <w:r>
        <w:t xml:space="preserve"> </w:t>
      </w:r>
      <w:r>
        <w:rPr>
          <w:vertAlign w:val="superscript"/>
        </w:rPr>
        <w:t xml:space="preserve">26</w:t>
      </w:r>
      <w:r>
        <w:t xml:space="preserve">. Position CSOAI as a</w:t>
      </w:r>
      <w:r>
        <w:t xml:space="preserve"> </w:t>
      </w:r>
      <w:r>
        <w:rPr>
          <w:bCs/>
          <w:b/>
        </w:rPr>
        <w:t xml:space="preserve">resilience overlay for SWIFT transaction networks</w:t>
      </w:r>
      <w:r>
        <w:t xml:space="preserve">: real-time Pheromone monitoring of message flows, automated incident classification when message anomalies exceed DORA thresholds, and attestation trails satisfying both DORA Article 14 and SWIFT Customer Security Programme requirements. The entry path begins at swift.com/about-us/swift-partner-programme with Registered Provider status, progressing to certified application once the five-live-customer threshold is met through Tier 1 partner deployments.</w:t>
      </w:r>
    </w:p>
    <w:bookmarkEnd w:id="89"/>
    <w:bookmarkStart w:id="90" w:name="aws-marketplace-d-cat-program"/>
    <w:p>
      <w:pPr>
        <w:pStyle w:val="Heading4"/>
      </w:pPr>
      <w:r>
        <w:t xml:space="preserve">5.3.2 AWS Marketplace D-CAT Program</w:t>
      </w:r>
    </w:p>
    <w:p>
      <w:pPr>
        <w:pStyle w:val="FirstParagraph"/>
      </w:pPr>
      <w:r>
        <w:t xml:space="preserve">AWS published a comprehensive DORA User Guide and offers the</w:t>
      </w:r>
      <w:r>
        <w:t xml:space="preserve"> </w:t>
      </w:r>
      <w:r>
        <w:rPr>
          <w:bCs/>
          <w:b/>
        </w:rPr>
        <w:t xml:space="preserve">D-CAT (DORA Compliance Assessment Tool)</w:t>
      </w:r>
      <w:r>
        <w:t xml:space="preserve"> </w:t>
      </w:r>
      <w:r>
        <w:t xml:space="preserve">through marketplace partners</w:t>
      </w:r>
      <w:r>
        <w:t xml:space="preserve"> </w:t>
      </w:r>
      <w:r>
        <w:rPr>
          <w:vertAlign w:val="superscript"/>
        </w:rPr>
        <w:t xml:space="preserve">105</w:t>
      </w:r>
      <w:r>
        <w:t xml:space="preserve"> </w:t>
      </w:r>
      <w:r>
        <w:rPr>
          <w:vertAlign w:val="superscript"/>
        </w:rPr>
        <w:t xml:space="preserve">25</w:t>
      </w:r>
      <w:r>
        <w:t xml:space="preserve">. AWS services already map to all five DORA pillars through Security Hub, Config, GuardDuty, CloudTrail, Audit Manager, Resilience Hub, and Fault Injection Service</w:t>
      </w:r>
      <w:r>
        <w:t xml:space="preserve"> </w:t>
      </w:r>
      <w:r>
        <w:rPr>
          <w:vertAlign w:val="superscript"/>
        </w:rPr>
        <w:t xml:space="preserve">61</w:t>
      </w:r>
      <w:r>
        <w:t xml:space="preserve"> </w:t>
      </w:r>
      <w:r>
        <w:rPr>
          <w:vertAlign w:val="superscript"/>
        </w:rPr>
        <w:t xml:space="preserve">106</w:t>
      </w:r>
      <w:r>
        <w:t xml:space="preserve">. AWS is also a likely CTPP candidate, which will create additional urgency for banks on AWS to demonstrate compliance</w:t>
      </w:r>
      <w:r>
        <w:t xml:space="preserve"> </w:t>
      </w:r>
      <w:r>
        <w:rPr>
          <w:vertAlign w:val="superscript"/>
        </w:rPr>
        <w:t xml:space="preserve">35</w:t>
      </w:r>
      <w:r>
        <w:t xml:space="preserve">. List CSOAI as SaaS under</w:t>
      </w:r>
      <w:r>
        <w:t xml:space="preserve"> </w:t>
      </w:r>
      <w:r>
        <w:t xml:space="preserve">“</w:t>
      </w:r>
      <w:r>
        <w:t xml:space="preserve">DORA Compliance &amp; Digital Resilience</w:t>
      </w:r>
      <w:r>
        <w:t xml:space="preserve">”</w:t>
      </w:r>
      <w:r>
        <w:t xml:space="preserve"> </w:t>
      </w:r>
      <w:r>
        <w:t xml:space="preserve">— 31% of enterprises buy software through cloud marketplaces, and AWS takes only</w:t>
      </w:r>
      <w:r>
        <w:t xml:space="preserve"> </w:t>
      </w:r>
      <w:r>
        <w:rPr>
          <w:bCs/>
          <w:b/>
        </w:rPr>
        <w:t xml:space="preserve">3%</w:t>
      </w:r>
      <w:r>
        <w:t xml:space="preserve">, meaning CSOAI retains 97% of marketplace revenue while eliminating the 6-12 month vendor onboarding cycle that typically blocks adoption</w:t>
      </w:r>
      <w:r>
        <w:t xml:space="preserve"> </w:t>
      </w:r>
      <w:r>
        <w:rPr>
          <w:vertAlign w:val="superscript"/>
        </w:rPr>
        <w:t xml:space="preserve">101</w:t>
      </w:r>
      <w:r>
        <w:t xml:space="preserve">.</w:t>
      </w:r>
    </w:p>
    <w:bookmarkEnd w:id="90"/>
    <w:bookmarkStart w:id="91" w:name="fs-isac-critical-providers-program"/>
    <w:p>
      <w:pPr>
        <w:pStyle w:val="Heading4"/>
      </w:pPr>
      <w:r>
        <w:t xml:space="preserve">5.3.3 FS-ISAC Critical Providers Program</w:t>
      </w:r>
    </w:p>
    <w:p>
      <w:pPr>
        <w:pStyle w:val="FirstParagraph"/>
      </w:pPr>
      <w:r>
        <w:t xml:space="preserve">FS-ISAC is the only global cyber intelligence sharing community focused on financial services, with</w:t>
      </w:r>
      <w:r>
        <w:t xml:space="preserve"> </w:t>
      </w:r>
      <w:r>
        <w:rPr>
          <w:bCs/>
          <w:b/>
        </w:rPr>
        <w:t xml:space="preserve">7,000+ members</w:t>
      </w:r>
      <w:r>
        <w:t xml:space="preserve"> </w:t>
      </w:r>
      <w:r>
        <w:t xml:space="preserve">across 75 countries</w:t>
      </w:r>
      <w:r>
        <w:t xml:space="preserve"> </w:t>
      </w:r>
      <w:r>
        <w:rPr>
          <w:vertAlign w:val="superscript"/>
        </w:rPr>
        <w:t xml:space="preserve">39</w:t>
      </w:r>
      <w:r>
        <w:t xml:space="preserve">. The Critical Providers Program, launched January 2022 with Akamai Technologies as founding member, is specifically designed for service providers serving the financial sector. Membership provides access to threat intelligence feeds, incident response coordination, and distribution to 7,000+ institutions already committed to information sharing as a regulatory requirement. Pitch</w:t>
      </w:r>
      <w:r>
        <w:t xml:space="preserve"> </w:t>
      </w:r>
      <w:r>
        <w:rPr>
          <w:bCs/>
          <w:b/>
        </w:rPr>
        <w:t xml:space="preserve">Pheromone-based threat signal distribution</w:t>
      </w:r>
      <w:r>
        <w:t xml:space="preserve"> </w:t>
      </w:r>
      <w:r>
        <w:t xml:space="preserve">enriching FS-ISAC feeds with AI-classified, attestation-backed anomaly detection that meets Article 45’s trusted-community requirements.</w:t>
      </w:r>
    </w:p>
    <w:bookmarkEnd w:id="91"/>
    <w:bookmarkEnd w:id="92"/>
    <w:bookmarkStart w:id="95" w:name="the-digital-resilience-in-a-box-package"/>
    <w:p>
      <w:pPr>
        <w:pStyle w:val="Heading3"/>
      </w:pPr>
      <w:r>
        <w:t xml:space="preserve">5.4 The</w:t>
      </w:r>
      <w:r>
        <w:t xml:space="preserve"> </w:t>
      </w:r>
      <w:r>
        <w:t xml:space="preserve">“</w:t>
      </w:r>
      <w:r>
        <w:t xml:space="preserve">Digital Resilience in a Box</w:t>
      </w:r>
      <w:r>
        <w:t xml:space="preserve">”</w:t>
      </w:r>
      <w:r>
        <w:t xml:space="preserve"> </w:t>
      </w:r>
      <w:r>
        <w:t xml:space="preserve">Package</w:t>
      </w:r>
    </w:p>
    <w:p>
      <w:pPr>
        <w:pStyle w:val="FirstParagraph"/>
      </w:pPr>
      <w:r>
        <w:t xml:space="preserve">The partnership strategy converges on a single commercial construct for the most underserved DORA segment:</w:t>
      </w:r>
      <w:r>
        <w:t xml:space="preserve"> </w:t>
      </w:r>
      <w:r>
        <w:rPr>
          <w:bCs/>
          <w:b/>
        </w:rPr>
        <w:t xml:space="preserve">2,200+ Less Significant Institutions (LSIs)</w:t>
      </w:r>
      <w:r>
        <w:t xml:space="preserve">, building societies, payment institutions, and crypto-asset service providers lacking EUR 5-15 million compliance budgets</w:t>
      </w:r>
      <w:r>
        <w:t xml:space="preserve"> </w:t>
      </w:r>
      <w:r>
        <w:rPr>
          <w:vertAlign w:val="superscript"/>
        </w:rPr>
        <w:t xml:space="preserve">35</w:t>
      </w:r>
      <w:r>
        <w:t xml:space="preserve"> </w:t>
      </w:r>
      <w:r>
        <w:rPr>
          <w:vertAlign w:val="superscript"/>
        </w:rPr>
        <w:t xml:space="preserve">55</w:t>
      </w:r>
      <w:r>
        <w:t xml:space="preserve">. These represent ~95% of DORA-scoped entities by count but receive disproportionately less attention from Big Four and major vendors.</w:t>
      </w:r>
    </w:p>
    <w:bookmarkStart w:id="93" w:name="package-components"/>
    <w:p>
      <w:pPr>
        <w:pStyle w:val="Heading4"/>
      </w:pPr>
      <w:r>
        <w:t xml:space="preserve">5.4.1 Package Components</w:t>
      </w:r>
    </w:p>
    <w:tbl>
      <w:tblPr>
        <w:tblStyle w:val="Table"/>
        <w:tblW w:type="pct" w:w="5000"/>
        <w:tblLook w:firstRow="1" w:lastRow="0" w:firstColumn="0" w:lastColumn="0" w:noHBand="0" w:noVBand="0" w:val="0020"/>
      </w:tblPr>
      <w:tblGrid>
        <w:gridCol w:w="1232"/>
        <w:gridCol w:w="1584"/>
        <w:gridCol w:w="1760"/>
        <w:gridCol w:w="3344"/>
      </w:tblGrid>
      <w:tr>
        <w:trPr>
          <w:tblHeader w:val="true"/>
        </w:trPr>
        <w:tc>
          <w:tcPr/>
          <w:p>
            <w:pPr>
              <w:pStyle w:val="Compact"/>
              <w:jc w:val="left"/>
            </w:pPr>
            <w:r>
              <w:t xml:space="preserve">Layer</w:t>
            </w:r>
          </w:p>
        </w:tc>
        <w:tc>
          <w:tcPr/>
          <w:p>
            <w:pPr>
              <w:pStyle w:val="Compact"/>
              <w:jc w:val="left"/>
            </w:pPr>
            <w:r>
              <w:t xml:space="preserve">Partner</w:t>
            </w:r>
          </w:p>
        </w:tc>
        <w:tc>
          <w:tcPr/>
          <w:p>
            <w:pPr>
              <w:pStyle w:val="Compact"/>
              <w:jc w:val="left"/>
            </w:pPr>
            <w:r>
              <w:t xml:space="preserve">Function</w:t>
            </w:r>
          </w:p>
        </w:tc>
        <w:tc>
          <w:tcPr/>
          <w:p>
            <w:pPr>
              <w:pStyle w:val="Compact"/>
              <w:jc w:val="left"/>
            </w:pPr>
            <w:r>
              <w:t xml:space="preserve">CSOAI Contribution</w:t>
            </w:r>
          </w:p>
        </w:tc>
      </w:tr>
      <w:tr>
        <w:tc>
          <w:tcPr/>
          <w:p>
            <w:pPr>
              <w:pStyle w:val="Compact"/>
              <w:jc w:val="left"/>
            </w:pPr>
            <w:r>
              <w:rPr>
                <w:bCs/>
                <w:b/>
              </w:rPr>
              <w:t xml:space="preserve">AI Governance Engine</w:t>
            </w:r>
          </w:p>
        </w:tc>
        <w:tc>
          <w:tcPr/>
          <w:p>
            <w:pPr>
              <w:pStyle w:val="Compact"/>
              <w:jc w:val="left"/>
            </w:pPr>
            <w:r>
              <w:t xml:space="preserve">CSOAI</w:t>
            </w:r>
          </w:p>
        </w:tc>
        <w:tc>
          <w:tcPr/>
          <w:p>
            <w:pPr>
              <w:pStyle w:val="Compact"/>
              <w:jc w:val="left"/>
            </w:pPr>
            <w:r>
              <w:t xml:space="preserve">Multi-agent governance (BFT Council), threat detection (Pheromone), resilience testing (SOV3), attestation (Ed25519), threat sharing (Worm Hive)</w:t>
            </w:r>
          </w:p>
        </w:tc>
        <w:tc>
          <w:tcPr/>
          <w:p>
            <w:pPr>
              <w:pStyle w:val="Compact"/>
              <w:jc w:val="left"/>
            </w:pPr>
            <w:r>
              <w:t xml:space="preserve">Core differentiator; dual DORA + AI Act compliance</w:t>
            </w:r>
          </w:p>
        </w:tc>
      </w:tr>
      <w:tr>
        <w:tc>
          <w:tcPr/>
          <w:p>
            <w:pPr>
              <w:pStyle w:val="Compact"/>
              <w:jc w:val="left"/>
            </w:pPr>
            <w:r>
              <w:rPr>
                <w:bCs/>
                <w:b/>
              </w:rPr>
              <w:t xml:space="preserve">GRC Platform</w:t>
            </w:r>
          </w:p>
        </w:tc>
        <w:tc>
          <w:tcPr/>
          <w:p>
            <w:pPr>
              <w:pStyle w:val="Compact"/>
              <w:jc w:val="left"/>
            </w:pPr>
            <w:r>
              <w:t xml:space="preserve">OneTrust</w:t>
            </w:r>
          </w:p>
        </w:tc>
        <w:tc>
          <w:tcPr/>
          <w:p>
            <w:pPr>
              <w:pStyle w:val="Compact"/>
              <w:jc w:val="left"/>
            </w:pPr>
            <w:r>
              <w:t xml:space="preserve">Policy management, control testing, Register of Information workflows, compliance reporting, audit trails</w:t>
            </w:r>
          </w:p>
        </w:tc>
        <w:tc>
          <w:tcPr/>
          <w:p>
            <w:pPr>
              <w:pStyle w:val="Compact"/>
              <w:jc w:val="left"/>
            </w:pPr>
            <w:r>
              <w:t xml:space="preserve">AI governance overlay; API integration</w:t>
            </w:r>
          </w:p>
        </w:tc>
      </w:tr>
      <w:tr>
        <w:tc>
          <w:tcPr/>
          <w:p>
            <w:pPr>
              <w:pStyle w:val="Compact"/>
              <w:jc w:val="left"/>
            </w:pPr>
            <w:r>
              <w:rPr>
                <w:bCs/>
                <w:b/>
              </w:rPr>
              <w:t xml:space="preserve">Implementation</w:t>
            </w:r>
          </w:p>
        </w:tc>
        <w:tc>
          <w:tcPr/>
          <w:p>
            <w:pPr>
              <w:pStyle w:val="Compact"/>
              <w:jc w:val="left"/>
            </w:pPr>
            <w:r>
              <w:t xml:space="preserve">Deloitte</w:t>
            </w:r>
          </w:p>
        </w:tc>
        <w:tc>
          <w:tcPr/>
          <w:p>
            <w:pPr>
              <w:pStyle w:val="Compact"/>
              <w:jc w:val="left"/>
            </w:pPr>
            <w:r>
              <w:t xml:space="preserve">DORA readiness assessment, gap remediation, regulatory interpretation, NCA liaison</w:t>
            </w:r>
          </w:p>
        </w:tc>
        <w:tc>
          <w:tcPr/>
          <w:p>
            <w:pPr>
              <w:pStyle w:val="Compact"/>
              <w:jc w:val="left"/>
            </w:pPr>
            <w:r>
              <w:t xml:space="preserve">Technology enablement; white-label platform</w:t>
            </w:r>
          </w:p>
        </w:tc>
      </w:tr>
      <w:tr>
        <w:tc>
          <w:tcPr/>
          <w:p>
            <w:pPr>
              <w:pStyle w:val="Compact"/>
              <w:jc w:val="left"/>
            </w:pPr>
            <w:r>
              <w:rPr>
                <w:bCs/>
                <w:b/>
              </w:rPr>
              <w:t xml:space="preserve">Infrastructure</w:t>
            </w:r>
          </w:p>
        </w:tc>
        <w:tc>
          <w:tcPr/>
          <w:p>
            <w:pPr>
              <w:pStyle w:val="Compact"/>
              <w:jc w:val="left"/>
            </w:pPr>
            <w:r>
              <w:t xml:space="preserve">IBM Cloud</w:t>
            </w:r>
          </w:p>
        </w:tc>
        <w:tc>
          <w:tcPr/>
          <w:p>
            <w:pPr>
              <w:pStyle w:val="Compact"/>
              <w:jc w:val="left"/>
            </w:pPr>
            <w:r>
              <w:t xml:space="preserve">CTPP-compliant hosting, security certification, disaster recovery, scalable compute</w:t>
            </w:r>
          </w:p>
        </w:tc>
        <w:tc>
          <w:tcPr/>
          <w:p>
            <w:pPr>
              <w:pStyle w:val="Compact"/>
              <w:jc w:val="left"/>
            </w:pPr>
            <w:r>
              <w:t xml:space="preserve">Resilience monitoring; AI governance integration</w:t>
            </w:r>
          </w:p>
        </w:tc>
      </w:tr>
    </w:tbl>
    <w:p>
      <w:pPr>
        <w:pStyle w:val="BodyText"/>
      </w:pPr>
      <w:r>
        <w:t xml:space="preserve">Each layer is independently best-in-class. Together they form the only integrated solution covering DORA end-to-end with AI governance built in from the ground up. The package is white-label ready: Deloitte sells it as</w:t>
      </w:r>
      <w:r>
        <w:t xml:space="preserve"> </w:t>
      </w:r>
      <w:r>
        <w:t xml:space="preserve">“</w:t>
      </w:r>
      <w:r>
        <w:t xml:space="preserve">Deloitte Digital Resilience,</w:t>
      </w:r>
      <w:r>
        <w:t xml:space="preserve">”</w:t>
      </w:r>
      <w:r>
        <w:t xml:space="preserve"> </w:t>
      </w:r>
      <w:r>
        <w:t xml:space="preserve">IBM offers it as</w:t>
      </w:r>
      <w:r>
        <w:t xml:space="preserve"> </w:t>
      </w:r>
      <w:r>
        <w:t xml:space="preserve">“</w:t>
      </w:r>
      <w:r>
        <w:t xml:space="preserve">IBM Cloud — Resilience Edition,</w:t>
      </w:r>
      <w:r>
        <w:t xml:space="preserve">”</w:t>
      </w:r>
      <w:r>
        <w:t xml:space="preserve"> </w:t>
      </w:r>
      <w:r>
        <w:t xml:space="preserve">regional providers like Comarch or Asseco rebrand it for local networks.</w:t>
      </w:r>
    </w:p>
    <w:bookmarkEnd w:id="93"/>
    <w:bookmarkStart w:id="94" w:name="revenue-eur-110m550m-tam"/>
    <w:p>
      <w:pPr>
        <w:pStyle w:val="Heading4"/>
      </w:pPr>
      <w:r>
        <w:t xml:space="preserve">5.4.2 Revenue: EUR 110M–550M TAM</w:t>
      </w:r>
    </w:p>
    <w:tbl>
      <w:tblPr>
        <w:tblStyle w:val="Table"/>
        <w:tblW w:type="pct" w:w="5000"/>
        <w:tblLook w:firstRow="1" w:lastRow="0" w:firstColumn="0" w:lastColumn="0" w:noHBand="0" w:noVBand="0" w:val="0020"/>
      </w:tblPr>
      <w:tblGrid>
        <w:gridCol w:w="1397"/>
        <w:gridCol w:w="2018"/>
        <w:gridCol w:w="2018"/>
        <w:gridCol w:w="2484"/>
      </w:tblGrid>
      <w:tr>
        <w:trPr>
          <w:tblHeader w:val="true"/>
        </w:trPr>
        <w:tc>
          <w:tcPr/>
          <w:p>
            <w:pPr>
              <w:pStyle w:val="Compact"/>
              <w:jc w:val="left"/>
            </w:pPr>
            <w:r>
              <w:t xml:space="preserve">Segment</w:t>
            </w:r>
          </w:p>
        </w:tc>
        <w:tc>
          <w:tcPr/>
          <w:p>
            <w:pPr>
              <w:pStyle w:val="Compact"/>
              <w:jc w:val="left"/>
            </w:pPr>
            <w:r>
              <w:t xml:space="preserve">Institutions</w:t>
            </w:r>
          </w:p>
        </w:tc>
        <w:tc>
          <w:tcPr/>
          <w:p>
            <w:pPr>
              <w:pStyle w:val="Compact"/>
              <w:jc w:val="left"/>
            </w:pPr>
            <w:r>
              <w:t xml:space="preserve">Price Point</w:t>
            </w:r>
          </w:p>
        </w:tc>
        <w:tc>
          <w:tcPr/>
          <w:p>
            <w:pPr>
              <w:pStyle w:val="Compact"/>
              <w:jc w:val="left"/>
            </w:pPr>
            <w:r>
              <w:t xml:space="preserve">Annual Revenue</w:t>
            </w:r>
          </w:p>
        </w:tc>
      </w:tr>
      <w:tr>
        <w:tc>
          <w:tcPr/>
          <w:p>
            <w:pPr>
              <w:pStyle w:val="Compact"/>
              <w:jc w:val="left"/>
            </w:pPr>
            <w:r>
              <w:t xml:space="preserve">Small LSIs (assets &lt; EUR 1B)</w:t>
            </w:r>
          </w:p>
        </w:tc>
        <w:tc>
          <w:tcPr/>
          <w:p>
            <w:pPr>
              <w:pStyle w:val="Compact"/>
              <w:jc w:val="left"/>
            </w:pPr>
            <w:r>
              <w:t xml:space="preserve">~1,500</w:t>
            </w:r>
          </w:p>
        </w:tc>
        <w:tc>
          <w:tcPr/>
          <w:p>
            <w:pPr>
              <w:pStyle w:val="Compact"/>
              <w:jc w:val="left"/>
            </w:pPr>
            <w:r>
              <w:t xml:space="preserve">EUR 50K–100K</w:t>
            </w:r>
          </w:p>
        </w:tc>
        <w:tc>
          <w:tcPr/>
          <w:p>
            <w:pPr>
              <w:pStyle w:val="Compact"/>
              <w:jc w:val="left"/>
            </w:pPr>
            <w:r>
              <w:t xml:space="preserve">EUR 75M–150M</w:t>
            </w:r>
          </w:p>
        </w:tc>
      </w:tr>
      <w:tr>
        <w:tc>
          <w:tcPr/>
          <w:p>
            <w:pPr>
              <w:pStyle w:val="Compact"/>
              <w:jc w:val="left"/>
            </w:pPr>
            <w:r>
              <w:t xml:space="preserve">Mid-size LSIs (assets EUR 1B–5B)</w:t>
            </w:r>
          </w:p>
        </w:tc>
        <w:tc>
          <w:tcPr/>
          <w:p>
            <w:pPr>
              <w:pStyle w:val="Compact"/>
              <w:jc w:val="left"/>
            </w:pPr>
            <w:r>
              <w:t xml:space="preserve">~500</w:t>
            </w:r>
          </w:p>
        </w:tc>
        <w:tc>
          <w:tcPr/>
          <w:p>
            <w:pPr>
              <w:pStyle w:val="Compact"/>
              <w:jc w:val="left"/>
            </w:pPr>
            <w:r>
              <w:t xml:space="preserve">EUR 100K–200K</w:t>
            </w:r>
          </w:p>
        </w:tc>
        <w:tc>
          <w:tcPr/>
          <w:p>
            <w:pPr>
              <w:pStyle w:val="Compact"/>
              <w:jc w:val="left"/>
            </w:pPr>
            <w:r>
              <w:t xml:space="preserve">EUR 50M–100M</w:t>
            </w:r>
          </w:p>
        </w:tc>
      </w:tr>
      <w:tr>
        <w:tc>
          <w:tcPr/>
          <w:p>
            <w:pPr>
              <w:pStyle w:val="Compact"/>
              <w:jc w:val="left"/>
            </w:pPr>
            <w:r>
              <w:t xml:space="preserve">Building societies &amp; payment institutions</w:t>
            </w:r>
          </w:p>
        </w:tc>
        <w:tc>
          <w:tcPr/>
          <w:p>
            <w:pPr>
              <w:pStyle w:val="Compact"/>
              <w:jc w:val="left"/>
            </w:pPr>
            <w:r>
              <w:t xml:space="preserve">~200</w:t>
            </w:r>
          </w:p>
        </w:tc>
        <w:tc>
          <w:tcPr/>
          <w:p>
            <w:pPr>
              <w:pStyle w:val="Compact"/>
              <w:jc w:val="left"/>
            </w:pPr>
            <w:r>
              <w:t xml:space="preserve">EUR 150K–250K</w:t>
            </w:r>
          </w:p>
        </w:tc>
        <w:tc>
          <w:tcPr/>
          <w:p>
            <w:pPr>
              <w:pStyle w:val="Compact"/>
              <w:jc w:val="left"/>
            </w:pPr>
            <w:r>
              <w:t xml:space="preserve">EUR 30M–50M</w:t>
            </w:r>
          </w:p>
        </w:tc>
      </w:tr>
      <w:tr>
        <w:tc>
          <w:tcPr/>
          <w:p>
            <w:pPr>
              <w:pStyle w:val="Compact"/>
              <w:jc w:val="left"/>
            </w:pPr>
            <w:r>
              <w:rPr>
                <w:bCs/>
                <w:b/>
              </w:rPr>
              <w:t xml:space="preserve">Total LSI Segment</w:t>
            </w:r>
          </w:p>
        </w:tc>
        <w:tc>
          <w:tcPr/>
          <w:p>
            <w:pPr>
              <w:pStyle w:val="Compact"/>
              <w:jc w:val="left"/>
            </w:pPr>
            <w:r>
              <w:rPr>
                <w:bCs/>
                <w:b/>
              </w:rPr>
              <w:t xml:space="preserve">~2,200</w:t>
            </w:r>
          </w:p>
        </w:tc>
        <w:tc>
          <w:tcPr/>
          <w:p>
            <w:pPr>
              <w:pStyle w:val="Compact"/>
              <w:jc w:val="left"/>
            </w:pPr>
            <w:r>
              <w:rPr>
                <w:bCs/>
                <w:b/>
              </w:rPr>
              <w:t xml:space="preserve">EUR 50K–250K</w:t>
            </w:r>
          </w:p>
        </w:tc>
        <w:tc>
          <w:tcPr/>
          <w:p>
            <w:pPr>
              <w:pStyle w:val="Compact"/>
              <w:jc w:val="left"/>
            </w:pPr>
            <w:r>
              <w:rPr>
                <w:bCs/>
                <w:b/>
              </w:rPr>
              <w:t xml:space="preserve">EUR 110M–550M</w:t>
            </w:r>
          </w:p>
        </w:tc>
      </w:tr>
    </w:tbl>
    <w:p>
      <w:pPr>
        <w:pStyle w:val="BodyText"/>
      </w:pPr>
      <w:r>
        <w:t xml:space="preserve">These figures represent total addressable market. A conservative 5-10% Year 3 penetration yields</w:t>
      </w:r>
      <w:r>
        <w:t xml:space="preserve"> </w:t>
      </w:r>
      <w:r>
        <w:rPr>
          <w:bCs/>
          <w:b/>
        </w:rPr>
        <w:t xml:space="preserve">EUR 5.5M–55M annual recurring revenue</w:t>
      </w:r>
      <w:r>
        <w:t xml:space="preserve"> </w:t>
      </w:r>
      <w:r>
        <w:t xml:space="preserve">from the LSI segment alone — sufficient to fund expansion into significant institutions and Asia-Pacific markets. Per-institution pricing is aggressive versus the EUR 5-15 million large banks spend</w:t>
      </w:r>
      <w:r>
        <w:t xml:space="preserve"> </w:t>
      </w:r>
      <w:r>
        <w:rPr>
          <w:vertAlign w:val="superscript"/>
        </w:rPr>
        <w:t xml:space="preserve">55</w:t>
      </w:r>
      <w:r>
        <w:t xml:space="preserve">, but reflects the efficiency of a packaged, repeatable, cloud-delivered solution versus bespoke consulting.</w:t>
      </w:r>
    </w:p>
    <w:bookmarkEnd w:id="94"/>
    <w:bookmarkEnd w:id="95"/>
    <w:bookmarkStart w:id="96" w:name="day-action-plan"/>
    <w:p>
      <w:pPr>
        <w:pStyle w:val="Heading3"/>
      </w:pPr>
      <w:r>
        <w:t xml:space="preserve">5.5 30-60-90 Day Action Plan</w:t>
      </w:r>
    </w:p>
    <w:p>
      <w:pPr>
        <w:pStyle w:val="FirstParagraph"/>
      </w:pPr>
      <w:r>
        <w:rPr>
          <w:bCs/>
          <w:b/>
        </w:rPr>
        <w:t xml:space="preserve">Days 0–30: Foundation &amp; Tier 1 Engagement.</w:t>
      </w:r>
      <w:r>
        <w:t xml:space="preserve"> </w:t>
      </w:r>
      <w:r>
        <w:t xml:space="preserve">Build and test xBRL-CSV Register of Information export module — the #1 compliance pain point, with only 6.5% passing the ESA dry run</w:t>
      </w:r>
      <w:r>
        <w:t xml:space="preserve"> </w:t>
      </w:r>
      <w:r>
        <w:rPr>
          <w:vertAlign w:val="superscript"/>
        </w:rPr>
        <w:t xml:space="preserve">35</w:t>
      </w:r>
      <w:r>
        <w:t xml:space="preserve">. Submit IBM Partner Plus application. Contact OneTrust Partner Program with technical integration proposal. Draft Deloitte Alliance pitch.</w:t>
      </w:r>
      <w:r>
        <w:t xml:space="preserve"> </w:t>
      </w:r>
      <w:r>
        <w:rPr>
          <w:iCs/>
          <w:i/>
        </w:rPr>
        <w:t xml:space="preserve">Success criteria:</w:t>
      </w:r>
      <w:r>
        <w:t xml:space="preserve"> </w:t>
      </w:r>
      <w:r>
        <w:t xml:space="preserve">RoI module functional; all three Tier 1 conversations initiated.</w:t>
      </w:r>
    </w:p>
    <w:p>
      <w:pPr>
        <w:pStyle w:val="BodyText"/>
      </w:pPr>
      <w:r>
        <w:rPr>
          <w:bCs/>
          <w:b/>
        </w:rPr>
        <w:t xml:space="preserve">Days 30–60: Product Hardening &amp; Tier 2 Applications.</w:t>
      </w:r>
      <w:r>
        <w:t xml:space="preserve"> </w:t>
      </w:r>
      <w:r>
        <w:t xml:space="preserve">Complete 4-hour NCA notification workflow automation (Article 19). Build CIF (Criticality Importance Function) classification decision tree (Article 8). Submit Microsoft ISV Success application. Submit KPMG Alliances formal application. Begin ServiceNow Store app development.</w:t>
      </w:r>
      <w:r>
        <w:t xml:space="preserve"> </w:t>
      </w:r>
      <w:r>
        <w:rPr>
          <w:iCs/>
          <w:i/>
        </w:rPr>
        <w:t xml:space="preserve">Success criteria:</w:t>
      </w:r>
      <w:r>
        <w:t xml:space="preserve"> </w:t>
      </w:r>
      <w:r>
        <w:t xml:space="preserve">NCA workflow and CIF classifier functional; Microsoft and KPMG applications submitted.</w:t>
      </w:r>
    </w:p>
    <w:p>
      <w:pPr>
        <w:pStyle w:val="BodyText"/>
      </w:pPr>
      <w:r>
        <w:rPr>
          <w:bCs/>
          <w:b/>
        </w:rPr>
        <w:t xml:space="preserve">Days 60–90: Certification &amp; Pilot.</w:t>
      </w:r>
      <w:r>
        <w:t xml:space="preserve"> </w:t>
      </w:r>
      <w:r>
        <w:t xml:space="preserve">Integrate TIBER-EU TLPT framework — only 30-40 qualified red team firms exist in the EU, creating 12-18 month wait times that CSOAI’s automated approach addresses</w:t>
      </w:r>
      <w:r>
        <w:t xml:space="preserve"> </w:t>
      </w:r>
      <w:r>
        <w:rPr>
          <w:vertAlign w:val="superscript"/>
        </w:rPr>
        <w:t xml:space="preserve">35</w:t>
      </w:r>
      <w:r>
        <w:t xml:space="preserve">. Publish on AWS Marketplace. Launch pilot with 2-3 regional banks via Accenture Innovation Lab, IBM ecosystem, or Deloitte LSI client base at EUR 50K-100K per institution. Submit SWIFT and FS-ISAC applications.</w:t>
      </w:r>
      <w:r>
        <w:t xml:space="preserve"> </w:t>
      </w:r>
      <w:r>
        <w:rPr>
          <w:iCs/>
          <w:i/>
        </w:rPr>
        <w:t xml:space="preserve">Success criteria:</w:t>
      </w:r>
      <w:r>
        <w:t xml:space="preserve"> </w:t>
      </w:r>
      <w:r>
        <w:t xml:space="preserve">TLPT framework integrated; AWS listing live; 2-3 pilots contracted.</w:t>
      </w:r>
    </w:p>
    <w:p>
      <w:pPr>
        <w:pStyle w:val="BodyText"/>
      </w:pPr>
      <w:r>
        <w:t xml:space="preserve">The 90-day execution produces five tangible outcomes: a working product with three compliance modules (RoI export, NCA notification, CIF classifier), four Tier 1/2 partner applications in progress, one marketplace listing live on AWS, one TIBER-EU TLPT testing framework integrated, and three paying pilot customers at EUR 50K-100K each. These create the momentum, client references, and recurring revenue required to scale from 180 days to 18 months — transforming CSOAI from a technology vendor seeking distribution into the governance backbone that the entire digital resilience ecosystem depends upon.</w:t>
      </w:r>
    </w:p>
    <w:p>
      <w:r>
        <w:pict>
          <v:rect style="width:0;height:1.5pt" o:hralign="center" o:hrstd="t" o:hr="t"/>
        </w:pic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2026-06-19T11:04:46Z</dcterms:created>
  <dcterms:modified xsi:type="dcterms:W3CDTF">2026-06-19T11:04:46Z</dcterms:modified>
</cp:coreProperties>
</file>

<file path=docProps/custom.xml><?xml version="1.0" encoding="utf-8"?>
<Properties xmlns="http://schemas.openxmlformats.org/officeDocument/2006/custom-properties" xmlns:vt="http://schemas.openxmlformats.org/officeDocument/2006/docPropsVTypes"/>
</file>