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a1f39494c3b5c74df795d69ab22a46dd87f021e"/>
    <w:p>
      <w:pPr>
        <w:pStyle w:val="Heading1"/>
      </w:pPr>
      <w:r>
        <w:t xml:space="preserve">MEOK Crosswalk Master Matrix: Cross-Jurisdictional AI Regulatory Architecture</w:t>
      </w:r>
    </w:p>
    <w:p>
      <w:pPr>
        <w:pStyle w:val="FirstParagraph"/>
      </w:pPr>
      <w:r>
        <w:rPr>
          <w:bCs/>
          <w:b/>
        </w:rPr>
        <w:t xml:space="preserve">Version:</w:t>
      </w:r>
      <w:r>
        <w:t xml:space="preserve"> </w:t>
      </w:r>
      <w:r>
        <w:t xml:space="preserve">1.0</w:t>
      </w:r>
      <w:r>
        <w:t xml:space="preserve"> </w:t>
      </w:r>
      <w:r>
        <w:rPr>
          <w:bCs/>
          <w:b/>
        </w:rPr>
        <w:t xml:space="preserve">Date:</w:t>
      </w:r>
      <w:r>
        <w:t xml:space="preserve"> </w:t>
      </w:r>
      <w:r>
        <w:t xml:space="preserve">July 2026</w:t>
      </w:r>
      <w:r>
        <w:t xml:space="preserve"> </w:t>
      </w:r>
      <w:r>
        <w:rPr>
          <w:bCs/>
          <w:b/>
        </w:rPr>
        <w:t xml:space="preserve">Scope:</w:t>
      </w:r>
      <w:r>
        <w:t xml:space="preserve"> </w:t>
      </w:r>
      <w:r>
        <w:t xml:space="preserve">~47 Industries x 12 Jurisdictions x 200+ Regulatory Frameworks</w:t>
      </w:r>
      <w:r>
        <w:t xml:space="preserve"> </w:t>
      </w:r>
      <w:r>
        <w:rPr>
          <w:bCs/>
          <w:b/>
        </w:rPr>
        <w:t xml:space="preserve">Purpose:</w:t>
      </w:r>
      <w:r>
        <w:t xml:space="preserve"> </w:t>
      </w:r>
      <w:r>
        <w:t xml:space="preserve">Identify conflicts, gaps, and simulation opportunities in cross-border AI governance</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9fe77994c7c5c62a4220bed50fe8dd559c598a8">
        <w:r>
          <w:rPr>
            <w:rStyle w:val="Hyperlink"/>
          </w:rPr>
          <w:t xml:space="preserve">Jurisdiction Conflict Matrix</w:t>
        </w:r>
      </w:hyperlink>
    </w:p>
    <w:p>
      <w:pPr>
        <w:numPr>
          <w:ilvl w:val="0"/>
          <w:numId w:val="1001"/>
        </w:numPr>
        <w:pStyle w:val="Compact"/>
      </w:pPr>
      <w:hyperlink w:anchor="X07dfce8ef3da271371eb2c1a6ab9d69a9522db3">
        <w:r>
          <w:rPr>
            <w:rStyle w:val="Hyperlink"/>
          </w:rPr>
          <w:t xml:space="preserve">Industry-Regulation Mapping</w:t>
        </w:r>
      </w:hyperlink>
    </w:p>
    <w:p>
      <w:pPr>
        <w:numPr>
          <w:ilvl w:val="0"/>
          <w:numId w:val="1001"/>
        </w:numPr>
        <w:pStyle w:val="Compact"/>
      </w:pPr>
      <w:hyperlink w:anchor="X0e003a32d2c743ab1458c3dd94addef236636c3">
        <w:r>
          <w:rPr>
            <w:rStyle w:val="Hyperlink"/>
          </w:rPr>
          <w:t xml:space="preserve">Cross-Border Simulation Scenarios</w:t>
        </w:r>
      </w:hyperlink>
    </w:p>
    <w:p>
      <w:pPr>
        <w:numPr>
          <w:ilvl w:val="0"/>
          <w:numId w:val="1001"/>
        </w:numPr>
        <w:pStyle w:val="Compact"/>
      </w:pPr>
      <w:hyperlink w:anchor="X1f9333faf6c1d43888cc792f490c854d2e072ae">
        <w:r>
          <w:rPr>
            <w:rStyle w:val="Hyperlink"/>
          </w:rPr>
          <w:t xml:space="preserve">Gold Mine Index</w:t>
        </w:r>
      </w:hyperlink>
    </w:p>
    <w:p>
      <w:pPr>
        <w:numPr>
          <w:ilvl w:val="0"/>
          <w:numId w:val="1001"/>
        </w:numPr>
        <w:pStyle w:val="Compact"/>
      </w:pPr>
      <w:hyperlink w:anchor="X9d9d8bf08db19e6a8b74cf919ee69854b2264c6">
        <w:r>
          <w:rPr>
            <w:rStyle w:val="Hyperlink"/>
          </w:rPr>
          <w:t xml:space="preserve">MEOK Civilization Mapping</w:t>
        </w:r>
      </w:hyperlink>
    </w:p>
    <w:p>
      <w:pPr>
        <w:numPr>
          <w:ilvl w:val="0"/>
          <w:numId w:val="1001"/>
        </w:numPr>
        <w:pStyle w:val="Compact"/>
      </w:pPr>
      <w:hyperlink w:anchor="X8cf020d2cfbf480e417545296e44ec21fed2773">
        <w:r>
          <w:rPr>
            <w:rStyle w:val="Hyperlink"/>
          </w:rPr>
          <w:t xml:space="preserve">Appendices</w:t>
        </w:r>
      </w:hyperlink>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This Crosswalk Matrix maps regulatory interactions across</w:t>
      </w:r>
      <w:r>
        <w:t xml:space="preserve"> </w:t>
      </w:r>
      <w:r>
        <w:rPr>
          <w:bCs/>
          <w:b/>
        </w:rPr>
        <w:t xml:space="preserve">47 industries</w:t>
      </w:r>
      <w:r>
        <w:t xml:space="preserve">,</w:t>
      </w:r>
      <w:r>
        <w:t xml:space="preserve"> </w:t>
      </w:r>
      <w:r>
        <w:rPr>
          <w:bCs/>
          <w:b/>
        </w:rPr>
        <w:t xml:space="preserve">12 jurisdictions</w:t>
      </w:r>
      <w:r>
        <w:t xml:space="preserve">, and</w:t>
      </w:r>
      <w:r>
        <w:t xml:space="preserve"> </w:t>
      </w:r>
      <w:r>
        <w:rPr>
          <w:bCs/>
          <w:b/>
        </w:rPr>
        <w:t xml:space="preserve">200+ regulatory frameworks</w:t>
      </w:r>
      <w:r>
        <w:t xml:space="preserve"> </w:t>
      </w:r>
      <w:r>
        <w:t xml:space="preserve">to identify conflicts, gaps, and high-value simulation scenarios for the MEOK project.</w:t>
      </w:r>
    </w:p>
    <w:bookmarkStart w:id="21" w:name="key-findings"/>
    <w:p>
      <w:pPr>
        <w:pStyle w:val="Heading3"/>
      </w:pPr>
      <w:r>
        <w:t xml:space="preserve">Key Findings</w:t>
      </w:r>
    </w:p>
    <w:tbl>
      <w:tblPr>
        <w:tblStyle w:val="Table"/>
        <w:tblW w:type="pct" w:w="5000"/>
        <w:tblLook w:firstRow="1" w:lastRow="0" w:firstColumn="0" w:lastColumn="0" w:noHBand="0" w:noVBand="0" w:val="0020"/>
      </w:tblPr>
      <w:tblGrid>
        <w:gridCol w:w="2457"/>
        <w:gridCol w:w="1911"/>
        <w:gridCol w:w="3550"/>
      </w:tblGrid>
      <w:tr>
        <w:trPr>
          <w:tblHeader w:val="true"/>
        </w:trPr>
        <w:tc>
          <w:tcPr/>
          <w:p>
            <w:pPr>
              <w:pStyle w:val="Compact"/>
              <w:jc w:val="left"/>
            </w:pPr>
            <w:r>
              <w:t xml:space="preserve">Finding</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Cs/>
                <w:b/>
              </w:rPr>
              <w:t xml:space="preserve">Industries Mapped</w:t>
            </w:r>
          </w:p>
        </w:tc>
        <w:tc>
          <w:tcPr/>
          <w:p>
            <w:pPr>
              <w:pStyle w:val="Compact"/>
              <w:jc w:val="left"/>
            </w:pPr>
            <w:r>
              <w:t xml:space="preserve">47</w:t>
            </w:r>
          </w:p>
        </w:tc>
        <w:tc>
          <w:tcPr/>
          <w:p>
            <w:pPr>
              <w:pStyle w:val="Compact"/>
              <w:jc w:val="left"/>
            </w:pPr>
            <w:r>
              <w:t xml:space="preserve">Across 7 sector reports</w:t>
            </w:r>
          </w:p>
        </w:tc>
      </w:tr>
      <w:tr>
        <w:tc>
          <w:tcPr/>
          <w:p>
            <w:pPr>
              <w:pStyle w:val="Compact"/>
              <w:jc w:val="left"/>
            </w:pPr>
            <w:r>
              <w:rPr>
                <w:bCs/>
                <w:b/>
              </w:rPr>
              <w:t xml:space="preserve">Jurisdictions Analyzed</w:t>
            </w:r>
          </w:p>
        </w:tc>
        <w:tc>
          <w:tcPr/>
          <w:p>
            <w:pPr>
              <w:pStyle w:val="Compact"/>
              <w:jc w:val="left"/>
            </w:pPr>
            <w:r>
              <w:t xml:space="preserve">12</w:t>
            </w:r>
          </w:p>
        </w:tc>
        <w:tc>
          <w:tcPr/>
          <w:p>
            <w:pPr>
              <w:pStyle w:val="Compact"/>
              <w:jc w:val="left"/>
            </w:pPr>
            <w:r>
              <w:t xml:space="preserve">EU, US, China, UK, UAE, Singapore, Japan, India, Australia, Canada, South Korea, Brazil</w:t>
            </w:r>
          </w:p>
        </w:tc>
      </w:tr>
      <w:tr>
        <w:tc>
          <w:tcPr/>
          <w:p>
            <w:pPr>
              <w:pStyle w:val="Compact"/>
              <w:jc w:val="left"/>
            </w:pPr>
            <w:r>
              <w:rPr>
                <w:bCs/>
                <w:b/>
              </w:rPr>
              <w:t xml:space="preserve">Regulatory Frameworks</w:t>
            </w:r>
          </w:p>
        </w:tc>
        <w:tc>
          <w:tcPr/>
          <w:p>
            <w:pPr>
              <w:pStyle w:val="Compact"/>
              <w:jc w:val="left"/>
            </w:pPr>
            <w:r>
              <w:t xml:space="preserve">200+</w:t>
            </w:r>
          </w:p>
        </w:tc>
        <w:tc>
          <w:tcPr/>
          <w:p>
            <w:pPr>
              <w:pStyle w:val="Compact"/>
              <w:jc w:val="left"/>
            </w:pPr>
            <w:r>
              <w:t xml:space="preserve">Binding laws, soft law, voluntary frameworks, industry standards</w:t>
            </w:r>
          </w:p>
        </w:tc>
      </w:tr>
      <w:tr>
        <w:tc>
          <w:tcPr/>
          <w:p>
            <w:pPr>
              <w:pStyle w:val="Compact"/>
              <w:jc w:val="left"/>
            </w:pPr>
            <w:r>
              <w:rPr>
                <w:bCs/>
                <w:b/>
              </w:rPr>
              <w:t xml:space="preserve">Jurisdiction Pairs with Conflicts</w:t>
            </w:r>
          </w:p>
        </w:tc>
        <w:tc>
          <w:tcPr/>
          <w:p>
            <w:pPr>
              <w:pStyle w:val="Compact"/>
              <w:jc w:val="left"/>
            </w:pPr>
            <w:r>
              <w:t xml:space="preserve">36+</w:t>
            </w:r>
          </w:p>
        </w:tc>
        <w:tc>
          <w:tcPr/>
          <w:p>
            <w:pPr>
              <w:pStyle w:val="Compact"/>
              <w:jc w:val="left"/>
            </w:pPr>
            <w:r>
              <w:t xml:space="preserve">Identified regulatory conflicts</w:t>
            </w:r>
          </w:p>
        </w:tc>
      </w:tr>
      <w:tr>
        <w:tc>
          <w:tcPr/>
          <w:p>
            <w:pPr>
              <w:pStyle w:val="Compact"/>
              <w:jc w:val="left"/>
            </w:pPr>
            <w:r>
              <w:rPr>
                <w:bCs/>
                <w:b/>
              </w:rPr>
              <w:t xml:space="preserve">Cross-Border Scenarios</w:t>
            </w:r>
          </w:p>
        </w:tc>
        <w:tc>
          <w:tcPr/>
          <w:p>
            <w:pPr>
              <w:pStyle w:val="Compact"/>
              <w:jc w:val="left"/>
            </w:pPr>
            <w:r>
              <w:t xml:space="preserve">30</w:t>
            </w:r>
          </w:p>
        </w:tc>
        <w:tc>
          <w:tcPr/>
          <w:p>
            <w:pPr>
              <w:pStyle w:val="Compact"/>
              <w:jc w:val="left"/>
            </w:pPr>
            <w:r>
              <w:t xml:space="preserve">Detailed simulation scenarios</w:t>
            </w:r>
          </w:p>
        </w:tc>
      </w:tr>
      <w:tr>
        <w:tc>
          <w:tcPr/>
          <w:p>
            <w:pPr>
              <w:pStyle w:val="Compact"/>
              <w:jc w:val="left"/>
            </w:pPr>
            <w:r>
              <w:rPr>
                <w:bCs/>
                <w:b/>
              </w:rPr>
              <w:t xml:space="preserve">High-Priority Scenarios</w:t>
            </w:r>
          </w:p>
        </w:tc>
        <w:tc>
          <w:tcPr/>
          <w:p>
            <w:pPr>
              <w:pStyle w:val="Compact"/>
              <w:jc w:val="left"/>
            </w:pPr>
            <w:r>
              <w:t xml:space="preserve">10</w:t>
            </w:r>
          </w:p>
        </w:tc>
        <w:tc>
          <w:tcPr/>
          <w:p>
            <w:pPr>
              <w:pStyle w:val="Compact"/>
              <w:jc w:val="left"/>
            </w:pPr>
            <w:r>
              <w:t xml:space="preserve">Top of the Gold Mine Index</w:t>
            </w:r>
          </w:p>
        </w:tc>
      </w:tr>
    </w:tbl>
    <w:bookmarkEnd w:id="21"/>
    <w:bookmarkStart w:id="22" w:name="critical-conflict-themes"/>
    <w:p>
      <w:pPr>
        <w:pStyle w:val="Heading3"/>
      </w:pPr>
      <w:r>
        <w:t xml:space="preserve">Critical Conflict Themes</w:t>
      </w:r>
    </w:p>
    <w:p>
      <w:pPr>
        <w:numPr>
          <w:ilvl w:val="0"/>
          <w:numId w:val="1002"/>
        </w:numPr>
        <w:pStyle w:val="Compact"/>
      </w:pPr>
      <w:r>
        <w:rPr>
          <w:bCs/>
          <w:b/>
        </w:rPr>
        <w:t xml:space="preserve">Data Sovereignty vs. Free Flow</w:t>
      </w:r>
      <w:r>
        <w:t xml:space="preserve">: China’s data localization conflicts with EU GDPR adequacy and US CLOUD Act</w:t>
      </w:r>
    </w:p>
    <w:p>
      <w:pPr>
        <w:numPr>
          <w:ilvl w:val="0"/>
          <w:numId w:val="1002"/>
        </w:numPr>
        <w:pStyle w:val="Compact"/>
      </w:pPr>
      <w:r>
        <w:rPr>
          <w:bCs/>
          <w:b/>
        </w:rPr>
        <w:t xml:space="preserve">Risk Classification Divergence</w:t>
      </w:r>
      <w:r>
        <w:t xml:space="preserve">: Same AI system may be</w:t>
      </w:r>
      <w:r>
        <w:t xml:space="preserve"> </w:t>
      </w:r>
      <w:r>
        <w:t xml:space="preserve">“</w:t>
      </w:r>
      <w:r>
        <w:t xml:space="preserve">high-risk</w:t>
      </w:r>
      <w:r>
        <w:t xml:space="preserve">”</w:t>
      </w:r>
      <w:r>
        <w:t xml:space="preserve"> </w:t>
      </w:r>
      <w:r>
        <w:t xml:space="preserve">in EU,</w:t>
      </w:r>
      <w:r>
        <w:t xml:space="preserve"> </w:t>
      </w:r>
      <w:r>
        <w:t xml:space="preserve">“</w:t>
      </w:r>
      <w:r>
        <w:t xml:space="preserve">high-impact</w:t>
      </w:r>
      <w:r>
        <w:t xml:space="preserve">”</w:t>
      </w:r>
      <w:r>
        <w:t xml:space="preserve"> </w:t>
      </w:r>
      <w:r>
        <w:t xml:space="preserve">in Korea, and unregulated in US</w:t>
      </w:r>
    </w:p>
    <w:p>
      <w:pPr>
        <w:numPr>
          <w:ilvl w:val="0"/>
          <w:numId w:val="1002"/>
        </w:numPr>
        <w:pStyle w:val="Compact"/>
      </w:pPr>
      <w:r>
        <w:rPr>
          <w:bCs/>
          <w:b/>
        </w:rPr>
        <w:t xml:space="preserve">Banned Practices Mismatch</w:t>
      </w:r>
      <w:r>
        <w:t xml:space="preserve">: Social scoring banned in EU but state-mandated in China; emotion recognition prohibited in EU schools but widely used in China</w:t>
      </w:r>
    </w:p>
    <w:p>
      <w:pPr>
        <w:numPr>
          <w:ilvl w:val="0"/>
          <w:numId w:val="1002"/>
        </w:numPr>
        <w:pStyle w:val="Compact"/>
      </w:pPr>
      <w:r>
        <w:rPr>
          <w:bCs/>
          <w:b/>
        </w:rPr>
        <w:t xml:space="preserve">Extraterritorial Overlap</w:t>
      </w:r>
      <w:r>
        <w:t xml:space="preserve">: EU AI Act and Korea AI Basic Act both claim extraterritorial reach</w:t>
      </w:r>
    </w:p>
    <w:p>
      <w:pPr>
        <w:numPr>
          <w:ilvl w:val="0"/>
          <w:numId w:val="1002"/>
        </w:numPr>
        <w:pStyle w:val="Compact"/>
      </w:pPr>
      <w:r>
        <w:rPr>
          <w:bCs/>
          <w:b/>
        </w:rPr>
        <w:t xml:space="preserve">Federal vs. State Fragmentation</w:t>
      </w:r>
      <w:r>
        <w:t xml:space="preserve">: US has 50+ state AI laws creating internal conflicts</w:t>
      </w:r>
    </w:p>
    <w:p>
      <w:r>
        <w:pict>
          <v:rect style="width:0;height:1.5pt" o:hralign="center" o:hrstd="t" o:hr="t"/>
        </w:pict>
      </w:r>
    </w:p>
    <w:bookmarkEnd w:id="22"/>
    <w:bookmarkEnd w:id="23"/>
    <w:bookmarkStart w:id="38" w:name="jurisdiction-conflict-matrix"/>
    <w:p>
      <w:pPr>
        <w:pStyle w:val="Heading2"/>
      </w:pPr>
      <w:r>
        <w:t xml:space="preserve">2. Jurisdiction Conflict Matrix</w:t>
      </w:r>
    </w:p>
    <w:p>
      <w:pPr>
        <w:pStyle w:val="FirstParagraph"/>
      </w:pPr>
      <w:r>
        <w:t xml:space="preserve">This matrix identifies specific regulatory conflicts for each pair of jurisdictions across industry categories.</w:t>
      </w:r>
    </w:p>
    <w:bookmarkStart w:id="24" w:name="conflict-severity-legend"/>
    <w:p>
      <w:pPr>
        <w:pStyle w:val="Heading3"/>
      </w:pPr>
      <w:r>
        <w:t xml:space="preserve">Conflict Severity Legend</w:t>
      </w:r>
    </w:p>
    <w:tbl>
      <w:tblPr>
        <w:tblStyle w:val="Table"/>
        <w:tblW w:type="pct" w:w="5000"/>
        <w:tblLook w:firstRow="1" w:lastRow="0" w:firstColumn="0" w:lastColumn="0" w:noHBand="0" w:noVBand="0" w:val="0020"/>
      </w:tblPr>
      <w:tblGrid>
        <w:gridCol w:w="3520"/>
        <w:gridCol w:w="4400"/>
      </w:tblGrid>
      <w:tr>
        <w:trPr>
          <w:tblHeader w:val="true"/>
        </w:trPr>
        <w:tc>
          <w:tcPr/>
          <w:p>
            <w:pPr>
              <w:pStyle w:val="Compact"/>
              <w:jc w:val="left"/>
            </w:pPr>
            <w:r>
              <w:t xml:space="preserve">Symbol</w:t>
            </w:r>
          </w:p>
        </w:tc>
        <w:tc>
          <w:tcPr/>
          <w:p>
            <w:pPr>
              <w:pStyle w:val="Compact"/>
              <w:jc w:val="left"/>
            </w:pPr>
            <w:r>
              <w:t xml:space="preserve">Severity</w:t>
            </w:r>
          </w:p>
        </w:tc>
      </w:tr>
      <w:tr>
        <w:tc>
          <w:tcPr/>
          <w:p>
            <w:pPr>
              <w:pStyle w:val="Compact"/>
              <w:jc w:val="left"/>
            </w:pPr>
            <w:r>
              <w:t xml:space="preserve">🔴 CRITICAL</w:t>
            </w:r>
          </w:p>
        </w:tc>
        <w:tc>
          <w:tcPr/>
          <w:p>
            <w:pPr>
              <w:pStyle w:val="Compact"/>
              <w:jc w:val="left"/>
            </w:pPr>
            <w:r>
              <w:t xml:space="preserve">Operationally impossible to comply with both simultaneously</w:t>
            </w:r>
          </w:p>
        </w:tc>
      </w:tr>
      <w:tr>
        <w:tc>
          <w:tcPr/>
          <w:p>
            <w:pPr>
              <w:pStyle w:val="Compact"/>
              <w:jc w:val="left"/>
            </w:pPr>
            <w:r>
              <w:t xml:space="preserve">🟠 HIGH</w:t>
            </w:r>
          </w:p>
        </w:tc>
        <w:tc>
          <w:tcPr/>
          <w:p>
            <w:pPr>
              <w:pStyle w:val="Compact"/>
              <w:jc w:val="left"/>
            </w:pPr>
            <w:r>
              <w:t xml:space="preserve">Significant compliance burden; may require separate product versions</w:t>
            </w:r>
          </w:p>
        </w:tc>
      </w:tr>
      <w:tr>
        <w:tc>
          <w:tcPr/>
          <w:p>
            <w:pPr>
              <w:pStyle w:val="Compact"/>
              <w:jc w:val="left"/>
            </w:pPr>
            <w:r>
              <w:t xml:space="preserve">🟡 MEDIUM</w:t>
            </w:r>
          </w:p>
        </w:tc>
        <w:tc>
          <w:tcPr/>
          <w:p>
            <w:pPr>
              <w:pStyle w:val="Compact"/>
              <w:jc w:val="left"/>
            </w:pPr>
            <w:r>
              <w:t xml:space="preserve">Manageable with dual compliance architecture</w:t>
            </w:r>
          </w:p>
        </w:tc>
      </w:tr>
      <w:tr>
        <w:tc>
          <w:tcPr/>
          <w:p>
            <w:pPr>
              <w:pStyle w:val="Compact"/>
              <w:jc w:val="left"/>
            </w:pPr>
            <w:r>
              <w:t xml:space="preserve">🟢 LOW</w:t>
            </w:r>
          </w:p>
        </w:tc>
        <w:tc>
          <w:tcPr/>
          <w:p>
            <w:pPr>
              <w:pStyle w:val="Compact"/>
              <w:jc w:val="left"/>
            </w:pPr>
            <w:r>
              <w:t xml:space="preserve">Minor differences; mostly harmonizable</w:t>
            </w:r>
          </w:p>
        </w:tc>
      </w:tr>
    </w:tbl>
    <w:p>
      <w:r>
        <w:pict>
          <v:rect style="width:0;height:1.5pt" o:hralign="center" o:hrstd="t" o:hr="t"/>
        </w:pict>
      </w:r>
    </w:p>
    <w:bookmarkEnd w:id="24"/>
    <w:bookmarkStart w:id="25" w:name="eu-united-states"/>
    <w:p>
      <w:pPr>
        <w:pStyle w:val="Heading3"/>
      </w:pPr>
      <w:r>
        <w:t xml:space="preserve">2.1 EU ↔ United States</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AI/ML (General)</w:t>
            </w:r>
          </w:p>
        </w:tc>
        <w:tc>
          <w:tcPr/>
          <w:p>
            <w:pPr>
              <w:pStyle w:val="Compact"/>
              <w:jc w:val="left"/>
            </w:pPr>
            <w:r>
              <w:t xml:space="preserve">EU AI Act risk classification vs. US voluntary NIST RMF</w:t>
            </w:r>
          </w:p>
        </w:tc>
        <w:tc>
          <w:tcPr/>
          <w:p>
            <w:pPr>
              <w:pStyle w:val="Compact"/>
              <w:jc w:val="left"/>
            </w:pPr>
            <w:r>
              <w:t xml:space="preserve">🟡 MEDIUM</w:t>
            </w:r>
          </w:p>
        </w:tc>
        <w:tc>
          <w:tcPr/>
          <w:p>
            <w:pPr>
              <w:pStyle w:val="Compact"/>
              <w:jc w:val="left"/>
            </w:pPr>
            <w:r>
              <w:t xml:space="preserve">EU mandates conformity assessment; US has no federal equivalent</w:t>
            </w:r>
          </w:p>
        </w:tc>
      </w:tr>
      <w:tr>
        <w:tc>
          <w:tcPr/>
          <w:p>
            <w:pPr>
              <w:pStyle w:val="Compact"/>
              <w:jc w:val="left"/>
            </w:pPr>
            <w:r>
              <w:rPr>
                <w:bCs/>
                <w:b/>
              </w:rPr>
              <w:t xml:space="preserve">Credit Scoring</w:t>
            </w:r>
          </w:p>
        </w:tc>
        <w:tc>
          <w:tcPr/>
          <w:p>
            <w:pPr>
              <w:pStyle w:val="Compact"/>
              <w:jc w:val="left"/>
            </w:pPr>
            <w:r>
              <w:t xml:space="preserve">EU explainability requirement vs. US FCRA</w:t>
            </w:r>
          </w:p>
        </w:tc>
        <w:tc>
          <w:tcPr/>
          <w:p>
            <w:pPr>
              <w:pStyle w:val="Compact"/>
              <w:jc w:val="left"/>
            </w:pPr>
            <w:r>
              <w:t xml:space="preserve">🟡 MEDIUM</w:t>
            </w:r>
          </w:p>
        </w:tc>
        <w:tc>
          <w:tcPr/>
          <w:p>
            <w:pPr>
              <w:pStyle w:val="Compact"/>
              <w:jc w:val="left"/>
            </w:pPr>
            <w:r>
              <w:t xml:space="preserve">EU requires extensive documentation; US focuses on adverse action notices</w:t>
            </w:r>
          </w:p>
        </w:tc>
      </w:tr>
      <w:tr>
        <w:tc>
          <w:tcPr/>
          <w:p>
            <w:pPr>
              <w:pStyle w:val="Compact"/>
              <w:jc w:val="left"/>
            </w:pPr>
            <w:r>
              <w:rPr>
                <w:bCs/>
                <w:b/>
              </w:rPr>
              <w:t xml:space="preserve">Healthcare AI</w:t>
            </w:r>
          </w:p>
        </w:tc>
        <w:tc>
          <w:tcPr/>
          <w:p>
            <w:pPr>
              <w:pStyle w:val="Compact"/>
              <w:jc w:val="left"/>
            </w:pPr>
            <w:r>
              <w:t xml:space="preserve">EU MDR/AI Act high-risk vs. FDA 510(k)</w:t>
            </w:r>
          </w:p>
        </w:tc>
        <w:tc>
          <w:tcPr/>
          <w:p>
            <w:pPr>
              <w:pStyle w:val="Compact"/>
              <w:jc w:val="left"/>
            </w:pPr>
            <w:r>
              <w:t xml:space="preserve">🟡 MEDIUM</w:t>
            </w:r>
          </w:p>
        </w:tc>
        <w:tc>
          <w:tcPr/>
          <w:p>
            <w:pPr>
              <w:pStyle w:val="Compact"/>
              <w:jc w:val="left"/>
            </w:pPr>
            <w:r>
              <w:t xml:space="preserve">Different clinical evidence standards; dual certification required</w:t>
            </w:r>
          </w:p>
        </w:tc>
      </w:tr>
      <w:tr>
        <w:tc>
          <w:tcPr/>
          <w:p>
            <w:pPr>
              <w:pStyle w:val="Compact"/>
              <w:jc w:val="left"/>
            </w:pPr>
            <w:r>
              <w:rPr>
                <w:bCs/>
                <w:b/>
              </w:rPr>
              <w:t xml:space="preserve">Data Transfers</w:t>
            </w:r>
          </w:p>
        </w:tc>
        <w:tc>
          <w:tcPr/>
          <w:p>
            <w:pPr>
              <w:pStyle w:val="Compact"/>
              <w:jc w:val="left"/>
            </w:pPr>
            <w:r>
              <w:t xml:space="preserve">GDPR Schrems II vs. US CLOUD Act</w:t>
            </w:r>
          </w:p>
        </w:tc>
        <w:tc>
          <w:tcPr/>
          <w:p>
            <w:pPr>
              <w:pStyle w:val="Compact"/>
              <w:jc w:val="left"/>
            </w:pPr>
            <w:r>
              <w:t xml:space="preserve">🟠 HIGH</w:t>
            </w:r>
          </w:p>
        </w:tc>
        <w:tc>
          <w:tcPr/>
          <w:p>
            <w:pPr>
              <w:pStyle w:val="Compact"/>
              <w:jc w:val="left"/>
            </w:pPr>
            <w:r>
              <w:t xml:space="preserve">EU data cannot easily flow to US; Supplementary Measures required</w:t>
            </w:r>
          </w:p>
        </w:tc>
      </w:tr>
      <w:tr>
        <w:tc>
          <w:tcPr/>
          <w:p>
            <w:pPr>
              <w:pStyle w:val="Compact"/>
              <w:jc w:val="left"/>
            </w:pPr>
            <w:r>
              <w:rPr>
                <w:bCs/>
                <w:b/>
              </w:rPr>
              <w:t xml:space="preserve">Surveillance AI</w:t>
            </w:r>
          </w:p>
        </w:tc>
        <w:tc>
          <w:tcPr/>
          <w:p>
            <w:pPr>
              <w:pStyle w:val="Compact"/>
              <w:jc w:val="left"/>
            </w:pPr>
            <w:r>
              <w:t xml:space="preserve">EU AI Act prohibits biometric ID in public</w:t>
            </w:r>
          </w:p>
        </w:tc>
        <w:tc>
          <w:tcPr/>
          <w:p>
            <w:pPr>
              <w:pStyle w:val="Compact"/>
              <w:jc w:val="left"/>
            </w:pPr>
            <w:r>
              <w:t xml:space="preserve">🟡 MEDIUM</w:t>
            </w:r>
          </w:p>
        </w:tc>
        <w:tc>
          <w:tcPr/>
          <w:p>
            <w:pPr>
              <w:pStyle w:val="Compact"/>
              <w:jc w:val="left"/>
            </w:pPr>
            <w:r>
              <w:t xml:space="preserve">US has no federal ban; state-level fragmentation</w:t>
            </w:r>
          </w:p>
        </w:tc>
      </w:tr>
      <w:tr>
        <w:tc>
          <w:tcPr/>
          <w:p>
            <w:pPr>
              <w:pStyle w:val="Compact"/>
              <w:jc w:val="left"/>
            </w:pPr>
            <w:r>
              <w:rPr>
                <w:bCs/>
                <w:b/>
              </w:rPr>
              <w:t xml:space="preserve">Social Media</w:t>
            </w:r>
          </w:p>
        </w:tc>
        <w:tc>
          <w:tcPr/>
          <w:p>
            <w:pPr>
              <w:pStyle w:val="Compact"/>
              <w:jc w:val="left"/>
            </w:pPr>
            <w:r>
              <w:t xml:space="preserve">EU DSA algorithmic transparency vs. US Section 230</w:t>
            </w:r>
          </w:p>
        </w:tc>
        <w:tc>
          <w:tcPr/>
          <w:p>
            <w:pPr>
              <w:pStyle w:val="Compact"/>
              <w:jc w:val="left"/>
            </w:pPr>
            <w:r>
              <w:t xml:space="preserve">🟡 MEDIUM</w:t>
            </w:r>
          </w:p>
        </w:tc>
        <w:tc>
          <w:tcPr/>
          <w:p>
            <w:pPr>
              <w:pStyle w:val="Compact"/>
              <w:jc w:val="left"/>
            </w:pPr>
            <w:r>
              <w:t xml:space="preserve">DSA requires disclosure; Section 230 shields from liability</w:t>
            </w:r>
          </w:p>
        </w:tc>
      </w:tr>
      <w:tr>
        <w:tc>
          <w:tcPr/>
          <w:p>
            <w:pPr>
              <w:pStyle w:val="Compact"/>
              <w:jc w:val="left"/>
            </w:pPr>
            <w:r>
              <w:rPr>
                <w:bCs/>
                <w:b/>
              </w:rPr>
              <w:t xml:space="preserve">Gaming AI</w:t>
            </w:r>
          </w:p>
        </w:tc>
        <w:tc>
          <w:tcPr/>
          <w:p>
            <w:pPr>
              <w:pStyle w:val="Compact"/>
              <w:jc w:val="left"/>
            </w:pPr>
            <w:r>
              <w:t xml:space="preserve">EU AI Act bans manipulative AI techniques</w:t>
            </w:r>
          </w:p>
        </w:tc>
        <w:tc>
          <w:tcPr/>
          <w:p>
            <w:pPr>
              <w:pStyle w:val="Compact"/>
              <w:jc w:val="left"/>
            </w:pPr>
            <w:r>
              <w:t xml:space="preserve">🟡 MEDIUM</w:t>
            </w:r>
          </w:p>
        </w:tc>
        <w:tc>
          <w:tcPr/>
          <w:p>
            <w:pPr>
              <w:pStyle w:val="Compact"/>
              <w:jc w:val="left"/>
            </w:pPr>
            <w:r>
              <w:t xml:space="preserve">US has no equivalent federal prohibition</w:t>
            </w:r>
          </w:p>
        </w:tc>
      </w:tr>
      <w:tr>
        <w:tc>
          <w:tcPr/>
          <w:p>
            <w:pPr>
              <w:pStyle w:val="Compact"/>
              <w:jc w:val="left"/>
            </w:pPr>
            <w:r>
              <w:rPr>
                <w:bCs/>
                <w:b/>
              </w:rPr>
              <w:t xml:space="preserve">Education AI</w:t>
            </w:r>
          </w:p>
        </w:tc>
        <w:tc>
          <w:tcPr/>
          <w:p>
            <w:pPr>
              <w:pStyle w:val="Compact"/>
              <w:jc w:val="left"/>
            </w:pPr>
            <w:r>
              <w:t xml:space="preserve">EU AI Act HIGH-RISK for grading AI; FERPA</w:t>
            </w:r>
          </w:p>
        </w:tc>
        <w:tc>
          <w:tcPr/>
          <w:p>
            <w:pPr>
              <w:pStyle w:val="Compact"/>
              <w:jc w:val="left"/>
            </w:pPr>
            <w:r>
              <w:t xml:space="preserve">🟡 MEDIUM</w:t>
            </w:r>
          </w:p>
        </w:tc>
        <w:tc>
          <w:tcPr/>
          <w:p>
            <w:pPr>
              <w:pStyle w:val="Compact"/>
              <w:jc w:val="left"/>
            </w:pPr>
            <w:r>
              <w:t xml:space="preserve">Different student data protections</w:t>
            </w:r>
          </w:p>
        </w:tc>
      </w:tr>
    </w:tbl>
    <w:p>
      <w:pPr>
        <w:pStyle w:val="BodyText"/>
      </w:pPr>
      <w:r>
        <w:rPr>
          <w:bCs/>
          <w:b/>
        </w:rPr>
        <w:t xml:space="preserve">Example Conflict</w:t>
      </w:r>
      <w:r>
        <w:t xml:space="preserve">:</w:t>
      </w:r>
      <w:r>
        <w:t xml:space="preserve"> </w:t>
      </w:r>
      <w:r>
        <w:rPr>
          <w:iCs/>
          <w:i/>
        </w:rPr>
        <w:t xml:space="preserve">EU AI Act requires explainability for credit scoring AI, but US has no such federal requirement – conflict when US fintech serves EU customers. Must implement dual-model architecture with EU-compliant explainable AI branch.</w:t>
      </w:r>
    </w:p>
    <w:p>
      <w:r>
        <w:pict>
          <v:rect style="width:0;height:1.5pt" o:hralign="center" o:hrstd="t" o:hr="t"/>
        </w:pict>
      </w:r>
    </w:p>
    <w:bookmarkEnd w:id="25"/>
    <w:bookmarkStart w:id="26" w:name="eu-china"/>
    <w:p>
      <w:pPr>
        <w:pStyle w:val="Heading3"/>
      </w:pPr>
      <w:r>
        <w:t xml:space="preserve">2.2 EU ↔ China</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AI/ML (General)</w:t>
            </w:r>
          </w:p>
        </w:tc>
        <w:tc>
          <w:tcPr/>
          <w:p>
            <w:pPr>
              <w:pStyle w:val="Compact"/>
              <w:jc w:val="left"/>
            </w:pPr>
            <w:r>
              <w:t xml:space="preserve">EU AI Act vs. CAC Algorithm Regulations</w:t>
            </w:r>
          </w:p>
        </w:tc>
        <w:tc>
          <w:tcPr/>
          <w:p>
            <w:pPr>
              <w:pStyle w:val="Compact"/>
              <w:jc w:val="left"/>
            </w:pPr>
            <w:r>
              <w:t xml:space="preserve">🟠 HIGH</w:t>
            </w:r>
          </w:p>
        </w:tc>
        <w:tc>
          <w:tcPr/>
          <w:p>
            <w:pPr>
              <w:pStyle w:val="Compact"/>
              <w:jc w:val="left"/>
            </w:pPr>
            <w:r>
              <w:t xml:space="preserve">Both require algorithm filing but standards differ; content rules conflict</w:t>
            </w:r>
          </w:p>
        </w:tc>
      </w:tr>
      <w:tr>
        <w:tc>
          <w:tcPr/>
          <w:p>
            <w:pPr>
              <w:pStyle w:val="Compact"/>
              <w:jc w:val="left"/>
            </w:pPr>
            <w:r>
              <w:rPr>
                <w:bCs/>
                <w:b/>
              </w:rPr>
              <w:t xml:space="preserve">Data Transfers</w:t>
            </w:r>
          </w:p>
        </w:tc>
        <w:tc>
          <w:tcPr/>
          <w:p>
            <w:pPr>
              <w:pStyle w:val="Compact"/>
              <w:jc w:val="left"/>
            </w:pPr>
            <w:r>
              <w:t xml:space="preserve">GDPR vs. Chinese DSL/PIPL</w:t>
            </w:r>
          </w:p>
        </w:tc>
        <w:tc>
          <w:tcPr/>
          <w:p>
            <w:pPr>
              <w:pStyle w:val="Compact"/>
              <w:jc w:val="left"/>
            </w:pPr>
            <w:r>
              <w:t xml:space="preserve">🔴 CRITICAL</w:t>
            </w:r>
          </w:p>
        </w:tc>
        <w:tc>
          <w:tcPr/>
          <w:p>
            <w:pPr>
              <w:pStyle w:val="Compact"/>
              <w:jc w:val="left"/>
            </w:pPr>
            <w:r>
              <w:t xml:space="preserve">Complete deadlock; no adequacy decision; data cannot freely flow either direction</w:t>
            </w:r>
          </w:p>
        </w:tc>
      </w:tr>
      <w:tr>
        <w:tc>
          <w:tcPr/>
          <w:p>
            <w:pPr>
              <w:pStyle w:val="Compact"/>
              <w:jc w:val="left"/>
            </w:pPr>
            <w:r>
              <w:rPr>
                <w:bCs/>
                <w:b/>
              </w:rPr>
              <w:t xml:space="preserve">Surveillance AI</w:t>
            </w:r>
          </w:p>
        </w:tc>
        <w:tc>
          <w:tcPr/>
          <w:p>
            <w:pPr>
              <w:pStyle w:val="Compact"/>
              <w:jc w:val="left"/>
            </w:pPr>
            <w:r>
              <w:t xml:space="preserve">EU prohibits biometric ID; China mandates it</w:t>
            </w:r>
          </w:p>
        </w:tc>
        <w:tc>
          <w:tcPr/>
          <w:p>
            <w:pPr>
              <w:pStyle w:val="Compact"/>
              <w:jc w:val="left"/>
            </w:pPr>
            <w:r>
              <w:t xml:space="preserve">🔴 CRITICAL</w:t>
            </w:r>
          </w:p>
        </w:tc>
        <w:tc>
          <w:tcPr/>
          <w:p>
            <w:pPr>
              <w:pStyle w:val="Compact"/>
              <w:jc w:val="left"/>
            </w:pPr>
            <w:r>
              <w:t xml:space="preserve">EU AI Act Art. 5 bans real-time biometric ID; China’s Smart City requires it</w:t>
            </w:r>
          </w:p>
        </w:tc>
      </w:tr>
      <w:tr>
        <w:tc>
          <w:tcPr/>
          <w:p>
            <w:pPr>
              <w:pStyle w:val="Compact"/>
              <w:jc w:val="left"/>
            </w:pPr>
            <w:r>
              <w:rPr>
                <w:bCs/>
                <w:b/>
              </w:rPr>
              <w:t xml:space="preserve">Social Scoring</w:t>
            </w:r>
          </w:p>
        </w:tc>
        <w:tc>
          <w:tcPr/>
          <w:p>
            <w:pPr>
              <w:pStyle w:val="Compact"/>
              <w:jc w:val="left"/>
            </w:pPr>
            <w:r>
              <w:t xml:space="preserve">EU prohibits; China state-mandated</w:t>
            </w:r>
          </w:p>
        </w:tc>
        <w:tc>
          <w:tcPr/>
          <w:p>
            <w:pPr>
              <w:pStyle w:val="Compact"/>
              <w:jc w:val="left"/>
            </w:pPr>
            <w:r>
              <w:t xml:space="preserve">🔴 CRITICAL</w:t>
            </w:r>
          </w:p>
        </w:tc>
        <w:tc>
          <w:tcPr/>
          <w:p>
            <w:pPr>
              <w:pStyle w:val="Compact"/>
              <w:jc w:val="left"/>
            </w:pPr>
            <w:r>
              <w:t xml:space="preserve">EU AI Act bans social scoring; China’s Social Credit System uses it</w:t>
            </w:r>
          </w:p>
        </w:tc>
      </w:tr>
      <w:tr>
        <w:tc>
          <w:tcPr/>
          <w:p>
            <w:pPr>
              <w:pStyle w:val="Compact"/>
              <w:jc w:val="left"/>
            </w:pPr>
            <w:r>
              <w:rPr>
                <w:bCs/>
                <w:b/>
              </w:rPr>
              <w:t xml:space="preserve">Gaming</w:t>
            </w:r>
          </w:p>
        </w:tc>
        <w:tc>
          <w:tcPr/>
          <w:p>
            <w:pPr>
              <w:pStyle w:val="Compact"/>
              <w:jc w:val="left"/>
            </w:pPr>
            <w:r>
              <w:t xml:space="preserve">EU DSA transparency vs. Chinese censorship</w:t>
            </w:r>
          </w:p>
        </w:tc>
        <w:tc>
          <w:tcPr/>
          <w:p>
            <w:pPr>
              <w:pStyle w:val="Compact"/>
              <w:jc w:val="left"/>
            </w:pPr>
            <w:r>
              <w:t xml:space="preserve">🟠 HIGH</w:t>
            </w:r>
          </w:p>
        </w:tc>
        <w:tc>
          <w:tcPr/>
          <w:p>
            <w:pPr>
              <w:pStyle w:val="Compact"/>
              <w:jc w:val="left"/>
            </w:pPr>
            <w:r>
              <w:t xml:space="preserve">DSA requires algorithm disclosure; Chinese content rules require opacity</w:t>
            </w:r>
          </w:p>
        </w:tc>
      </w:tr>
      <w:tr>
        <w:tc>
          <w:tcPr/>
          <w:p>
            <w:pPr>
              <w:pStyle w:val="Compact"/>
              <w:jc w:val="left"/>
            </w:pPr>
            <w:r>
              <w:rPr>
                <w:bCs/>
                <w:b/>
              </w:rPr>
              <w:t xml:space="preserve">Healthcare</w:t>
            </w:r>
          </w:p>
        </w:tc>
        <w:tc>
          <w:tcPr/>
          <w:p>
            <w:pPr>
              <w:pStyle w:val="Compact"/>
              <w:jc w:val="left"/>
            </w:pPr>
            <w:r>
              <w:t xml:space="preserve">GDPR genetic data vs. Chinese HGR</w:t>
            </w:r>
          </w:p>
        </w:tc>
        <w:tc>
          <w:tcPr/>
          <w:p>
            <w:pPr>
              <w:pStyle w:val="Compact"/>
              <w:jc w:val="left"/>
            </w:pPr>
            <w:r>
              <w:t xml:space="preserve">🟠 HIGH</w:t>
            </w:r>
          </w:p>
        </w:tc>
        <w:tc>
          <w:tcPr/>
          <w:p>
            <w:pPr>
              <w:pStyle w:val="Compact"/>
              <w:jc w:val="left"/>
            </w:pPr>
            <w:r>
              <w:t xml:space="preserve">China’s Human Genetic Resources restricts export; GDPR Art. 9 restricts processing</w:t>
            </w:r>
          </w:p>
        </w:tc>
      </w:tr>
      <w:tr>
        <w:tc>
          <w:tcPr/>
          <w:p>
            <w:pPr>
              <w:pStyle w:val="Compact"/>
              <w:jc w:val="left"/>
            </w:pPr>
            <w:r>
              <w:rPr>
                <w:bCs/>
                <w:b/>
              </w:rPr>
              <w:t xml:space="preserve">Humanoid Robotics</w:t>
            </w:r>
          </w:p>
        </w:tc>
        <w:tc>
          <w:tcPr/>
          <w:p>
            <w:pPr>
              <w:pStyle w:val="Compact"/>
              <w:jc w:val="left"/>
            </w:pPr>
            <w:r>
              <w:t xml:space="preserve">EU Machinery Regulation vs. no Chinese equivalent</w:t>
            </w:r>
          </w:p>
        </w:tc>
        <w:tc>
          <w:tcPr/>
          <w:p>
            <w:pPr>
              <w:pStyle w:val="Compact"/>
              <w:jc w:val="left"/>
            </w:pPr>
            <w:r>
              <w:t xml:space="preserve">🟡 MEDIUM</w:t>
            </w:r>
          </w:p>
        </w:tc>
        <w:tc>
          <w:tcPr/>
          <w:p>
            <w:pPr>
              <w:pStyle w:val="Compact"/>
              <w:jc w:val="left"/>
            </w:pPr>
            <w:r>
              <w:t xml:space="preserve">CE marking required; China has GB/T standards but no mutual recognition</w:t>
            </w:r>
          </w:p>
        </w:tc>
      </w:tr>
      <w:tr>
        <w:tc>
          <w:tcPr/>
          <w:p>
            <w:pPr>
              <w:pStyle w:val="Compact"/>
              <w:jc w:val="left"/>
            </w:pPr>
            <w:r>
              <w:rPr>
                <w:bCs/>
                <w:b/>
              </w:rPr>
              <w:t xml:space="preserve">Pharma AI</w:t>
            </w:r>
          </w:p>
        </w:tc>
        <w:tc>
          <w:tcPr/>
          <w:p>
            <w:pPr>
              <w:pStyle w:val="Compact"/>
              <w:jc w:val="left"/>
            </w:pPr>
            <w:r>
              <w:t xml:space="preserve">EMA vs. NMPA data requirements</w:t>
            </w:r>
          </w:p>
        </w:tc>
        <w:tc>
          <w:tcPr/>
          <w:p>
            <w:pPr>
              <w:pStyle w:val="Compact"/>
              <w:jc w:val="left"/>
            </w:pPr>
            <w:r>
              <w:t xml:space="preserve">🟡 MEDIUM</w:t>
            </w:r>
          </w:p>
        </w:tc>
        <w:tc>
          <w:tcPr/>
          <w:p>
            <w:pPr>
              <w:pStyle w:val="Compact"/>
              <w:jc w:val="left"/>
            </w:pPr>
            <w:r>
              <w:t xml:space="preserve">NMPA requires China-origin clinical data</w:t>
            </w:r>
          </w:p>
        </w:tc>
      </w:tr>
    </w:tbl>
    <w:p>
      <w:pPr>
        <w:pStyle w:val="BodyText"/>
      </w:pPr>
      <w:r>
        <w:rPr>
          <w:bCs/>
          <w:b/>
        </w:rPr>
        <w:t xml:space="preserve">Example Conflict</w:t>
      </w:r>
      <w:r>
        <w:t xml:space="preserve">:</w:t>
      </w:r>
      <w:r>
        <w:t xml:space="preserve"> </w:t>
      </w:r>
      <w:r>
        <w:rPr>
          <w:iCs/>
          <w:i/>
        </w:rPr>
        <w:t xml:space="preserve">Chinese humanoid robot (regulated by MIIT/CAC algorithm rules) deployed in UK factory must comply with EU-equivalent HSE/AI White Paper AND file algorithms in China while keeping data localized per DSL – triple compliance burden.</w:t>
      </w:r>
    </w:p>
    <w:p>
      <w:r>
        <w:pict>
          <v:rect style="width:0;height:1.5pt" o:hralign="center" o:hrstd="t" o:hr="t"/>
        </w:pict>
      </w:r>
    </w:p>
    <w:bookmarkEnd w:id="26"/>
    <w:bookmarkStart w:id="27" w:name="us-china"/>
    <w:p>
      <w:pPr>
        <w:pStyle w:val="Heading3"/>
      </w:pPr>
      <w:r>
        <w:t xml:space="preserve">2.3 US ↔ China</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Semiconductors</w:t>
            </w:r>
          </w:p>
        </w:tc>
        <w:tc>
          <w:tcPr/>
          <w:p>
            <w:pPr>
              <w:pStyle w:val="Compact"/>
              <w:jc w:val="left"/>
            </w:pPr>
            <w:r>
              <w:t xml:space="preserve">US CHIPS Act/EAR vs. Chinese Big Fund</w:t>
            </w:r>
          </w:p>
        </w:tc>
        <w:tc>
          <w:tcPr/>
          <w:p>
            <w:pPr>
              <w:pStyle w:val="Compact"/>
              <w:jc w:val="left"/>
            </w:pPr>
            <w:r>
              <w:t xml:space="preserve">🔴 CRITICAL</w:t>
            </w:r>
          </w:p>
        </w:tc>
        <w:tc>
          <w:tcPr/>
          <w:p>
            <w:pPr>
              <w:pStyle w:val="Compact"/>
              <w:jc w:val="left"/>
            </w:pPr>
            <w:r>
              <w:t xml:space="preserve">Export controls prohibit advanced chip sales; China pursuing self-sufficiency</w:t>
            </w:r>
          </w:p>
        </w:tc>
      </w:tr>
      <w:tr>
        <w:tc>
          <w:tcPr/>
          <w:p>
            <w:pPr>
              <w:pStyle w:val="Compact"/>
              <w:jc w:val="left"/>
            </w:pPr>
            <w:r>
              <w:rPr>
                <w:bCs/>
                <w:b/>
              </w:rPr>
              <w:t xml:space="preserve">Data Transfers</w:t>
            </w:r>
          </w:p>
        </w:tc>
        <w:tc>
          <w:tcPr/>
          <w:p>
            <w:pPr>
              <w:pStyle w:val="Compact"/>
              <w:jc w:val="left"/>
            </w:pPr>
            <w:r>
              <w:t xml:space="preserve">US CLOUD Act vs. Chinese DSL/PIPL</w:t>
            </w:r>
          </w:p>
        </w:tc>
        <w:tc>
          <w:tcPr/>
          <w:p>
            <w:pPr>
              <w:pStyle w:val="Compact"/>
              <w:jc w:val="left"/>
            </w:pPr>
            <w:r>
              <w:t xml:space="preserve">🔴 CRITICAL</w:t>
            </w:r>
          </w:p>
        </w:tc>
        <w:tc>
          <w:tcPr/>
          <w:p>
            <w:pPr>
              <w:pStyle w:val="Compact"/>
              <w:jc w:val="left"/>
            </w:pPr>
            <w:r>
              <w:t xml:space="preserve">US government data access conflicts with Chinese data localization</w:t>
            </w:r>
          </w:p>
        </w:tc>
      </w:tr>
      <w:tr>
        <w:tc>
          <w:tcPr/>
          <w:p>
            <w:pPr>
              <w:pStyle w:val="Compact"/>
              <w:jc w:val="left"/>
            </w:pPr>
            <w:r>
              <w:rPr>
                <w:bCs/>
                <w:b/>
              </w:rPr>
              <w:t xml:space="preserve">AI/ML</w:t>
            </w:r>
          </w:p>
        </w:tc>
        <w:tc>
          <w:tcPr/>
          <w:p>
            <w:pPr>
              <w:pStyle w:val="Compact"/>
              <w:jc w:val="left"/>
            </w:pPr>
            <w:r>
              <w:t xml:space="preserve">No US federal law vs. CAC comprehensive rules</w:t>
            </w:r>
          </w:p>
        </w:tc>
        <w:tc>
          <w:tcPr/>
          <w:p>
            <w:pPr>
              <w:pStyle w:val="Compact"/>
              <w:jc w:val="left"/>
            </w:pPr>
            <w:r>
              <w:t xml:space="preserve">🟡 MEDIUM</w:t>
            </w:r>
          </w:p>
        </w:tc>
        <w:tc>
          <w:tcPr/>
          <w:p>
            <w:pPr>
              <w:pStyle w:val="Compact"/>
              <w:jc w:val="left"/>
            </w:pPr>
            <w:r>
              <w:t xml:space="preserve">Chinese AI companies face US CFIUS; US AI companies face Chinese filing requirements</w:t>
            </w:r>
          </w:p>
        </w:tc>
      </w:tr>
      <w:tr>
        <w:tc>
          <w:tcPr/>
          <w:p>
            <w:pPr>
              <w:pStyle w:val="Compact"/>
              <w:jc w:val="left"/>
            </w:pPr>
            <w:r>
              <w:rPr>
                <w:bCs/>
                <w:b/>
              </w:rPr>
              <w:t xml:space="preserve">Social Media</w:t>
            </w:r>
          </w:p>
        </w:tc>
        <w:tc>
          <w:tcPr/>
          <w:p>
            <w:pPr>
              <w:pStyle w:val="Compact"/>
              <w:jc w:val="left"/>
            </w:pPr>
            <w:r>
              <w:t xml:space="preserve">TikTok/WeChat bans vs. Chinese content rules</w:t>
            </w:r>
          </w:p>
        </w:tc>
        <w:tc>
          <w:tcPr/>
          <w:p>
            <w:pPr>
              <w:pStyle w:val="Compact"/>
              <w:jc w:val="left"/>
            </w:pPr>
            <w:r>
              <w:t xml:space="preserve">🟠 HIGH</w:t>
            </w:r>
          </w:p>
        </w:tc>
        <w:tc>
          <w:tcPr/>
          <w:p>
            <w:pPr>
              <w:pStyle w:val="Compact"/>
              <w:jc w:val="left"/>
            </w:pPr>
            <w:r>
              <w:t xml:space="preserve">US data sovereignty demands conflict with Chinese cybersecurity law access</w:t>
            </w:r>
          </w:p>
        </w:tc>
      </w:tr>
      <w:tr>
        <w:tc>
          <w:tcPr/>
          <w:p>
            <w:pPr>
              <w:pStyle w:val="Compact"/>
              <w:jc w:val="left"/>
            </w:pPr>
            <w:r>
              <w:rPr>
                <w:bCs/>
                <w:b/>
              </w:rPr>
              <w:t xml:space="preserve">Crypto</w:t>
            </w:r>
          </w:p>
        </w:tc>
        <w:tc>
          <w:tcPr/>
          <w:p>
            <w:pPr>
              <w:pStyle w:val="Compact"/>
              <w:jc w:val="left"/>
            </w:pPr>
            <w:r>
              <w:t xml:space="preserve">US GENIUS Act vs. Chinese crypto ban</w:t>
            </w:r>
          </w:p>
        </w:tc>
        <w:tc>
          <w:tcPr/>
          <w:p>
            <w:pPr>
              <w:pStyle w:val="Compact"/>
              <w:jc w:val="left"/>
            </w:pPr>
            <w:r>
              <w:t xml:space="preserve">🟠 HIGH</w:t>
            </w:r>
          </w:p>
        </w:tc>
        <w:tc>
          <w:tcPr/>
          <w:p>
            <w:pPr>
              <w:pStyle w:val="Compact"/>
              <w:jc w:val="left"/>
            </w:pPr>
            <w:r>
              <w:t xml:space="preserve">Complete incompatibility for digital asset businesses</w:t>
            </w:r>
          </w:p>
        </w:tc>
      </w:tr>
      <w:tr>
        <w:tc>
          <w:tcPr/>
          <w:p>
            <w:pPr>
              <w:pStyle w:val="Compact"/>
              <w:jc w:val="left"/>
            </w:pPr>
            <w:r>
              <w:rPr>
                <w:bCs/>
                <w:b/>
              </w:rPr>
              <w:t xml:space="preserve">Autonomous Vehicles</w:t>
            </w:r>
          </w:p>
        </w:tc>
        <w:tc>
          <w:tcPr/>
          <w:p>
            <w:pPr>
              <w:pStyle w:val="Compact"/>
              <w:jc w:val="left"/>
            </w:pPr>
            <w:r>
              <w:t xml:space="preserve">NHTSA guidelines vs. Chinese city-permit system</w:t>
            </w:r>
          </w:p>
        </w:tc>
        <w:tc>
          <w:tcPr/>
          <w:p>
            <w:pPr>
              <w:pStyle w:val="Compact"/>
              <w:jc w:val="left"/>
            </w:pPr>
            <w:r>
              <w:t xml:space="preserve">🟡 MEDIUM</w:t>
            </w:r>
          </w:p>
        </w:tc>
        <w:tc>
          <w:tcPr/>
          <w:p>
            <w:pPr>
              <w:pStyle w:val="Compact"/>
              <w:jc w:val="left"/>
            </w:pPr>
            <w:r>
              <w:t xml:space="preserve">Different certification approaches; data transfer restrictions</w:t>
            </w:r>
          </w:p>
        </w:tc>
      </w:tr>
    </w:tbl>
    <w:p>
      <w:pPr>
        <w:pStyle w:val="BodyText"/>
      </w:pPr>
      <w:r>
        <w:rPr>
          <w:bCs/>
          <w:b/>
        </w:rPr>
        <w:t xml:space="preserve">Example Conflict</w:t>
      </w:r>
      <w:r>
        <w:t xml:space="preserve">:</w:t>
      </w:r>
      <w:r>
        <w:t xml:space="preserve"> </w:t>
      </w:r>
      <w:r>
        <w:rPr>
          <w:iCs/>
          <w:i/>
        </w:rPr>
        <w:t xml:space="preserve">US AV (NHTSA/FMVSS) driving in China must comply with provincial city-by-city permits AND restrict cross-border data transfer per Data Security Law, making continuous improvement loops from Chinese operations data nearly impossible.</w:t>
      </w:r>
    </w:p>
    <w:p>
      <w:r>
        <w:pict>
          <v:rect style="width:0;height:1.5pt" o:hralign="center" o:hrstd="t" o:hr="t"/>
        </w:pict>
      </w:r>
    </w:p>
    <w:bookmarkEnd w:id="27"/>
    <w:bookmarkStart w:id="28" w:name="uk-eu-post-brexit"/>
    <w:p>
      <w:pPr>
        <w:pStyle w:val="Heading3"/>
      </w:pPr>
      <w:r>
        <w:t xml:space="preserve">2.4 UK ↔ EU (Post-Brexit)</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All AI</w:t>
            </w:r>
          </w:p>
        </w:tc>
        <w:tc>
          <w:tcPr/>
          <w:p>
            <w:pPr>
              <w:pStyle w:val="Compact"/>
              <w:jc w:val="left"/>
            </w:pPr>
            <w:r>
              <w:t xml:space="preserve">EU AI Act binding vs. UK principles-based</w:t>
            </w:r>
          </w:p>
        </w:tc>
        <w:tc>
          <w:tcPr/>
          <w:p>
            <w:pPr>
              <w:pStyle w:val="Compact"/>
              <w:jc w:val="left"/>
            </w:pPr>
            <w:r>
              <w:t xml:space="preserve">🟡 MEDIUM</w:t>
            </w:r>
          </w:p>
        </w:tc>
        <w:tc>
          <w:tcPr/>
          <w:p>
            <w:pPr>
              <w:pStyle w:val="Compact"/>
              <w:jc w:val="left"/>
            </w:pPr>
            <w:r>
              <w:t xml:space="preserve">UK AI White Paper is voluntary; divergence growing as EU rules harden</w:t>
            </w:r>
          </w:p>
        </w:tc>
      </w:tr>
      <w:tr>
        <w:tc>
          <w:tcPr/>
          <w:p>
            <w:pPr>
              <w:pStyle w:val="Compact"/>
              <w:jc w:val="left"/>
            </w:pPr>
            <w:r>
              <w:rPr>
                <w:bCs/>
                <w:b/>
              </w:rPr>
              <w:t xml:space="preserve">Data Transfers</w:t>
            </w:r>
          </w:p>
        </w:tc>
        <w:tc>
          <w:tcPr/>
          <w:p>
            <w:pPr>
              <w:pStyle w:val="Compact"/>
              <w:jc w:val="left"/>
            </w:pPr>
            <w:r>
              <w:t xml:space="preserve">UK GDPR adequacy vs. EU data flows</w:t>
            </w:r>
          </w:p>
        </w:tc>
        <w:tc>
          <w:tcPr/>
          <w:p>
            <w:pPr>
              <w:pStyle w:val="Compact"/>
              <w:jc w:val="left"/>
            </w:pPr>
            <w:r>
              <w:t xml:space="preserve">🟢 LOW</w:t>
            </w:r>
          </w:p>
        </w:tc>
        <w:tc>
          <w:tcPr/>
          <w:p>
            <w:pPr>
              <w:pStyle w:val="Compact"/>
              <w:jc w:val="left"/>
            </w:pPr>
            <w:r>
              <w:t xml:space="preserve">Current adequacy decision in place but under review</w:t>
            </w:r>
          </w:p>
        </w:tc>
      </w:tr>
      <w:tr>
        <w:tc>
          <w:tcPr/>
          <w:p>
            <w:pPr>
              <w:pStyle w:val="Compact"/>
              <w:jc w:val="left"/>
            </w:pPr>
            <w:r>
              <w:rPr>
                <w:bCs/>
                <w:b/>
              </w:rPr>
              <w:t xml:space="preserve">Financial Services</w:t>
            </w:r>
          </w:p>
        </w:tc>
        <w:tc>
          <w:tcPr/>
          <w:p>
            <w:pPr>
              <w:pStyle w:val="Compact"/>
              <w:jc w:val="left"/>
            </w:pPr>
            <w:r>
              <w:t xml:space="preserve">DORA vs. UK NIS regulations</w:t>
            </w:r>
          </w:p>
        </w:tc>
        <w:tc>
          <w:tcPr/>
          <w:p>
            <w:pPr>
              <w:pStyle w:val="Compact"/>
              <w:jc w:val="left"/>
            </w:pPr>
            <w:r>
              <w:t xml:space="preserve">🟡 MEDIUM</w:t>
            </w:r>
          </w:p>
        </w:tc>
        <w:tc>
          <w:tcPr/>
          <w:p>
            <w:pPr>
              <w:pStyle w:val="Compact"/>
              <w:jc w:val="left"/>
            </w:pPr>
            <w:r>
              <w:t xml:space="preserve">Diverging ICT risk management requirements</w:t>
            </w:r>
          </w:p>
        </w:tc>
      </w:tr>
      <w:tr>
        <w:tc>
          <w:tcPr/>
          <w:p>
            <w:pPr>
              <w:pStyle w:val="Compact"/>
              <w:jc w:val="left"/>
            </w:pPr>
            <w:r>
              <w:rPr>
                <w:bCs/>
                <w:b/>
              </w:rPr>
              <w:t xml:space="preserve">Medical Devices</w:t>
            </w:r>
          </w:p>
        </w:tc>
        <w:tc>
          <w:tcPr/>
          <w:p>
            <w:pPr>
              <w:pStyle w:val="Compact"/>
              <w:jc w:val="left"/>
            </w:pPr>
            <w:r>
              <w:t xml:space="preserve">EU MDR vs. UK MDR 2002</w:t>
            </w:r>
          </w:p>
        </w:tc>
        <w:tc>
          <w:tcPr/>
          <w:p>
            <w:pPr>
              <w:pStyle w:val="Compact"/>
              <w:jc w:val="left"/>
            </w:pPr>
            <w:r>
              <w:t xml:space="preserve">🟡 MEDIUM</w:t>
            </w:r>
          </w:p>
        </w:tc>
        <w:tc>
          <w:tcPr/>
          <w:p>
            <w:pPr>
              <w:pStyle w:val="Compact"/>
              <w:jc w:val="left"/>
            </w:pPr>
            <w:r>
              <w:t xml:space="preserve">Separate conformity assessments needed</w:t>
            </w:r>
          </w:p>
        </w:tc>
      </w:tr>
      <w:tr>
        <w:tc>
          <w:tcPr/>
          <w:p>
            <w:pPr>
              <w:pStyle w:val="Compact"/>
              <w:jc w:val="left"/>
            </w:pPr>
            <w:r>
              <w:rPr>
                <w:bCs/>
                <w:b/>
              </w:rPr>
              <w:t xml:space="preserve">Clinical Trials</w:t>
            </w:r>
          </w:p>
        </w:tc>
        <w:tc>
          <w:tcPr/>
          <w:p>
            <w:pPr>
              <w:pStyle w:val="Compact"/>
              <w:jc w:val="left"/>
            </w:pPr>
            <w:r>
              <w:t xml:space="preserve">EU CTIS vs. UK MHRA standalone</w:t>
            </w:r>
          </w:p>
        </w:tc>
        <w:tc>
          <w:tcPr/>
          <w:p>
            <w:pPr>
              <w:pStyle w:val="Compact"/>
              <w:jc w:val="left"/>
            </w:pPr>
            <w:r>
              <w:t xml:space="preserve">🟡 MEDIUM</w:t>
            </w:r>
          </w:p>
        </w:tc>
        <w:tc>
          <w:tcPr/>
          <w:p>
            <w:pPr>
              <w:pStyle w:val="Compact"/>
              <w:jc w:val="left"/>
            </w:pPr>
            <w:r>
              <w:t xml:space="preserve">Separate submissions required post-Brexit</w:t>
            </w:r>
          </w:p>
        </w:tc>
      </w:tr>
    </w:tbl>
    <w:p>
      <w:r>
        <w:pict>
          <v:rect style="width:0;height:1.5pt" o:hralign="center" o:hrstd="t" o:hr="t"/>
        </w:pict>
      </w:r>
    </w:p>
    <w:bookmarkEnd w:id="28"/>
    <w:bookmarkStart w:id="29" w:name="uae-us"/>
    <w:p>
      <w:pPr>
        <w:pStyle w:val="Heading3"/>
      </w:pPr>
      <w:r>
        <w:t xml:space="preserve">2.5 UAE ↔ US</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Crypto/VA</w:t>
            </w:r>
          </w:p>
        </w:tc>
        <w:tc>
          <w:tcPr/>
          <w:p>
            <w:pPr>
              <w:pStyle w:val="Compact"/>
              <w:jc w:val="left"/>
            </w:pPr>
            <w:r>
              <w:t xml:space="preserve">VARA licensing vs. US SEC/CFTC</w:t>
            </w:r>
          </w:p>
        </w:tc>
        <w:tc>
          <w:tcPr/>
          <w:p>
            <w:pPr>
              <w:pStyle w:val="Compact"/>
              <w:jc w:val="left"/>
            </w:pPr>
            <w:r>
              <w:t xml:space="preserve">🟡 MEDIUM</w:t>
            </w:r>
          </w:p>
        </w:tc>
        <w:tc>
          <w:tcPr/>
          <w:p>
            <w:pPr>
              <w:pStyle w:val="Compact"/>
              <w:jc w:val="left"/>
            </w:pPr>
            <w:r>
              <w:t xml:space="preserve">Different classification of tokens; different custody rules</w:t>
            </w:r>
          </w:p>
        </w:tc>
      </w:tr>
      <w:tr>
        <w:tc>
          <w:tcPr/>
          <w:p>
            <w:pPr>
              <w:pStyle w:val="Compact"/>
              <w:jc w:val="left"/>
            </w:pPr>
            <w:r>
              <w:rPr>
                <w:bCs/>
                <w:b/>
              </w:rPr>
              <w:t xml:space="preserve">Data Protection</w:t>
            </w:r>
          </w:p>
        </w:tc>
        <w:tc>
          <w:tcPr/>
          <w:p>
            <w:pPr>
              <w:pStyle w:val="Compact"/>
              <w:jc w:val="left"/>
            </w:pPr>
            <w:r>
              <w:t xml:space="preserve">UAE PDPL vs. US lack of federal privacy law</w:t>
            </w:r>
          </w:p>
        </w:tc>
        <w:tc>
          <w:tcPr/>
          <w:p>
            <w:pPr>
              <w:pStyle w:val="Compact"/>
              <w:jc w:val="left"/>
            </w:pPr>
            <w:r>
              <w:t xml:space="preserve">🟢 LOW</w:t>
            </w:r>
          </w:p>
        </w:tc>
        <w:tc>
          <w:tcPr/>
          <w:p>
            <w:pPr>
              <w:pStyle w:val="Compact"/>
              <w:jc w:val="left"/>
            </w:pPr>
            <w:r>
              <w:t xml:space="preserve">UAE has stronger protections; US companies must upgrade</w:t>
            </w:r>
          </w:p>
        </w:tc>
      </w:tr>
      <w:tr>
        <w:tc>
          <w:tcPr/>
          <w:p>
            <w:pPr>
              <w:pStyle w:val="Compact"/>
              <w:jc w:val="left"/>
            </w:pPr>
            <w:r>
              <w:rPr>
                <w:bCs/>
                <w:b/>
              </w:rPr>
              <w:t xml:space="preserve">AI Governance</w:t>
            </w:r>
          </w:p>
        </w:tc>
        <w:tc>
          <w:tcPr/>
          <w:p>
            <w:pPr>
              <w:pStyle w:val="Compact"/>
              <w:jc w:val="left"/>
            </w:pPr>
            <w:r>
              <w:t xml:space="preserve">UAE Charter principles vs. NIST RMF</w:t>
            </w:r>
          </w:p>
        </w:tc>
        <w:tc>
          <w:tcPr/>
          <w:p>
            <w:pPr>
              <w:pStyle w:val="Compact"/>
              <w:jc w:val="left"/>
            </w:pPr>
            <w:r>
              <w:t xml:space="preserve">🟢 LOW</w:t>
            </w:r>
          </w:p>
        </w:tc>
        <w:tc>
          <w:tcPr/>
          <w:p>
            <w:pPr>
              <w:pStyle w:val="Compact"/>
              <w:jc w:val="left"/>
            </w:pPr>
            <w:r>
              <w:t xml:space="preserve">Generally aligned; UAE more principles-based</w:t>
            </w:r>
          </w:p>
        </w:tc>
      </w:tr>
      <w:tr>
        <w:tc>
          <w:tcPr/>
          <w:p>
            <w:pPr>
              <w:pStyle w:val="Compact"/>
              <w:jc w:val="left"/>
            </w:pPr>
            <w:r>
              <w:rPr>
                <w:bCs/>
                <w:b/>
              </w:rPr>
              <w:t xml:space="preserve">Surveillance</w:t>
            </w:r>
          </w:p>
        </w:tc>
        <w:tc>
          <w:tcPr/>
          <w:p>
            <w:pPr>
              <w:pStyle w:val="Compact"/>
              <w:jc w:val="left"/>
            </w:pPr>
            <w:r>
              <w:t xml:space="preserve">UAE Safe City vs. no US federal restrictions</w:t>
            </w:r>
          </w:p>
        </w:tc>
        <w:tc>
          <w:tcPr/>
          <w:p>
            <w:pPr>
              <w:pStyle w:val="Compact"/>
              <w:jc w:val="left"/>
            </w:pPr>
            <w:r>
              <w:t xml:space="preserve">🟡 MEDIUM</w:t>
            </w:r>
          </w:p>
        </w:tc>
        <w:tc>
          <w:tcPr/>
          <w:p>
            <w:pPr>
              <w:pStyle w:val="Compact"/>
              <w:jc w:val="left"/>
            </w:pPr>
            <w:r>
              <w:t xml:space="preserve">AI surveillance permitted in UAE; EU-exported systems may have restrictions</w:t>
            </w:r>
          </w:p>
        </w:tc>
      </w:tr>
      <w:tr>
        <w:tc>
          <w:tcPr/>
          <w:p>
            <w:pPr>
              <w:pStyle w:val="Compact"/>
              <w:jc w:val="left"/>
            </w:pPr>
            <w:r>
              <w:rPr>
                <w:bCs/>
                <w:b/>
              </w:rPr>
              <w:t xml:space="preserve">Financial Services</w:t>
            </w:r>
          </w:p>
        </w:tc>
        <w:tc>
          <w:tcPr/>
          <w:p>
            <w:pPr>
              <w:pStyle w:val="Compact"/>
              <w:jc w:val="left"/>
            </w:pPr>
            <w:r>
              <w:t xml:space="preserve">VARA/MiCA overlap vs. US state banking</w:t>
            </w:r>
          </w:p>
        </w:tc>
        <w:tc>
          <w:tcPr/>
          <w:p>
            <w:pPr>
              <w:pStyle w:val="Compact"/>
              <w:jc w:val="left"/>
            </w:pPr>
            <w:r>
              <w:t xml:space="preserve">🟡 MEDIUM</w:t>
            </w:r>
          </w:p>
        </w:tc>
        <w:tc>
          <w:tcPr/>
          <w:p>
            <w:pPr>
              <w:pStyle w:val="Compact"/>
              <w:jc w:val="left"/>
            </w:pPr>
            <w:r>
              <w:t xml:space="preserve">Dual licensing required for cross-border operations</w:t>
            </w:r>
          </w:p>
        </w:tc>
      </w:tr>
    </w:tbl>
    <w:p>
      <w:r>
        <w:pict>
          <v:rect style="width:0;height:1.5pt" o:hralign="center" o:hrstd="t" o:hr="t"/>
        </w:pict>
      </w:r>
    </w:p>
    <w:bookmarkEnd w:id="29"/>
    <w:bookmarkStart w:id="30" w:name="singapore-eu"/>
    <w:p>
      <w:pPr>
        <w:pStyle w:val="Heading3"/>
      </w:pPr>
      <w:r>
        <w:t xml:space="preserve">2.6 Singapore ↔ EU</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AI/ML</w:t>
            </w:r>
          </w:p>
        </w:tc>
        <w:tc>
          <w:tcPr/>
          <w:p>
            <w:pPr>
              <w:pStyle w:val="Compact"/>
              <w:jc w:val="left"/>
            </w:pPr>
            <w:r>
              <w:t xml:space="preserve">EU AI Act binding vs. Singapore MAIG voluntary</w:t>
            </w:r>
          </w:p>
        </w:tc>
        <w:tc>
          <w:tcPr/>
          <w:p>
            <w:pPr>
              <w:pStyle w:val="Compact"/>
              <w:jc w:val="left"/>
            </w:pPr>
            <w:r>
              <w:t xml:space="preserve">🟡 MEDIUM</w:t>
            </w:r>
          </w:p>
        </w:tc>
        <w:tc>
          <w:tcPr/>
          <w:p>
            <w:pPr>
              <w:pStyle w:val="Compact"/>
              <w:jc w:val="left"/>
            </w:pPr>
            <w:r>
              <w:t xml:space="preserve">Singapore voluntary framework may not satisfy EU compliance</w:t>
            </w:r>
          </w:p>
        </w:tc>
      </w:tr>
      <w:tr>
        <w:tc>
          <w:tcPr/>
          <w:p>
            <w:pPr>
              <w:pStyle w:val="Compact"/>
              <w:jc w:val="left"/>
            </w:pPr>
            <w:r>
              <w:rPr>
                <w:bCs/>
                <w:b/>
              </w:rPr>
              <w:t xml:space="preserve">Financial AI</w:t>
            </w:r>
          </w:p>
        </w:tc>
        <w:tc>
          <w:tcPr/>
          <w:p>
            <w:pPr>
              <w:pStyle w:val="Compact"/>
              <w:jc w:val="left"/>
            </w:pPr>
            <w:r>
              <w:t xml:space="preserve">MAS FEAT Principles vs. EU AI Act/DORA</w:t>
            </w:r>
          </w:p>
        </w:tc>
        <w:tc>
          <w:tcPr/>
          <w:p>
            <w:pPr>
              <w:pStyle w:val="Compact"/>
              <w:jc w:val="left"/>
            </w:pPr>
            <w:r>
              <w:t xml:space="preserve">🟡 MEDIUM</w:t>
            </w:r>
          </w:p>
        </w:tc>
        <w:tc>
          <w:tcPr/>
          <w:p>
            <w:pPr>
              <w:pStyle w:val="Compact"/>
              <w:jc w:val="left"/>
            </w:pPr>
            <w:r>
              <w:t xml:space="preserve">FEAT is guidance; EU has binding requirements</w:t>
            </w:r>
          </w:p>
        </w:tc>
      </w:tr>
      <w:tr>
        <w:tc>
          <w:tcPr/>
          <w:p>
            <w:pPr>
              <w:pStyle w:val="Compact"/>
              <w:jc w:val="left"/>
            </w:pPr>
            <w:r>
              <w:rPr>
                <w:bCs/>
                <w:b/>
              </w:rPr>
              <w:t xml:space="preserve">Data Transfers</w:t>
            </w:r>
          </w:p>
        </w:tc>
        <w:tc>
          <w:tcPr/>
          <w:p>
            <w:pPr>
              <w:pStyle w:val="Compact"/>
              <w:jc w:val="left"/>
            </w:pPr>
            <w:r>
              <w:t xml:space="preserve">PDPA vs. GDPR adequacy</w:t>
            </w:r>
          </w:p>
        </w:tc>
        <w:tc>
          <w:tcPr/>
          <w:p>
            <w:pPr>
              <w:pStyle w:val="Compact"/>
              <w:jc w:val="left"/>
            </w:pPr>
            <w:r>
              <w:t xml:space="preserve">🟢 LOW</w:t>
            </w:r>
          </w:p>
        </w:tc>
        <w:tc>
          <w:tcPr/>
          <w:p>
            <w:pPr>
              <w:pStyle w:val="Compact"/>
              <w:jc w:val="left"/>
            </w:pPr>
            <w:r>
              <w:t xml:space="preserve">Adequacy decision in place</w:t>
            </w:r>
          </w:p>
        </w:tc>
      </w:tr>
      <w:tr>
        <w:tc>
          <w:tcPr/>
          <w:p>
            <w:pPr>
              <w:pStyle w:val="Compact"/>
              <w:jc w:val="left"/>
            </w:pPr>
            <w:r>
              <w:rPr>
                <w:bCs/>
                <w:b/>
              </w:rPr>
              <w:t xml:space="preserve">Cloud/IoT</w:t>
            </w:r>
          </w:p>
        </w:tc>
        <w:tc>
          <w:tcPr/>
          <w:p>
            <w:pPr>
              <w:pStyle w:val="Compact"/>
              <w:jc w:val="left"/>
            </w:pPr>
            <w:r>
              <w:t xml:space="preserve">MTCS vs. EU NIS2/CRA</w:t>
            </w:r>
          </w:p>
        </w:tc>
        <w:tc>
          <w:tcPr/>
          <w:p>
            <w:pPr>
              <w:pStyle w:val="Compact"/>
              <w:jc w:val="left"/>
            </w:pPr>
            <w:r>
              <w:t xml:space="preserve">🟡 MEDIUM</w:t>
            </w:r>
          </w:p>
        </w:tc>
        <w:tc>
          <w:tcPr/>
          <w:p>
            <w:pPr>
              <w:pStyle w:val="Compact"/>
              <w:jc w:val="left"/>
            </w:pPr>
            <w:r>
              <w:t xml:space="preserve">Different cybersecurity certification approaches</w:t>
            </w:r>
          </w:p>
        </w:tc>
      </w:tr>
    </w:tbl>
    <w:p>
      <w:r>
        <w:pict>
          <v:rect style="width:0;height:1.5pt" o:hralign="center" o:hrstd="t" o:hr="t"/>
        </w:pict>
      </w:r>
    </w:p>
    <w:bookmarkEnd w:id="30"/>
    <w:bookmarkStart w:id="31" w:name="south-korea-china"/>
    <w:p>
      <w:pPr>
        <w:pStyle w:val="Heading3"/>
      </w:pPr>
      <w:r>
        <w:t xml:space="preserve">2.7 South Korea ↔ China</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AI/ML</w:t>
            </w:r>
          </w:p>
        </w:tc>
        <w:tc>
          <w:tcPr/>
          <w:p>
            <w:pPr>
              <w:pStyle w:val="Compact"/>
              <w:jc w:val="left"/>
            </w:pPr>
            <w:r>
              <w:t xml:space="preserve">AI Basic Act high-impact vs. CAC measures</w:t>
            </w:r>
          </w:p>
        </w:tc>
        <w:tc>
          <w:tcPr/>
          <w:p>
            <w:pPr>
              <w:pStyle w:val="Compact"/>
              <w:jc w:val="left"/>
            </w:pPr>
            <w:r>
              <w:t xml:space="preserve">🟠 HIGH</w:t>
            </w:r>
          </w:p>
        </w:tc>
        <w:tc>
          <w:tcPr/>
          <w:p>
            <w:pPr>
              <w:pStyle w:val="Compact"/>
              <w:jc w:val="left"/>
            </w:pPr>
            <w:r>
              <w:t xml:space="preserve">Both have extraterritorial reach; different filing requirements</w:t>
            </w:r>
          </w:p>
        </w:tc>
      </w:tr>
      <w:tr>
        <w:tc>
          <w:tcPr/>
          <w:p>
            <w:pPr>
              <w:pStyle w:val="Compact"/>
              <w:jc w:val="left"/>
            </w:pPr>
            <w:r>
              <w:rPr>
                <w:bCs/>
                <w:b/>
              </w:rPr>
              <w:t xml:space="preserve">Gaming</w:t>
            </w:r>
          </w:p>
        </w:tc>
        <w:tc>
          <w:tcPr/>
          <w:p>
            <w:pPr>
              <w:pStyle w:val="Compact"/>
              <w:jc w:val="left"/>
            </w:pPr>
            <w:r>
              <w:t xml:space="preserve">Korean Game Industry Act vs. Chinese NPPA</w:t>
            </w:r>
          </w:p>
        </w:tc>
        <w:tc>
          <w:tcPr/>
          <w:p>
            <w:pPr>
              <w:pStyle w:val="Compact"/>
              <w:jc w:val="left"/>
            </w:pPr>
            <w:r>
              <w:t xml:space="preserve">🟡 MEDIUM</w:t>
            </w:r>
          </w:p>
        </w:tc>
        <w:tc>
          <w:tcPr/>
          <w:p>
            <w:pPr>
              <w:pStyle w:val="Compact"/>
              <w:jc w:val="left"/>
            </w:pPr>
            <w:r>
              <w:t xml:space="preserve">Different content review requirements; different anti-addiction rules</w:t>
            </w:r>
          </w:p>
        </w:tc>
      </w:tr>
      <w:tr>
        <w:tc>
          <w:tcPr/>
          <w:p>
            <w:pPr>
              <w:pStyle w:val="Compact"/>
              <w:jc w:val="left"/>
            </w:pPr>
            <w:r>
              <w:rPr>
                <w:bCs/>
                <w:b/>
              </w:rPr>
              <w:t xml:space="preserve">Data Transfers</w:t>
            </w:r>
          </w:p>
        </w:tc>
        <w:tc>
          <w:tcPr/>
          <w:p>
            <w:pPr>
              <w:pStyle w:val="Compact"/>
              <w:jc w:val="left"/>
            </w:pPr>
            <w:r>
              <w:t xml:space="preserve">PIPA vs. PIPL</w:t>
            </w:r>
          </w:p>
        </w:tc>
        <w:tc>
          <w:tcPr/>
          <w:p>
            <w:pPr>
              <w:pStyle w:val="Compact"/>
              <w:jc w:val="left"/>
            </w:pPr>
            <w:r>
              <w:t xml:space="preserve">🟠 HIGH</w:t>
            </w:r>
          </w:p>
        </w:tc>
        <w:tc>
          <w:tcPr/>
          <w:p>
            <w:pPr>
              <w:pStyle w:val="Compact"/>
              <w:jc w:val="left"/>
            </w:pPr>
            <w:r>
              <w:t xml:space="preserve">Both restrict cross-border transfers; no mutual adequacy</w:t>
            </w:r>
          </w:p>
        </w:tc>
      </w:tr>
    </w:tbl>
    <w:p>
      <w:r>
        <w:pict>
          <v:rect style="width:0;height:1.5pt" o:hralign="center" o:hrstd="t" o:hr="t"/>
        </w:pict>
      </w:r>
    </w:p>
    <w:bookmarkEnd w:id="31"/>
    <w:bookmarkStart w:id="32" w:name="japan-eu"/>
    <w:p>
      <w:pPr>
        <w:pStyle w:val="Heading3"/>
      </w:pPr>
      <w:r>
        <w:t xml:space="preserve">2.8 Japan ↔ EU</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AI/ML</w:t>
            </w:r>
          </w:p>
        </w:tc>
        <w:tc>
          <w:tcPr/>
          <w:p>
            <w:pPr>
              <w:pStyle w:val="Compact"/>
              <w:jc w:val="left"/>
            </w:pPr>
            <w:r>
              <w:t xml:space="preserve">AI Promotion Act (promotion) vs. EU AI Act (restrictive)</w:t>
            </w:r>
          </w:p>
        </w:tc>
        <w:tc>
          <w:tcPr/>
          <w:p>
            <w:pPr>
              <w:pStyle w:val="Compact"/>
              <w:jc w:val="left"/>
            </w:pPr>
            <w:r>
              <w:t xml:space="preserve">🟡 MEDIUM</w:t>
            </w:r>
          </w:p>
        </w:tc>
        <w:tc>
          <w:tcPr/>
          <w:p>
            <w:pPr>
              <w:pStyle w:val="Compact"/>
              <w:jc w:val="left"/>
            </w:pPr>
            <w:r>
              <w:t xml:space="preserve">Japan’s light-touch approach vs. EU’s binding requirements</w:t>
            </w:r>
          </w:p>
        </w:tc>
      </w:tr>
      <w:tr>
        <w:tc>
          <w:tcPr/>
          <w:p>
            <w:pPr>
              <w:pStyle w:val="Compact"/>
              <w:jc w:val="left"/>
            </w:pPr>
            <w:r>
              <w:rPr>
                <w:bCs/>
                <w:b/>
              </w:rPr>
              <w:t xml:space="preserve">Autonomous Vehicles</w:t>
            </w:r>
          </w:p>
        </w:tc>
        <w:tc>
          <w:tcPr/>
          <w:p>
            <w:pPr>
              <w:pStyle w:val="Compact"/>
              <w:jc w:val="left"/>
            </w:pPr>
            <w:r>
              <w:t xml:space="preserve">Level 4 permitted vs. EU type approval</w:t>
            </w:r>
          </w:p>
        </w:tc>
        <w:tc>
          <w:tcPr/>
          <w:p>
            <w:pPr>
              <w:pStyle w:val="Compact"/>
              <w:jc w:val="left"/>
            </w:pPr>
            <w:r>
              <w:t xml:space="preserve">🟡 MEDIUM</w:t>
            </w:r>
          </w:p>
        </w:tc>
        <w:tc>
          <w:tcPr/>
          <w:p>
            <w:pPr>
              <w:pStyle w:val="Compact"/>
              <w:jc w:val="left"/>
            </w:pPr>
            <w:r>
              <w:t xml:space="preserve">Different certification pathways</w:t>
            </w:r>
          </w:p>
        </w:tc>
      </w:tr>
      <w:tr>
        <w:tc>
          <w:tcPr/>
          <w:p>
            <w:pPr>
              <w:pStyle w:val="Compact"/>
              <w:jc w:val="left"/>
            </w:pPr>
            <w:r>
              <w:rPr>
                <w:bCs/>
                <w:b/>
              </w:rPr>
              <w:t xml:space="preserve">Data Transfers</w:t>
            </w:r>
          </w:p>
        </w:tc>
        <w:tc>
          <w:tcPr/>
          <w:p>
            <w:pPr>
              <w:pStyle w:val="Compact"/>
              <w:jc w:val="left"/>
            </w:pPr>
            <w:r>
              <w:t xml:space="preserve">APPI vs. GDPR</w:t>
            </w:r>
          </w:p>
        </w:tc>
        <w:tc>
          <w:tcPr/>
          <w:p>
            <w:pPr>
              <w:pStyle w:val="Compact"/>
              <w:jc w:val="left"/>
            </w:pPr>
            <w:r>
              <w:t xml:space="preserve">🟢 LOW</w:t>
            </w:r>
          </w:p>
        </w:tc>
        <w:tc>
          <w:tcPr/>
          <w:p>
            <w:pPr>
              <w:pStyle w:val="Compact"/>
              <w:jc w:val="left"/>
            </w:pPr>
            <w:r>
              <w:t xml:space="preserve">Generally harmonized via adequacy dialogue</w:t>
            </w:r>
          </w:p>
        </w:tc>
      </w:tr>
    </w:tbl>
    <w:p>
      <w:r>
        <w:pict>
          <v:rect style="width:0;height:1.5pt" o:hralign="center" o:hrstd="t" o:hr="t"/>
        </w:pict>
      </w:r>
    </w:p>
    <w:bookmarkEnd w:id="32"/>
    <w:bookmarkStart w:id="33" w:name="india-eu"/>
    <w:p>
      <w:pPr>
        <w:pStyle w:val="Heading3"/>
      </w:pPr>
      <w:r>
        <w:t xml:space="preserve">2.9 India ↔ EU</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Data Protection</w:t>
            </w:r>
          </w:p>
        </w:tc>
        <w:tc>
          <w:tcPr/>
          <w:p>
            <w:pPr>
              <w:pStyle w:val="Compact"/>
              <w:jc w:val="left"/>
            </w:pPr>
            <w:r>
              <w:t xml:space="preserve">DPDP Act vs. GDPR</w:t>
            </w:r>
          </w:p>
        </w:tc>
        <w:tc>
          <w:tcPr/>
          <w:p>
            <w:pPr>
              <w:pStyle w:val="Compact"/>
              <w:jc w:val="left"/>
            </w:pPr>
            <w:r>
              <w:t xml:space="preserve">🟡 MEDIUM</w:t>
            </w:r>
          </w:p>
        </w:tc>
        <w:tc>
          <w:tcPr/>
          <w:p>
            <w:pPr>
              <w:pStyle w:val="Compact"/>
              <w:jc w:val="left"/>
            </w:pPr>
            <w:r>
              <w:t xml:space="preserve">India’s blacklist approach vs. EU whitelist; different consent frameworks</w:t>
            </w:r>
          </w:p>
        </w:tc>
      </w:tr>
      <w:tr>
        <w:tc>
          <w:tcPr/>
          <w:p>
            <w:pPr>
              <w:pStyle w:val="Compact"/>
              <w:jc w:val="left"/>
            </w:pPr>
            <w:r>
              <w:rPr>
                <w:bCs/>
                <w:b/>
              </w:rPr>
              <w:t xml:space="preserve">Healthcare AI</w:t>
            </w:r>
          </w:p>
        </w:tc>
        <w:tc>
          <w:tcPr/>
          <w:p>
            <w:pPr>
              <w:pStyle w:val="Compact"/>
              <w:jc w:val="left"/>
            </w:pPr>
            <w:r>
              <w:t xml:space="preserve">CDSCO vs. EU MDR</w:t>
            </w:r>
          </w:p>
        </w:tc>
        <w:tc>
          <w:tcPr/>
          <w:p>
            <w:pPr>
              <w:pStyle w:val="Compact"/>
              <w:jc w:val="left"/>
            </w:pPr>
            <w:r>
              <w:t xml:space="preserve">🟡 MEDIUM</w:t>
            </w:r>
          </w:p>
        </w:tc>
        <w:tc>
          <w:tcPr/>
          <w:p>
            <w:pPr>
              <w:pStyle w:val="Compact"/>
              <w:jc w:val="left"/>
            </w:pPr>
            <w:r>
              <w:t xml:space="preserve">Different medical device classification</w:t>
            </w:r>
          </w:p>
        </w:tc>
      </w:tr>
      <w:tr>
        <w:tc>
          <w:tcPr/>
          <w:p>
            <w:pPr>
              <w:pStyle w:val="Compact"/>
              <w:jc w:val="left"/>
            </w:pPr>
            <w:r>
              <w:rPr>
                <w:bCs/>
                <w:b/>
              </w:rPr>
              <w:t xml:space="preserve">EdTech</w:t>
            </w:r>
          </w:p>
        </w:tc>
        <w:tc>
          <w:tcPr/>
          <w:p>
            <w:pPr>
              <w:pStyle w:val="Compact"/>
              <w:jc w:val="left"/>
            </w:pPr>
            <w:r>
              <w:t xml:space="preserve">DPDP children’s data vs. GDPR</w:t>
            </w:r>
          </w:p>
        </w:tc>
        <w:tc>
          <w:tcPr/>
          <w:p>
            <w:pPr>
              <w:pStyle w:val="Compact"/>
              <w:jc w:val="left"/>
            </w:pPr>
            <w:r>
              <w:t xml:space="preserve">🟡 MEDIUM</w:t>
            </w:r>
          </w:p>
        </w:tc>
        <w:tc>
          <w:tcPr/>
          <w:p>
            <w:pPr>
              <w:pStyle w:val="Compact"/>
              <w:jc w:val="left"/>
            </w:pPr>
            <w:r>
              <w:t xml:space="preserve">India’s verifiable parental consent vs. EU approach</w:t>
            </w:r>
          </w:p>
        </w:tc>
      </w:tr>
    </w:tbl>
    <w:p>
      <w:r>
        <w:pict>
          <v:rect style="width:0;height:1.5pt" o:hralign="center" o:hrstd="t" o:hr="t"/>
        </w:pict>
      </w:r>
    </w:p>
    <w:bookmarkEnd w:id="33"/>
    <w:bookmarkStart w:id="34" w:name="australia-us"/>
    <w:p>
      <w:pPr>
        <w:pStyle w:val="Heading3"/>
      </w:pPr>
      <w:r>
        <w:t xml:space="preserve">2.10 Australia ↔ US</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Critical Infrastructure</w:t>
            </w:r>
          </w:p>
        </w:tc>
        <w:tc>
          <w:tcPr/>
          <w:p>
            <w:pPr>
              <w:pStyle w:val="Compact"/>
              <w:jc w:val="left"/>
            </w:pPr>
            <w:r>
              <w:t xml:space="preserve">SOCI Act vs. CISA</w:t>
            </w:r>
          </w:p>
        </w:tc>
        <w:tc>
          <w:tcPr/>
          <w:p>
            <w:pPr>
              <w:pStyle w:val="Compact"/>
              <w:jc w:val="left"/>
            </w:pPr>
            <w:r>
              <w:t xml:space="preserve">🟡 MEDIUM</w:t>
            </w:r>
          </w:p>
        </w:tc>
        <w:tc>
          <w:tcPr/>
          <w:p>
            <w:pPr>
              <w:pStyle w:val="Compact"/>
              <w:jc w:val="left"/>
            </w:pPr>
            <w:r>
              <w:t xml:space="preserve">Different CIRMP requirements</w:t>
            </w:r>
          </w:p>
        </w:tc>
      </w:tr>
      <w:tr>
        <w:tc>
          <w:tcPr/>
          <w:p>
            <w:pPr>
              <w:pStyle w:val="Compact"/>
              <w:jc w:val="left"/>
            </w:pPr>
            <w:r>
              <w:rPr>
                <w:bCs/>
                <w:b/>
              </w:rPr>
              <w:t xml:space="preserve">Privacy</w:t>
            </w:r>
          </w:p>
        </w:tc>
        <w:tc>
          <w:tcPr/>
          <w:p>
            <w:pPr>
              <w:pStyle w:val="Compact"/>
              <w:jc w:val="left"/>
            </w:pPr>
            <w:r>
              <w:t xml:space="preserve">Privacy Act vs. no US federal law</w:t>
            </w:r>
          </w:p>
        </w:tc>
        <w:tc>
          <w:tcPr/>
          <w:p>
            <w:pPr>
              <w:pStyle w:val="Compact"/>
              <w:jc w:val="left"/>
            </w:pPr>
            <w:r>
              <w:t xml:space="preserve">🟢 LOW</w:t>
            </w:r>
          </w:p>
        </w:tc>
        <w:tc>
          <w:tcPr/>
          <w:p>
            <w:pPr>
              <w:pStyle w:val="Compact"/>
              <w:jc w:val="left"/>
            </w:pPr>
            <w:r>
              <w:t xml:space="preserve">Australia stronger; US companies must adapt</w:t>
            </w:r>
          </w:p>
        </w:tc>
      </w:tr>
      <w:tr>
        <w:tc>
          <w:tcPr/>
          <w:p>
            <w:pPr>
              <w:pStyle w:val="Compact"/>
              <w:jc w:val="left"/>
            </w:pPr>
            <w:r>
              <w:rPr>
                <w:bCs/>
                <w:b/>
              </w:rPr>
              <w:t xml:space="preserve">AI</w:t>
            </w:r>
          </w:p>
        </w:tc>
        <w:tc>
          <w:tcPr/>
          <w:p>
            <w:pPr>
              <w:pStyle w:val="Compact"/>
              <w:jc w:val="left"/>
            </w:pPr>
            <w:r>
              <w:t xml:space="preserve">Mandatory guardrails (proposed) vs. voluntary NIST</w:t>
            </w:r>
          </w:p>
        </w:tc>
        <w:tc>
          <w:tcPr/>
          <w:p>
            <w:pPr>
              <w:pStyle w:val="Compact"/>
              <w:jc w:val="left"/>
            </w:pPr>
            <w:r>
              <w:t xml:space="preserve">🟡 MEDIUM</w:t>
            </w:r>
          </w:p>
        </w:tc>
        <w:tc>
          <w:tcPr/>
          <w:p>
            <w:pPr>
              <w:pStyle w:val="Compact"/>
              <w:jc w:val="left"/>
            </w:pPr>
            <w:r>
              <w:t xml:space="preserve">Australia moving toward mandatory; US remains voluntary</w:t>
            </w:r>
          </w:p>
        </w:tc>
      </w:tr>
    </w:tbl>
    <w:p>
      <w:r>
        <w:pict>
          <v:rect style="width:0;height:1.5pt" o:hralign="center" o:hrstd="t" o:hr="t"/>
        </w:pict>
      </w:r>
    </w:p>
    <w:bookmarkEnd w:id="34"/>
    <w:bookmarkStart w:id="35" w:name="canada-eu"/>
    <w:p>
      <w:pPr>
        <w:pStyle w:val="Heading3"/>
      </w:pPr>
      <w:r>
        <w:t xml:space="preserve">2.11 Canada ↔ EU</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AI</w:t>
            </w:r>
          </w:p>
        </w:tc>
        <w:tc>
          <w:tcPr/>
          <w:p>
            <w:pPr>
              <w:pStyle w:val="Compact"/>
              <w:jc w:val="left"/>
            </w:pPr>
            <w:r>
              <w:t xml:space="preserve">AIDA (died, expected return) vs. EU AI Act</w:t>
            </w:r>
          </w:p>
        </w:tc>
        <w:tc>
          <w:tcPr/>
          <w:p>
            <w:pPr>
              <w:pStyle w:val="Compact"/>
              <w:jc w:val="left"/>
            </w:pPr>
            <w:r>
              <w:t xml:space="preserve">🟡 MEDIUM</w:t>
            </w:r>
          </w:p>
        </w:tc>
        <w:tc>
          <w:tcPr/>
          <w:p>
            <w:pPr>
              <w:pStyle w:val="Compact"/>
              <w:jc w:val="left"/>
            </w:pPr>
            <w:r>
              <w:t xml:space="preserve">Canada may follow EU model; timing uncertain</w:t>
            </w:r>
          </w:p>
        </w:tc>
      </w:tr>
      <w:tr>
        <w:tc>
          <w:tcPr/>
          <w:p>
            <w:pPr>
              <w:pStyle w:val="Compact"/>
              <w:jc w:val="left"/>
            </w:pPr>
            <w:r>
              <w:rPr>
                <w:bCs/>
                <w:b/>
              </w:rPr>
              <w:t xml:space="preserve">Data Protection</w:t>
            </w:r>
          </w:p>
        </w:tc>
        <w:tc>
          <w:tcPr/>
          <w:p>
            <w:pPr>
              <w:pStyle w:val="Compact"/>
              <w:jc w:val="left"/>
            </w:pPr>
            <w:r>
              <w:t xml:space="preserve">PIPEDA vs. GDPR</w:t>
            </w:r>
          </w:p>
        </w:tc>
        <w:tc>
          <w:tcPr/>
          <w:p>
            <w:pPr>
              <w:pStyle w:val="Compact"/>
              <w:jc w:val="left"/>
            </w:pPr>
            <w:r>
              <w:t xml:space="preserve">🟢 LOW</w:t>
            </w:r>
          </w:p>
        </w:tc>
        <w:tc>
          <w:tcPr/>
          <w:p>
            <w:pPr>
              <w:pStyle w:val="Compact"/>
              <w:jc w:val="left"/>
            </w:pPr>
            <w:r>
              <w:t xml:space="preserve">Generally aligned; GDPR more stringent</w:t>
            </w:r>
          </w:p>
        </w:tc>
      </w:tr>
      <w:tr>
        <w:tc>
          <w:tcPr/>
          <w:p>
            <w:pPr>
              <w:pStyle w:val="Compact"/>
              <w:jc w:val="left"/>
            </w:pPr>
            <w:r>
              <w:rPr>
                <w:bCs/>
                <w:b/>
              </w:rPr>
              <w:t xml:space="preserve">Critical Infrastructure</w:t>
            </w:r>
          </w:p>
        </w:tc>
        <w:tc>
          <w:tcPr/>
          <w:p>
            <w:pPr>
              <w:pStyle w:val="Compact"/>
              <w:jc w:val="left"/>
            </w:pPr>
            <w:r>
              <w:t xml:space="preserve">Bill C-8 vs. NIS2</w:t>
            </w:r>
          </w:p>
        </w:tc>
        <w:tc>
          <w:tcPr/>
          <w:p>
            <w:pPr>
              <w:pStyle w:val="Compact"/>
              <w:jc w:val="left"/>
            </w:pPr>
            <w:r>
              <w:t xml:space="preserve">🟡 MEDIUM</w:t>
            </w:r>
          </w:p>
        </w:tc>
        <w:tc>
          <w:tcPr/>
          <w:p>
            <w:pPr>
              <w:pStyle w:val="Compact"/>
              <w:jc w:val="left"/>
            </w:pPr>
            <w:r>
              <w:t xml:space="preserve">Similar approaches; different timelines</w:t>
            </w:r>
          </w:p>
        </w:tc>
      </w:tr>
    </w:tbl>
    <w:p>
      <w:r>
        <w:pict>
          <v:rect style="width:0;height:1.5pt" o:hralign="center" o:hrstd="t" o:hr="t"/>
        </w:pict>
      </w:r>
    </w:p>
    <w:bookmarkEnd w:id="35"/>
    <w:bookmarkStart w:id="36" w:name="brazil-eu"/>
    <w:p>
      <w:pPr>
        <w:pStyle w:val="Heading3"/>
      </w:pPr>
      <w:r>
        <w:t xml:space="preserve">2.12 Brazil ↔ EU</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AI</w:t>
            </w:r>
          </w:p>
        </w:tc>
        <w:tc>
          <w:tcPr/>
          <w:p>
            <w:pPr>
              <w:pStyle w:val="Compact"/>
              <w:jc w:val="left"/>
            </w:pPr>
            <w:r>
              <w:t xml:space="preserve">AI Bill (PL 2338) vs. EU AI Act</w:t>
            </w:r>
          </w:p>
        </w:tc>
        <w:tc>
          <w:tcPr/>
          <w:p>
            <w:pPr>
              <w:pStyle w:val="Compact"/>
              <w:jc w:val="left"/>
            </w:pPr>
            <w:r>
              <w:t xml:space="preserve">🟢 LOW</w:t>
            </w:r>
          </w:p>
        </w:tc>
        <w:tc>
          <w:tcPr/>
          <w:p>
            <w:pPr>
              <w:pStyle w:val="Compact"/>
              <w:jc w:val="left"/>
            </w:pPr>
            <w:r>
              <w:t xml:space="preserve">Brazil following EU model; risk-based approach aligned</w:t>
            </w:r>
          </w:p>
        </w:tc>
      </w:tr>
      <w:tr>
        <w:tc>
          <w:tcPr/>
          <w:p>
            <w:pPr>
              <w:pStyle w:val="Compact"/>
              <w:jc w:val="left"/>
            </w:pPr>
            <w:r>
              <w:rPr>
                <w:bCs/>
                <w:b/>
              </w:rPr>
              <w:t xml:space="preserve">Data Protection</w:t>
            </w:r>
          </w:p>
        </w:tc>
        <w:tc>
          <w:tcPr/>
          <w:p>
            <w:pPr>
              <w:pStyle w:val="Compact"/>
              <w:jc w:val="left"/>
            </w:pPr>
            <w:r>
              <w:t xml:space="preserve">LGPD vs. GDPR</w:t>
            </w:r>
          </w:p>
        </w:tc>
        <w:tc>
          <w:tcPr/>
          <w:p>
            <w:pPr>
              <w:pStyle w:val="Compact"/>
              <w:jc w:val="left"/>
            </w:pPr>
            <w:r>
              <w:t xml:space="preserve">🟢 LOW</w:t>
            </w:r>
          </w:p>
        </w:tc>
        <w:tc>
          <w:tcPr/>
          <w:p>
            <w:pPr>
              <w:pStyle w:val="Compact"/>
              <w:jc w:val="left"/>
            </w:pPr>
            <w:r>
              <w:t xml:space="preserve">LGPD closely modeled on GDPR</w:t>
            </w:r>
          </w:p>
        </w:tc>
      </w:tr>
      <w:tr>
        <w:tc>
          <w:tcPr/>
          <w:p>
            <w:pPr>
              <w:pStyle w:val="Compact"/>
              <w:jc w:val="left"/>
            </w:pPr>
            <w:r>
              <w:rPr>
                <w:bCs/>
                <w:b/>
              </w:rPr>
              <w:t xml:space="preserve">Gaming</w:t>
            </w:r>
          </w:p>
        </w:tc>
        <w:tc>
          <w:tcPr/>
          <w:p>
            <w:pPr>
              <w:pStyle w:val="Compact"/>
              <w:jc w:val="left"/>
            </w:pPr>
            <w:r>
              <w:t xml:space="preserve">ClassInd vs. PEGI</w:t>
            </w:r>
          </w:p>
        </w:tc>
        <w:tc>
          <w:tcPr/>
          <w:p>
            <w:pPr>
              <w:pStyle w:val="Compact"/>
              <w:jc w:val="left"/>
            </w:pPr>
            <w:r>
              <w:t xml:space="preserve">🟢 LOW</w:t>
            </w:r>
          </w:p>
        </w:tc>
        <w:tc>
          <w:tcPr/>
          <w:p>
            <w:pPr>
              <w:pStyle w:val="Compact"/>
              <w:jc w:val="left"/>
            </w:pPr>
            <w:r>
              <w:t xml:space="preserve">Similar rating approaches</w:t>
            </w:r>
          </w:p>
        </w:tc>
      </w:tr>
    </w:tbl>
    <w:p>
      <w:r>
        <w:pict>
          <v:rect style="width:0;height:1.5pt" o:hralign="center" o:hrstd="t" o:hr="t"/>
        </w:pict>
      </w:r>
    </w:p>
    <w:bookmarkEnd w:id="36"/>
    <w:bookmarkStart w:id="37" w:name="additional-cross-jurisdiction-conflicts"/>
    <w:p>
      <w:pPr>
        <w:pStyle w:val="Heading3"/>
      </w:pPr>
      <w:r>
        <w:t xml:space="preserve">2.13 Additional Cross-Jurisdiction Conflicts</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Pair</w:t>
            </w:r>
          </w:p>
        </w:tc>
        <w:tc>
          <w:tcPr/>
          <w:p>
            <w:pPr>
              <w:pStyle w:val="Compact"/>
              <w:jc w:val="left"/>
            </w:pPr>
            <w:r>
              <w:t xml:space="preserve">Industry</w:t>
            </w:r>
          </w:p>
        </w:tc>
        <w:tc>
          <w:tcPr/>
          <w:p>
            <w:pPr>
              <w:pStyle w:val="Compact"/>
              <w:jc w:val="left"/>
            </w:pPr>
            <w:r>
              <w:t xml:space="preserve">Conflict</w:t>
            </w:r>
          </w:p>
        </w:tc>
        <w:tc>
          <w:tcPr/>
          <w:p>
            <w:pPr>
              <w:pStyle w:val="Compact"/>
              <w:jc w:val="left"/>
            </w:pPr>
            <w:r>
              <w:t xml:space="preserve">Severity</w:t>
            </w:r>
          </w:p>
        </w:tc>
      </w:tr>
      <w:tr>
        <w:tc>
          <w:tcPr/>
          <w:p>
            <w:pPr>
              <w:pStyle w:val="Compact"/>
              <w:jc w:val="left"/>
            </w:pPr>
            <w:r>
              <w:rPr>
                <w:bCs/>
                <w:b/>
              </w:rPr>
              <w:t xml:space="preserve">China ↔ Singapore</w:t>
            </w:r>
          </w:p>
        </w:tc>
        <w:tc>
          <w:tcPr/>
          <w:p>
            <w:pPr>
              <w:pStyle w:val="Compact"/>
              <w:jc w:val="left"/>
            </w:pPr>
            <w:r>
              <w:t xml:space="preserve">Financial AI</w:t>
            </w:r>
          </w:p>
        </w:tc>
        <w:tc>
          <w:tcPr/>
          <w:p>
            <w:pPr>
              <w:pStyle w:val="Compact"/>
              <w:jc w:val="left"/>
            </w:pPr>
            <w:r>
              <w:t xml:space="preserve">MAS FEAT vs. PBOC requirements</w:t>
            </w:r>
          </w:p>
        </w:tc>
        <w:tc>
          <w:tcPr/>
          <w:p>
            <w:pPr>
              <w:pStyle w:val="Compact"/>
              <w:jc w:val="left"/>
            </w:pPr>
            <w:r>
              <w:t xml:space="preserve">🟡 MEDIUM</w:t>
            </w:r>
          </w:p>
        </w:tc>
      </w:tr>
      <w:tr>
        <w:tc>
          <w:tcPr/>
          <w:p>
            <w:pPr>
              <w:pStyle w:val="Compact"/>
              <w:jc w:val="left"/>
            </w:pPr>
            <w:r>
              <w:rPr>
                <w:bCs/>
                <w:b/>
              </w:rPr>
              <w:t xml:space="preserve">US ↔ India</w:t>
            </w:r>
          </w:p>
        </w:tc>
        <w:tc>
          <w:tcPr/>
          <w:p>
            <w:pPr>
              <w:pStyle w:val="Compact"/>
              <w:jc w:val="left"/>
            </w:pPr>
            <w:r>
              <w:t xml:space="preserve">Data</w:t>
            </w:r>
          </w:p>
        </w:tc>
        <w:tc>
          <w:tcPr/>
          <w:p>
            <w:pPr>
              <w:pStyle w:val="Compact"/>
              <w:jc w:val="left"/>
            </w:pPr>
            <w:r>
              <w:t xml:space="preserve">DPDP Act vs. US CLOUD Act</w:t>
            </w:r>
          </w:p>
        </w:tc>
        <w:tc>
          <w:tcPr/>
          <w:p>
            <w:pPr>
              <w:pStyle w:val="Compact"/>
              <w:jc w:val="left"/>
            </w:pPr>
            <w:r>
              <w:t xml:space="preserve">🟠 HIGH</w:t>
            </w:r>
          </w:p>
        </w:tc>
      </w:tr>
      <w:tr>
        <w:tc>
          <w:tcPr/>
          <w:p>
            <w:pPr>
              <w:pStyle w:val="Compact"/>
              <w:jc w:val="left"/>
            </w:pPr>
            <w:r>
              <w:rPr>
                <w:bCs/>
                <w:b/>
              </w:rPr>
              <w:t xml:space="preserve">UAE ↔ Singapore</w:t>
            </w:r>
          </w:p>
        </w:tc>
        <w:tc>
          <w:tcPr/>
          <w:p>
            <w:pPr>
              <w:pStyle w:val="Compact"/>
              <w:jc w:val="left"/>
            </w:pPr>
            <w:r>
              <w:t xml:space="preserve">Crypto</w:t>
            </w:r>
          </w:p>
        </w:tc>
        <w:tc>
          <w:tcPr/>
          <w:p>
            <w:pPr>
              <w:pStyle w:val="Compact"/>
              <w:jc w:val="left"/>
            </w:pPr>
            <w:r>
              <w:t xml:space="preserve">VARA vs. MAS PSA</w:t>
            </w:r>
          </w:p>
        </w:tc>
        <w:tc>
          <w:tcPr/>
          <w:p>
            <w:pPr>
              <w:pStyle w:val="Compact"/>
              <w:jc w:val="left"/>
            </w:pPr>
            <w:r>
              <w:t xml:space="preserve">🟡 MEDIUM</w:t>
            </w:r>
          </w:p>
        </w:tc>
      </w:tr>
      <w:tr>
        <w:tc>
          <w:tcPr/>
          <w:p>
            <w:pPr>
              <w:pStyle w:val="Compact"/>
              <w:jc w:val="left"/>
            </w:pPr>
            <w:r>
              <w:rPr>
                <w:bCs/>
                <w:b/>
              </w:rPr>
              <w:t xml:space="preserve">Japan ↔ South Korea</w:t>
            </w:r>
          </w:p>
        </w:tc>
        <w:tc>
          <w:tcPr/>
          <w:p>
            <w:pPr>
              <w:pStyle w:val="Compact"/>
              <w:jc w:val="left"/>
            </w:pPr>
            <w:r>
              <w:t xml:space="preserve">Gaming</w:t>
            </w:r>
          </w:p>
        </w:tc>
        <w:tc>
          <w:tcPr/>
          <w:p>
            <w:pPr>
              <w:pStyle w:val="Compact"/>
              <w:jc w:val="left"/>
            </w:pPr>
            <w:r>
              <w:t xml:space="preserve">Different rating/content systems</w:t>
            </w:r>
          </w:p>
        </w:tc>
        <w:tc>
          <w:tcPr/>
          <w:p>
            <w:pPr>
              <w:pStyle w:val="Compact"/>
              <w:jc w:val="left"/>
            </w:pPr>
            <w:r>
              <w:t xml:space="preserve">🟡 MEDIUM</w:t>
            </w:r>
          </w:p>
        </w:tc>
      </w:tr>
      <w:tr>
        <w:tc>
          <w:tcPr/>
          <w:p>
            <w:pPr>
              <w:pStyle w:val="Compact"/>
              <w:jc w:val="left"/>
            </w:pPr>
            <w:r>
              <w:rPr>
                <w:bCs/>
                <w:b/>
              </w:rPr>
              <w:t xml:space="preserve">UK ↔ China</w:t>
            </w:r>
          </w:p>
        </w:tc>
        <w:tc>
          <w:tcPr/>
          <w:p>
            <w:pPr>
              <w:pStyle w:val="Compact"/>
              <w:jc w:val="left"/>
            </w:pPr>
            <w:r>
              <w:t xml:space="preserve">Surveillance</w:t>
            </w:r>
          </w:p>
        </w:tc>
        <w:tc>
          <w:tcPr/>
          <w:p>
            <w:pPr>
              <w:pStyle w:val="Compact"/>
              <w:jc w:val="left"/>
            </w:pPr>
            <w:r>
              <w:t xml:space="preserve">UK Investigatory Powers vs. Chinese export controls</w:t>
            </w:r>
          </w:p>
        </w:tc>
        <w:tc>
          <w:tcPr/>
          <w:p>
            <w:pPr>
              <w:pStyle w:val="Compact"/>
              <w:jc w:val="left"/>
            </w:pPr>
            <w:r>
              <w:t xml:space="preserve">🟠 HIGH</w:t>
            </w:r>
          </w:p>
        </w:tc>
      </w:tr>
      <w:tr>
        <w:tc>
          <w:tcPr/>
          <w:p>
            <w:pPr>
              <w:pStyle w:val="Compact"/>
              <w:jc w:val="left"/>
            </w:pPr>
            <w:r>
              <w:rPr>
                <w:bCs/>
                <w:b/>
              </w:rPr>
              <w:t xml:space="preserve">Australia ↔ China</w:t>
            </w:r>
          </w:p>
        </w:tc>
        <w:tc>
          <w:tcPr/>
          <w:p>
            <w:pPr>
              <w:pStyle w:val="Compact"/>
              <w:jc w:val="left"/>
            </w:pPr>
            <w:r>
              <w:t xml:space="preserve">Critical Infrastructure</w:t>
            </w:r>
          </w:p>
        </w:tc>
        <w:tc>
          <w:tcPr/>
          <w:p>
            <w:pPr>
              <w:pStyle w:val="Compact"/>
              <w:jc w:val="left"/>
            </w:pPr>
            <w:r>
              <w:t xml:space="preserve">SOCI Act vs. MLPS 2.0</w:t>
            </w:r>
          </w:p>
        </w:tc>
        <w:tc>
          <w:tcPr/>
          <w:p>
            <w:pPr>
              <w:pStyle w:val="Compact"/>
              <w:jc w:val="left"/>
            </w:pPr>
            <w:r>
              <w:t xml:space="preserve">🟠 HIGH</w:t>
            </w:r>
          </w:p>
        </w:tc>
      </w:tr>
    </w:tbl>
    <w:p>
      <w:r>
        <w:pict>
          <v:rect style="width:0;height:1.5pt" o:hralign="center" o:hrstd="t" o:hr="t"/>
        </w:pict>
      </w:r>
    </w:p>
    <w:bookmarkEnd w:id="37"/>
    <w:bookmarkEnd w:id="38"/>
    <w:bookmarkStart w:id="43" w:name="industry-regulation-mapping"/>
    <w:p>
      <w:pPr>
        <w:pStyle w:val="Heading2"/>
      </w:pPr>
      <w:r>
        <w:t xml:space="preserve">3. Industry-Regulation Mapping</w:t>
      </w:r>
    </w:p>
    <w:bookmarkStart w:id="39" w:name="master-industry-list-47-industries"/>
    <w:p>
      <w:pPr>
        <w:pStyle w:val="Heading3"/>
      </w:pPr>
      <w:r>
        <w:t xml:space="preserve">Master Industry List (47 Industries)</w:t>
      </w:r>
    </w:p>
    <w:tbl>
      <w:tblPr>
        <w:tblStyle w:val="Table"/>
        <w:tblW w:type="pct" w:w="5000"/>
        <w:tblLook w:firstRow="1" w:lastRow="0" w:firstColumn="0" w:lastColumn="0" w:noHBand="0" w:noVBand="0" w:val="0020"/>
      </w:tblPr>
      <w:tblGrid>
        <w:gridCol w:w="528"/>
        <w:gridCol w:w="1760"/>
        <w:gridCol w:w="2288"/>
        <w:gridCol w:w="3344"/>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Sector File</w:t>
            </w:r>
          </w:p>
        </w:tc>
        <w:tc>
          <w:tcPr/>
          <w:p>
            <w:pPr>
              <w:pStyle w:val="Compact"/>
              <w:jc w:val="left"/>
            </w:pPr>
            <w:r>
              <w:t xml:space="preserve">Key Jurisdictions</w:t>
            </w:r>
          </w:p>
        </w:tc>
      </w:tr>
      <w:tr>
        <w:tc>
          <w:tcPr/>
          <w:p>
            <w:pPr>
              <w:pStyle w:val="Compact"/>
              <w:jc w:val="left"/>
            </w:pPr>
            <w:r>
              <w:t xml:space="preserve">1</w:t>
            </w:r>
          </w:p>
        </w:tc>
        <w:tc>
          <w:tcPr/>
          <w:p>
            <w:pPr>
              <w:pStyle w:val="Compact"/>
              <w:jc w:val="left"/>
            </w:pPr>
            <w:r>
              <w:t xml:space="preserve">Artificial Intelligence &amp; Machine Learning</w:t>
            </w:r>
          </w:p>
        </w:tc>
        <w:tc>
          <w:tcPr/>
          <w:p>
            <w:pPr>
              <w:pStyle w:val="Compact"/>
              <w:jc w:val="left"/>
            </w:pPr>
            <w:r>
              <w:t xml:space="preserve">AI/Robotics</w:t>
            </w:r>
          </w:p>
        </w:tc>
        <w:tc>
          <w:tcPr/>
          <w:p>
            <w:pPr>
              <w:pStyle w:val="Compact"/>
              <w:jc w:val="left"/>
            </w:pPr>
            <w:r>
              <w:t xml:space="preserve">All 12</w:t>
            </w:r>
          </w:p>
        </w:tc>
      </w:tr>
      <w:tr>
        <w:tc>
          <w:tcPr/>
          <w:p>
            <w:pPr>
              <w:pStyle w:val="Compact"/>
              <w:jc w:val="left"/>
            </w:pPr>
            <w:r>
              <w:t xml:space="preserve">2</w:t>
            </w:r>
          </w:p>
        </w:tc>
        <w:tc>
          <w:tcPr/>
          <w:p>
            <w:pPr>
              <w:pStyle w:val="Compact"/>
              <w:jc w:val="left"/>
            </w:pPr>
            <w:r>
              <w:t xml:space="preserve">Humanoid Robotics</w:t>
            </w:r>
          </w:p>
        </w:tc>
        <w:tc>
          <w:tcPr/>
          <w:p>
            <w:pPr>
              <w:pStyle w:val="Compact"/>
              <w:jc w:val="left"/>
            </w:pPr>
            <w:r>
              <w:t xml:space="preserve">AI/Robotics</w:t>
            </w:r>
          </w:p>
        </w:tc>
        <w:tc>
          <w:tcPr/>
          <w:p>
            <w:pPr>
              <w:pStyle w:val="Compact"/>
              <w:jc w:val="left"/>
            </w:pPr>
            <w:r>
              <w:t xml:space="preserve">All 12</w:t>
            </w:r>
          </w:p>
        </w:tc>
      </w:tr>
      <w:tr>
        <w:tc>
          <w:tcPr/>
          <w:p>
            <w:pPr>
              <w:pStyle w:val="Compact"/>
              <w:jc w:val="left"/>
            </w:pPr>
            <w:r>
              <w:t xml:space="preserve">3</w:t>
            </w:r>
          </w:p>
        </w:tc>
        <w:tc>
          <w:tcPr/>
          <w:p>
            <w:pPr>
              <w:pStyle w:val="Compact"/>
              <w:jc w:val="left"/>
            </w:pPr>
            <w:r>
              <w:t xml:space="preserve">Autonomous Vehicles</w:t>
            </w:r>
          </w:p>
        </w:tc>
        <w:tc>
          <w:tcPr/>
          <w:p>
            <w:pPr>
              <w:pStyle w:val="Compact"/>
              <w:jc w:val="left"/>
            </w:pPr>
            <w:r>
              <w:t xml:space="preserve">AI/Robotics</w:t>
            </w:r>
          </w:p>
        </w:tc>
        <w:tc>
          <w:tcPr/>
          <w:p>
            <w:pPr>
              <w:pStyle w:val="Compact"/>
              <w:jc w:val="left"/>
            </w:pPr>
            <w:r>
              <w:t xml:space="preserve">US, EU, China, UK, Japan, Singapore</w:t>
            </w:r>
          </w:p>
        </w:tc>
      </w:tr>
      <w:tr>
        <w:tc>
          <w:tcPr/>
          <w:p>
            <w:pPr>
              <w:pStyle w:val="Compact"/>
              <w:jc w:val="left"/>
            </w:pPr>
            <w:r>
              <w:t xml:space="preserve">4</w:t>
            </w:r>
          </w:p>
        </w:tc>
        <w:tc>
          <w:tcPr/>
          <w:p>
            <w:pPr>
              <w:pStyle w:val="Compact"/>
              <w:jc w:val="left"/>
            </w:pPr>
            <w:r>
              <w:t xml:space="preserve">Industrial Robotics &amp; Automation</w:t>
            </w:r>
          </w:p>
        </w:tc>
        <w:tc>
          <w:tcPr/>
          <w:p>
            <w:pPr>
              <w:pStyle w:val="Compact"/>
              <w:jc w:val="left"/>
            </w:pPr>
            <w:r>
              <w:t xml:space="preserve">AI/Robotics</w:t>
            </w:r>
          </w:p>
        </w:tc>
        <w:tc>
          <w:tcPr/>
          <w:p>
            <w:pPr>
              <w:pStyle w:val="Compact"/>
              <w:jc w:val="left"/>
            </w:pPr>
            <w:r>
              <w:t xml:space="preserve">EU, US, China, Japan, South Korea</w:t>
            </w:r>
          </w:p>
        </w:tc>
      </w:tr>
      <w:tr>
        <w:tc>
          <w:tcPr/>
          <w:p>
            <w:pPr>
              <w:pStyle w:val="Compact"/>
              <w:jc w:val="left"/>
            </w:pPr>
            <w:r>
              <w:t xml:space="preserve">5</w:t>
            </w:r>
          </w:p>
        </w:tc>
        <w:tc>
          <w:tcPr/>
          <w:p>
            <w:pPr>
              <w:pStyle w:val="Compact"/>
              <w:jc w:val="left"/>
            </w:pPr>
            <w:r>
              <w:t xml:space="preserve">Drones &amp; Aerial Robotics</w:t>
            </w:r>
          </w:p>
        </w:tc>
        <w:tc>
          <w:tcPr/>
          <w:p>
            <w:pPr>
              <w:pStyle w:val="Compact"/>
              <w:jc w:val="left"/>
            </w:pPr>
            <w:r>
              <w:t xml:space="preserve">AI/Robotics</w:t>
            </w:r>
          </w:p>
        </w:tc>
        <w:tc>
          <w:tcPr/>
          <w:p>
            <w:pPr>
              <w:pStyle w:val="Compact"/>
              <w:jc w:val="left"/>
            </w:pPr>
            <w:r>
              <w:t xml:space="preserve">US, EU, China, UK</w:t>
            </w:r>
          </w:p>
        </w:tc>
      </w:tr>
      <w:tr>
        <w:tc>
          <w:tcPr/>
          <w:p>
            <w:pPr>
              <w:pStyle w:val="Compact"/>
              <w:jc w:val="left"/>
            </w:pPr>
            <w:r>
              <w:t xml:space="preserve">6</w:t>
            </w:r>
          </w:p>
        </w:tc>
        <w:tc>
          <w:tcPr/>
          <w:p>
            <w:pPr>
              <w:pStyle w:val="Compact"/>
              <w:jc w:val="left"/>
            </w:pPr>
            <w:r>
              <w:t xml:space="preserve">AI Agent Systems</w:t>
            </w:r>
          </w:p>
        </w:tc>
        <w:tc>
          <w:tcPr/>
          <w:p>
            <w:pPr>
              <w:pStyle w:val="Compact"/>
              <w:jc w:val="left"/>
            </w:pPr>
            <w:r>
              <w:t xml:space="preserve">AI/Robotics</w:t>
            </w:r>
          </w:p>
        </w:tc>
        <w:tc>
          <w:tcPr/>
          <w:p>
            <w:pPr>
              <w:pStyle w:val="Compact"/>
              <w:jc w:val="left"/>
            </w:pPr>
            <w:r>
              <w:t xml:space="preserve">EU, US, China, Singapore</w:t>
            </w:r>
          </w:p>
        </w:tc>
      </w:tr>
      <w:tr>
        <w:tc>
          <w:tcPr/>
          <w:p>
            <w:pPr>
              <w:pStyle w:val="Compact"/>
              <w:jc w:val="left"/>
            </w:pPr>
            <w:r>
              <w:t xml:space="preserve">7</w:t>
            </w:r>
          </w:p>
        </w:tc>
        <w:tc>
          <w:tcPr/>
          <w:p>
            <w:pPr>
              <w:pStyle w:val="Compact"/>
              <w:jc w:val="left"/>
            </w:pPr>
            <w:r>
              <w:t xml:space="preserve">Healthcare AI</w:t>
            </w:r>
          </w:p>
        </w:tc>
        <w:tc>
          <w:tcPr/>
          <w:p>
            <w:pPr>
              <w:pStyle w:val="Compact"/>
              <w:jc w:val="left"/>
            </w:pPr>
            <w:r>
              <w:t xml:space="preserve">Health/Bio</w:t>
            </w:r>
          </w:p>
        </w:tc>
        <w:tc>
          <w:tcPr/>
          <w:p>
            <w:pPr>
              <w:pStyle w:val="Compact"/>
              <w:jc w:val="left"/>
            </w:pPr>
            <w:r>
              <w:t xml:space="preserve">US, EU, China, UK, Japan, South Korea</w:t>
            </w:r>
          </w:p>
        </w:tc>
      </w:tr>
      <w:tr>
        <w:tc>
          <w:tcPr/>
          <w:p>
            <w:pPr>
              <w:pStyle w:val="Compact"/>
              <w:jc w:val="left"/>
            </w:pPr>
            <w:r>
              <w:t xml:space="preserve">8</w:t>
            </w:r>
          </w:p>
        </w:tc>
        <w:tc>
          <w:tcPr/>
          <w:p>
            <w:pPr>
              <w:pStyle w:val="Compact"/>
              <w:jc w:val="left"/>
            </w:pPr>
            <w:r>
              <w:t xml:space="preserve">Medical Devices</w:t>
            </w:r>
          </w:p>
        </w:tc>
        <w:tc>
          <w:tcPr/>
          <w:p>
            <w:pPr>
              <w:pStyle w:val="Compact"/>
              <w:jc w:val="left"/>
            </w:pPr>
            <w:r>
              <w:t xml:space="preserve">Health/Bio</w:t>
            </w:r>
          </w:p>
        </w:tc>
        <w:tc>
          <w:tcPr/>
          <w:p>
            <w:pPr>
              <w:pStyle w:val="Compact"/>
              <w:jc w:val="left"/>
            </w:pPr>
            <w:r>
              <w:t xml:space="preserve">US, EU, China, Japan, South Korea, India</w:t>
            </w:r>
          </w:p>
        </w:tc>
      </w:tr>
      <w:tr>
        <w:tc>
          <w:tcPr/>
          <w:p>
            <w:pPr>
              <w:pStyle w:val="Compact"/>
              <w:jc w:val="left"/>
            </w:pPr>
            <w:r>
              <w:t xml:space="preserve">9</w:t>
            </w:r>
          </w:p>
        </w:tc>
        <w:tc>
          <w:tcPr/>
          <w:p>
            <w:pPr>
              <w:pStyle w:val="Compact"/>
              <w:jc w:val="left"/>
            </w:pPr>
            <w:r>
              <w:t xml:space="preserve">Biotechnology &amp; Genomics</w:t>
            </w:r>
          </w:p>
        </w:tc>
        <w:tc>
          <w:tcPr/>
          <w:p>
            <w:pPr>
              <w:pStyle w:val="Compact"/>
              <w:jc w:val="left"/>
            </w:pPr>
            <w:r>
              <w:t xml:space="preserve">Health/Bio</w:t>
            </w:r>
          </w:p>
        </w:tc>
        <w:tc>
          <w:tcPr/>
          <w:p>
            <w:pPr>
              <w:pStyle w:val="Compact"/>
              <w:jc w:val="left"/>
            </w:pPr>
            <w:r>
              <w:t xml:space="preserve">US, EU, China, UK, Singapore</w:t>
            </w:r>
          </w:p>
        </w:tc>
      </w:tr>
      <w:tr>
        <w:tc>
          <w:tcPr/>
          <w:p>
            <w:pPr>
              <w:pStyle w:val="Compact"/>
              <w:jc w:val="left"/>
            </w:pPr>
            <w:r>
              <w:t xml:space="preserve">10</w:t>
            </w:r>
          </w:p>
        </w:tc>
        <w:tc>
          <w:tcPr/>
          <w:p>
            <w:pPr>
              <w:pStyle w:val="Compact"/>
              <w:jc w:val="left"/>
            </w:pPr>
            <w:r>
              <w:t xml:space="preserve">Pharmaceutical AI</w:t>
            </w:r>
          </w:p>
        </w:tc>
        <w:tc>
          <w:tcPr/>
          <w:p>
            <w:pPr>
              <w:pStyle w:val="Compact"/>
              <w:jc w:val="left"/>
            </w:pPr>
            <w:r>
              <w:t xml:space="preserve">Health/Bio</w:t>
            </w:r>
          </w:p>
        </w:tc>
        <w:tc>
          <w:tcPr/>
          <w:p>
            <w:pPr>
              <w:pStyle w:val="Compact"/>
              <w:jc w:val="left"/>
            </w:pPr>
            <w:r>
              <w:t xml:space="preserve">US, EU, China, Japan, South Korea</w:t>
            </w:r>
          </w:p>
        </w:tc>
      </w:tr>
      <w:tr>
        <w:tc>
          <w:tcPr/>
          <w:p>
            <w:pPr>
              <w:pStyle w:val="Compact"/>
              <w:jc w:val="left"/>
            </w:pPr>
            <w:r>
              <w:t xml:space="preserve">11</w:t>
            </w:r>
          </w:p>
        </w:tc>
        <w:tc>
          <w:tcPr/>
          <w:p>
            <w:pPr>
              <w:pStyle w:val="Compact"/>
              <w:jc w:val="left"/>
            </w:pPr>
            <w:r>
              <w:t xml:space="preserve">Telemedicine &amp; Digital Health</w:t>
            </w:r>
          </w:p>
        </w:tc>
        <w:tc>
          <w:tcPr/>
          <w:p>
            <w:pPr>
              <w:pStyle w:val="Compact"/>
              <w:jc w:val="left"/>
            </w:pPr>
            <w:r>
              <w:t xml:space="preserve">Health/Bio</w:t>
            </w:r>
          </w:p>
        </w:tc>
        <w:tc>
          <w:tcPr/>
          <w:p>
            <w:pPr>
              <w:pStyle w:val="Compact"/>
              <w:jc w:val="left"/>
            </w:pPr>
            <w:r>
              <w:t xml:space="preserve">US, EU, UK, China, India, UAE</w:t>
            </w:r>
          </w:p>
        </w:tc>
      </w:tr>
      <w:tr>
        <w:tc>
          <w:tcPr/>
          <w:p>
            <w:pPr>
              <w:pStyle w:val="Compact"/>
              <w:jc w:val="left"/>
            </w:pPr>
            <w:r>
              <w:t xml:space="preserve">12</w:t>
            </w:r>
          </w:p>
        </w:tc>
        <w:tc>
          <w:tcPr/>
          <w:p>
            <w:pPr>
              <w:pStyle w:val="Compact"/>
              <w:jc w:val="left"/>
            </w:pPr>
            <w:r>
              <w:t xml:space="preserve">Bioinformatics</w:t>
            </w:r>
          </w:p>
        </w:tc>
        <w:tc>
          <w:tcPr/>
          <w:p>
            <w:pPr>
              <w:pStyle w:val="Compact"/>
              <w:jc w:val="left"/>
            </w:pPr>
            <w:r>
              <w:t xml:space="preserve">Health/Bio</w:t>
            </w:r>
          </w:p>
        </w:tc>
        <w:tc>
          <w:tcPr/>
          <w:p>
            <w:pPr>
              <w:pStyle w:val="Compact"/>
              <w:jc w:val="left"/>
            </w:pPr>
            <w:r>
              <w:t xml:space="preserve">US, EU, China, UK, Singapore</w:t>
            </w:r>
          </w:p>
        </w:tc>
      </w:tr>
      <w:tr>
        <w:tc>
          <w:tcPr/>
          <w:p>
            <w:pPr>
              <w:pStyle w:val="Compact"/>
              <w:jc w:val="left"/>
            </w:pPr>
            <w:r>
              <w:t xml:space="preserve">13</w:t>
            </w:r>
          </w:p>
        </w:tc>
        <w:tc>
          <w:tcPr/>
          <w:p>
            <w:pPr>
              <w:pStyle w:val="Compact"/>
              <w:jc w:val="left"/>
            </w:pPr>
            <w:r>
              <w:t xml:space="preserve">AI in Banking</w:t>
            </w:r>
          </w:p>
        </w:tc>
        <w:tc>
          <w:tcPr/>
          <w:p>
            <w:pPr>
              <w:pStyle w:val="Compact"/>
              <w:jc w:val="left"/>
            </w:pPr>
            <w:r>
              <w:t xml:space="preserve">Finance</w:t>
            </w:r>
          </w:p>
        </w:tc>
        <w:tc>
          <w:tcPr/>
          <w:p>
            <w:pPr>
              <w:pStyle w:val="Compact"/>
              <w:jc w:val="left"/>
            </w:pPr>
            <w:r>
              <w:t xml:space="preserve">All 12</w:t>
            </w:r>
          </w:p>
        </w:tc>
      </w:tr>
      <w:tr>
        <w:tc>
          <w:tcPr/>
          <w:p>
            <w:pPr>
              <w:pStyle w:val="Compact"/>
              <w:jc w:val="left"/>
            </w:pPr>
            <w:r>
              <w:t xml:space="preserve">14</w:t>
            </w:r>
          </w:p>
        </w:tc>
        <w:tc>
          <w:tcPr/>
          <w:p>
            <w:pPr>
              <w:pStyle w:val="Compact"/>
              <w:jc w:val="left"/>
            </w:pPr>
            <w:r>
              <w:t xml:space="preserve">InsurTech &amp; AI Insurance</w:t>
            </w:r>
          </w:p>
        </w:tc>
        <w:tc>
          <w:tcPr/>
          <w:p>
            <w:pPr>
              <w:pStyle w:val="Compact"/>
              <w:jc w:val="left"/>
            </w:pPr>
            <w:r>
              <w:t xml:space="preserve">Finance</w:t>
            </w:r>
          </w:p>
        </w:tc>
        <w:tc>
          <w:tcPr/>
          <w:p>
            <w:pPr>
              <w:pStyle w:val="Compact"/>
              <w:jc w:val="left"/>
            </w:pPr>
            <w:r>
              <w:t xml:space="preserve">All 12</w:t>
            </w:r>
          </w:p>
        </w:tc>
      </w:tr>
      <w:tr>
        <w:tc>
          <w:tcPr/>
          <w:p>
            <w:pPr>
              <w:pStyle w:val="Compact"/>
              <w:jc w:val="left"/>
            </w:pPr>
            <w:r>
              <w:t xml:space="preserve">15</w:t>
            </w:r>
          </w:p>
        </w:tc>
        <w:tc>
          <w:tcPr/>
          <w:p>
            <w:pPr>
              <w:pStyle w:val="Compact"/>
              <w:jc w:val="left"/>
            </w:pPr>
            <w:r>
              <w:t xml:space="preserve">Cryptocurrency &amp; Digital Assets</w:t>
            </w:r>
          </w:p>
        </w:tc>
        <w:tc>
          <w:tcPr/>
          <w:p>
            <w:pPr>
              <w:pStyle w:val="Compact"/>
              <w:jc w:val="left"/>
            </w:pPr>
            <w:r>
              <w:t xml:space="preserve">Finance</w:t>
            </w:r>
          </w:p>
        </w:tc>
        <w:tc>
          <w:tcPr/>
          <w:p>
            <w:pPr>
              <w:pStyle w:val="Compact"/>
              <w:jc w:val="left"/>
            </w:pPr>
            <w:r>
              <w:t xml:space="preserve">US, EU, UAE, Singapore, Japan, South Korea</w:t>
            </w:r>
          </w:p>
        </w:tc>
      </w:tr>
      <w:tr>
        <w:tc>
          <w:tcPr/>
          <w:p>
            <w:pPr>
              <w:pStyle w:val="Compact"/>
              <w:jc w:val="left"/>
            </w:pPr>
            <w:r>
              <w:t xml:space="preserve">16</w:t>
            </w:r>
          </w:p>
        </w:tc>
        <w:tc>
          <w:tcPr/>
          <w:p>
            <w:pPr>
              <w:pStyle w:val="Compact"/>
              <w:jc w:val="left"/>
            </w:pPr>
            <w:r>
              <w:t xml:space="preserve">Algorithmic Trading &amp; Quant Finance</w:t>
            </w:r>
          </w:p>
        </w:tc>
        <w:tc>
          <w:tcPr/>
          <w:p>
            <w:pPr>
              <w:pStyle w:val="Compact"/>
              <w:jc w:val="left"/>
            </w:pPr>
            <w:r>
              <w:t xml:space="preserve">Finance</w:t>
            </w:r>
          </w:p>
        </w:tc>
        <w:tc>
          <w:tcPr/>
          <w:p>
            <w:pPr>
              <w:pStyle w:val="Compact"/>
              <w:jc w:val="left"/>
            </w:pPr>
            <w:r>
              <w:t xml:space="preserve">US, EU, UK, Singapore, Japan, South Korea</w:t>
            </w:r>
          </w:p>
        </w:tc>
      </w:tr>
      <w:tr>
        <w:tc>
          <w:tcPr/>
          <w:p>
            <w:pPr>
              <w:pStyle w:val="Compact"/>
              <w:jc w:val="left"/>
            </w:pPr>
            <w:r>
              <w:t xml:space="preserve">17</w:t>
            </w:r>
          </w:p>
        </w:tc>
        <w:tc>
          <w:tcPr/>
          <w:p>
            <w:pPr>
              <w:pStyle w:val="Compact"/>
              <w:jc w:val="left"/>
            </w:pPr>
            <w:r>
              <w:t xml:space="preserve">RegTech</w:t>
            </w:r>
          </w:p>
        </w:tc>
        <w:tc>
          <w:tcPr/>
          <w:p>
            <w:pPr>
              <w:pStyle w:val="Compact"/>
              <w:jc w:val="left"/>
            </w:pPr>
            <w:r>
              <w:t xml:space="preserve">Finance</w:t>
            </w:r>
          </w:p>
        </w:tc>
        <w:tc>
          <w:tcPr/>
          <w:p>
            <w:pPr>
              <w:pStyle w:val="Compact"/>
              <w:jc w:val="left"/>
            </w:pPr>
            <w:r>
              <w:t xml:space="preserve">All 12</w:t>
            </w:r>
          </w:p>
        </w:tc>
      </w:tr>
      <w:tr>
        <w:tc>
          <w:tcPr/>
          <w:p>
            <w:pPr>
              <w:pStyle w:val="Compact"/>
              <w:jc w:val="left"/>
            </w:pPr>
            <w:r>
              <w:t xml:space="preserve">18</w:t>
            </w:r>
          </w:p>
        </w:tc>
        <w:tc>
          <w:tcPr/>
          <w:p>
            <w:pPr>
              <w:pStyle w:val="Compact"/>
              <w:jc w:val="left"/>
            </w:pPr>
            <w:r>
              <w:t xml:space="preserve">Payment Systems &amp; Fintech</w:t>
            </w:r>
          </w:p>
        </w:tc>
        <w:tc>
          <w:tcPr/>
          <w:p>
            <w:pPr>
              <w:pStyle w:val="Compact"/>
              <w:jc w:val="left"/>
            </w:pPr>
            <w:r>
              <w:t xml:space="preserve">Finance</w:t>
            </w:r>
          </w:p>
        </w:tc>
        <w:tc>
          <w:tcPr/>
          <w:p>
            <w:pPr>
              <w:pStyle w:val="Compact"/>
              <w:jc w:val="left"/>
            </w:pPr>
            <w:r>
              <w:t xml:space="preserve">All 12</w:t>
            </w:r>
          </w:p>
        </w:tc>
      </w:tr>
      <w:tr>
        <w:tc>
          <w:tcPr/>
          <w:p>
            <w:pPr>
              <w:pStyle w:val="Compact"/>
              <w:jc w:val="left"/>
            </w:pPr>
            <w:r>
              <w:t xml:space="preserve">19</w:t>
            </w:r>
          </w:p>
        </w:tc>
        <w:tc>
          <w:tcPr/>
          <w:p>
            <w:pPr>
              <w:pStyle w:val="Compact"/>
              <w:jc w:val="left"/>
            </w:pPr>
            <w:r>
              <w:t xml:space="preserve">Cybersecurity AI</w:t>
            </w:r>
          </w:p>
        </w:tc>
        <w:tc>
          <w:tcPr/>
          <w:p>
            <w:pPr>
              <w:pStyle w:val="Compact"/>
              <w:jc w:val="left"/>
            </w:pPr>
            <w:r>
              <w:t xml:space="preserve">Cyber/Defense</w:t>
            </w:r>
          </w:p>
        </w:tc>
        <w:tc>
          <w:tcPr/>
          <w:p>
            <w:pPr>
              <w:pStyle w:val="Compact"/>
              <w:jc w:val="left"/>
            </w:pPr>
            <w:r>
              <w:t xml:space="preserve">All 12</w:t>
            </w:r>
          </w:p>
        </w:tc>
      </w:tr>
      <w:tr>
        <w:tc>
          <w:tcPr/>
          <w:p>
            <w:pPr>
              <w:pStyle w:val="Compact"/>
              <w:jc w:val="left"/>
            </w:pPr>
            <w:r>
              <w:t xml:space="preserve">20</w:t>
            </w:r>
          </w:p>
        </w:tc>
        <w:tc>
          <w:tcPr/>
          <w:p>
            <w:pPr>
              <w:pStyle w:val="Compact"/>
              <w:jc w:val="left"/>
            </w:pPr>
            <w:r>
              <w:t xml:space="preserve">Defense &amp; Military AI</w:t>
            </w:r>
          </w:p>
        </w:tc>
        <w:tc>
          <w:tcPr/>
          <w:p>
            <w:pPr>
              <w:pStyle w:val="Compact"/>
              <w:jc w:val="left"/>
            </w:pPr>
            <w:r>
              <w:t xml:space="preserve">Cyber/Defense</w:t>
            </w:r>
          </w:p>
        </w:tc>
        <w:tc>
          <w:tcPr/>
          <w:p>
            <w:pPr>
              <w:pStyle w:val="Compact"/>
              <w:jc w:val="left"/>
            </w:pPr>
            <w:r>
              <w:t xml:space="preserve">US, EU, UK, China, Israel</w:t>
            </w:r>
          </w:p>
        </w:tc>
      </w:tr>
      <w:tr>
        <w:tc>
          <w:tcPr/>
          <w:p>
            <w:pPr>
              <w:pStyle w:val="Compact"/>
              <w:jc w:val="left"/>
            </w:pPr>
            <w:r>
              <w:t xml:space="preserve">21</w:t>
            </w:r>
          </w:p>
        </w:tc>
        <w:tc>
          <w:tcPr/>
          <w:p>
            <w:pPr>
              <w:pStyle w:val="Compact"/>
              <w:jc w:val="left"/>
            </w:pPr>
            <w:r>
              <w:t xml:space="preserve">Surveillance &amp; Public Safety AI</w:t>
            </w:r>
          </w:p>
        </w:tc>
        <w:tc>
          <w:tcPr/>
          <w:p>
            <w:pPr>
              <w:pStyle w:val="Compact"/>
              <w:jc w:val="left"/>
            </w:pPr>
            <w:r>
              <w:t xml:space="preserve">Cyber/Defense</w:t>
            </w:r>
          </w:p>
        </w:tc>
        <w:tc>
          <w:tcPr/>
          <w:p>
            <w:pPr>
              <w:pStyle w:val="Compact"/>
              <w:jc w:val="left"/>
            </w:pPr>
            <w:r>
              <w:t xml:space="preserve">All 12</w:t>
            </w:r>
          </w:p>
        </w:tc>
      </w:tr>
      <w:tr>
        <w:tc>
          <w:tcPr/>
          <w:p>
            <w:pPr>
              <w:pStyle w:val="Compact"/>
              <w:jc w:val="left"/>
            </w:pPr>
            <w:r>
              <w:t xml:space="preserve">22</w:t>
            </w:r>
          </w:p>
        </w:tc>
        <w:tc>
          <w:tcPr/>
          <w:p>
            <w:pPr>
              <w:pStyle w:val="Compact"/>
              <w:jc w:val="left"/>
            </w:pPr>
            <w:r>
              <w:t xml:space="preserve">Space Technology</w:t>
            </w:r>
          </w:p>
        </w:tc>
        <w:tc>
          <w:tcPr/>
          <w:p>
            <w:pPr>
              <w:pStyle w:val="Compact"/>
              <w:jc w:val="left"/>
            </w:pPr>
            <w:r>
              <w:t xml:space="preserve">Cyber/Defense</w:t>
            </w:r>
          </w:p>
        </w:tc>
        <w:tc>
          <w:tcPr/>
          <w:p>
            <w:pPr>
              <w:pStyle w:val="Compact"/>
              <w:jc w:val="left"/>
            </w:pPr>
            <w:r>
              <w:t xml:space="preserve">US, EU, China, UK, Japan</w:t>
            </w:r>
          </w:p>
        </w:tc>
      </w:tr>
      <w:tr>
        <w:tc>
          <w:tcPr/>
          <w:p>
            <w:pPr>
              <w:pStyle w:val="Compact"/>
              <w:jc w:val="left"/>
            </w:pPr>
            <w:r>
              <w:t xml:space="preserve">23</w:t>
            </w:r>
          </w:p>
        </w:tc>
        <w:tc>
          <w:tcPr/>
          <w:p>
            <w:pPr>
              <w:pStyle w:val="Compact"/>
              <w:jc w:val="left"/>
            </w:pPr>
            <w:r>
              <w:t xml:space="preserve">Critical Infrastructure Protection</w:t>
            </w:r>
          </w:p>
        </w:tc>
        <w:tc>
          <w:tcPr/>
          <w:p>
            <w:pPr>
              <w:pStyle w:val="Compact"/>
              <w:jc w:val="left"/>
            </w:pPr>
            <w:r>
              <w:t xml:space="preserve">Cyber/Defense</w:t>
            </w:r>
          </w:p>
        </w:tc>
        <w:tc>
          <w:tcPr/>
          <w:p>
            <w:pPr>
              <w:pStyle w:val="Compact"/>
              <w:jc w:val="left"/>
            </w:pPr>
            <w:r>
              <w:t xml:space="preserve">All 12</w:t>
            </w:r>
          </w:p>
        </w:tc>
      </w:tr>
      <w:tr>
        <w:tc>
          <w:tcPr/>
          <w:p>
            <w:pPr>
              <w:pStyle w:val="Compact"/>
              <w:jc w:val="left"/>
            </w:pPr>
            <w:r>
              <w:t xml:space="preserve">24</w:t>
            </w:r>
          </w:p>
        </w:tc>
        <w:tc>
          <w:tcPr/>
          <w:p>
            <w:pPr>
              <w:pStyle w:val="Compact"/>
              <w:jc w:val="left"/>
            </w:pPr>
            <w:r>
              <w:t xml:space="preserve">AI Governance &amp; Safety</w:t>
            </w:r>
          </w:p>
        </w:tc>
        <w:tc>
          <w:tcPr/>
          <w:p>
            <w:pPr>
              <w:pStyle w:val="Compact"/>
              <w:jc w:val="left"/>
            </w:pPr>
            <w:r>
              <w:t xml:space="preserve">Cyber/Defense</w:t>
            </w:r>
          </w:p>
        </w:tc>
        <w:tc>
          <w:tcPr/>
          <w:p>
            <w:pPr>
              <w:pStyle w:val="Compact"/>
              <w:jc w:val="left"/>
            </w:pPr>
            <w:r>
              <w:t xml:space="preserve">All 12</w:t>
            </w:r>
          </w:p>
        </w:tc>
      </w:tr>
      <w:tr>
        <w:tc>
          <w:tcPr/>
          <w:p>
            <w:pPr>
              <w:pStyle w:val="Compact"/>
              <w:jc w:val="left"/>
            </w:pPr>
            <w:r>
              <w:t xml:space="preserve">25</w:t>
            </w:r>
          </w:p>
        </w:tc>
        <w:tc>
          <w:tcPr/>
          <w:p>
            <w:pPr>
              <w:pStyle w:val="Compact"/>
              <w:jc w:val="left"/>
            </w:pPr>
            <w:r>
              <w:t xml:space="preserve">Telecom &amp; 5G/6G</w:t>
            </w:r>
          </w:p>
        </w:tc>
        <w:tc>
          <w:tcPr/>
          <w:p>
            <w:pPr>
              <w:pStyle w:val="Compact"/>
              <w:jc w:val="left"/>
            </w:pPr>
            <w:r>
              <w:t xml:space="preserve">Telecom/Quantum</w:t>
            </w:r>
          </w:p>
        </w:tc>
        <w:tc>
          <w:tcPr/>
          <w:p>
            <w:pPr>
              <w:pStyle w:val="Compact"/>
              <w:jc w:val="left"/>
            </w:pPr>
            <w:r>
              <w:t xml:space="preserve">All 12</w:t>
            </w:r>
          </w:p>
        </w:tc>
      </w:tr>
      <w:tr>
        <w:tc>
          <w:tcPr/>
          <w:p>
            <w:pPr>
              <w:pStyle w:val="Compact"/>
              <w:jc w:val="left"/>
            </w:pPr>
            <w:r>
              <w:t xml:space="preserve">26</w:t>
            </w:r>
          </w:p>
        </w:tc>
        <w:tc>
          <w:tcPr/>
          <w:p>
            <w:pPr>
              <w:pStyle w:val="Compact"/>
              <w:jc w:val="left"/>
            </w:pPr>
            <w:r>
              <w:t xml:space="preserve">Internet of Things (IoT)</w:t>
            </w:r>
          </w:p>
        </w:tc>
        <w:tc>
          <w:tcPr/>
          <w:p>
            <w:pPr>
              <w:pStyle w:val="Compact"/>
              <w:jc w:val="left"/>
            </w:pPr>
            <w:r>
              <w:t xml:space="preserve">Telecom/Quantum</w:t>
            </w:r>
          </w:p>
        </w:tc>
        <w:tc>
          <w:tcPr/>
          <w:p>
            <w:pPr>
              <w:pStyle w:val="Compact"/>
              <w:jc w:val="left"/>
            </w:pPr>
            <w:r>
              <w:t xml:space="preserve">All 12</w:t>
            </w:r>
          </w:p>
        </w:tc>
      </w:tr>
      <w:tr>
        <w:tc>
          <w:tcPr/>
          <w:p>
            <w:pPr>
              <w:pStyle w:val="Compact"/>
              <w:jc w:val="left"/>
            </w:pPr>
            <w:r>
              <w:t xml:space="preserve">27</w:t>
            </w:r>
          </w:p>
        </w:tc>
        <w:tc>
          <w:tcPr/>
          <w:p>
            <w:pPr>
              <w:pStyle w:val="Compact"/>
              <w:jc w:val="left"/>
            </w:pPr>
            <w:r>
              <w:t xml:space="preserve">Quantum Computing</w:t>
            </w:r>
          </w:p>
        </w:tc>
        <w:tc>
          <w:tcPr/>
          <w:p>
            <w:pPr>
              <w:pStyle w:val="Compact"/>
              <w:jc w:val="left"/>
            </w:pPr>
            <w:r>
              <w:t xml:space="preserve">Telecom/Quantum</w:t>
            </w:r>
          </w:p>
        </w:tc>
        <w:tc>
          <w:tcPr/>
          <w:p>
            <w:pPr>
              <w:pStyle w:val="Compact"/>
              <w:jc w:val="left"/>
            </w:pPr>
            <w:r>
              <w:t xml:space="preserve">US, EU, China, UK, Japan, South Korea</w:t>
            </w:r>
          </w:p>
        </w:tc>
      </w:tr>
      <w:tr>
        <w:tc>
          <w:tcPr/>
          <w:p>
            <w:pPr>
              <w:pStyle w:val="Compact"/>
              <w:jc w:val="left"/>
            </w:pPr>
            <w:r>
              <w:t xml:space="preserve">28</w:t>
            </w:r>
          </w:p>
        </w:tc>
        <w:tc>
          <w:tcPr/>
          <w:p>
            <w:pPr>
              <w:pStyle w:val="Compact"/>
              <w:jc w:val="left"/>
            </w:pPr>
            <w:r>
              <w:t xml:space="preserve">Cloud Computing &amp; Edge AI</w:t>
            </w:r>
          </w:p>
        </w:tc>
        <w:tc>
          <w:tcPr/>
          <w:p>
            <w:pPr>
              <w:pStyle w:val="Compact"/>
              <w:jc w:val="left"/>
            </w:pPr>
            <w:r>
              <w:t xml:space="preserve">Telecom/Quantum</w:t>
            </w:r>
          </w:p>
        </w:tc>
        <w:tc>
          <w:tcPr/>
          <w:p>
            <w:pPr>
              <w:pStyle w:val="Compact"/>
              <w:jc w:val="left"/>
            </w:pPr>
            <w:r>
              <w:t xml:space="preserve">All 12</w:t>
            </w:r>
          </w:p>
        </w:tc>
      </w:tr>
      <w:tr>
        <w:tc>
          <w:tcPr/>
          <w:p>
            <w:pPr>
              <w:pStyle w:val="Compact"/>
              <w:jc w:val="left"/>
            </w:pPr>
            <w:r>
              <w:t xml:space="preserve">29</w:t>
            </w:r>
          </w:p>
        </w:tc>
        <w:tc>
          <w:tcPr/>
          <w:p>
            <w:pPr>
              <w:pStyle w:val="Compact"/>
              <w:jc w:val="left"/>
            </w:pPr>
            <w:r>
              <w:t xml:space="preserve">Semiconductor &amp; Chip Design AI</w:t>
            </w:r>
          </w:p>
        </w:tc>
        <w:tc>
          <w:tcPr/>
          <w:p>
            <w:pPr>
              <w:pStyle w:val="Compact"/>
              <w:jc w:val="left"/>
            </w:pPr>
            <w:r>
              <w:t xml:space="preserve">Telecom/Quantum</w:t>
            </w:r>
          </w:p>
        </w:tc>
        <w:tc>
          <w:tcPr/>
          <w:p>
            <w:pPr>
              <w:pStyle w:val="Compact"/>
              <w:jc w:val="left"/>
            </w:pPr>
            <w:r>
              <w:t xml:space="preserve">US, China, EU, South Korea, Japan, Taiwan</w:t>
            </w:r>
          </w:p>
        </w:tc>
      </w:tr>
      <w:tr>
        <w:tc>
          <w:tcPr/>
          <w:p>
            <w:pPr>
              <w:pStyle w:val="Compact"/>
              <w:jc w:val="left"/>
            </w:pPr>
            <w:r>
              <w:t xml:space="preserve">30</w:t>
            </w:r>
          </w:p>
        </w:tc>
        <w:tc>
          <w:tcPr/>
          <w:p>
            <w:pPr>
              <w:pStyle w:val="Compact"/>
              <w:jc w:val="left"/>
            </w:pPr>
            <w:r>
              <w:t xml:space="preserve">Data Centers &amp; Compute Infra</w:t>
            </w:r>
          </w:p>
        </w:tc>
        <w:tc>
          <w:tcPr/>
          <w:p>
            <w:pPr>
              <w:pStyle w:val="Compact"/>
              <w:jc w:val="left"/>
            </w:pPr>
            <w:r>
              <w:t xml:space="preserve">Telecom/Quantum</w:t>
            </w:r>
          </w:p>
        </w:tc>
        <w:tc>
          <w:tcPr/>
          <w:p>
            <w:pPr>
              <w:pStyle w:val="Compact"/>
              <w:jc w:val="left"/>
            </w:pPr>
            <w:r>
              <w:t xml:space="preserve">All 12</w:t>
            </w:r>
          </w:p>
        </w:tc>
      </w:tr>
      <w:tr>
        <w:tc>
          <w:tcPr/>
          <w:p>
            <w:pPr>
              <w:pStyle w:val="Compact"/>
              <w:jc w:val="left"/>
            </w:pPr>
            <w:r>
              <w:t xml:space="preserve">31</w:t>
            </w:r>
          </w:p>
        </w:tc>
        <w:tc>
          <w:tcPr/>
          <w:p>
            <w:pPr>
              <w:pStyle w:val="Compact"/>
              <w:jc w:val="left"/>
            </w:pPr>
            <w:r>
              <w:t xml:space="preserve">Gaming AI</w:t>
            </w:r>
          </w:p>
        </w:tc>
        <w:tc>
          <w:tcPr/>
          <w:p>
            <w:pPr>
              <w:pStyle w:val="Compact"/>
              <w:jc w:val="left"/>
            </w:pPr>
            <w:r>
              <w:t xml:space="preserve">Gaming/Media</w:t>
            </w:r>
          </w:p>
        </w:tc>
        <w:tc>
          <w:tcPr/>
          <w:p>
            <w:pPr>
              <w:pStyle w:val="Compact"/>
              <w:jc w:val="left"/>
            </w:pPr>
            <w:r>
              <w:t xml:space="preserve">All 12</w:t>
            </w:r>
          </w:p>
        </w:tc>
      </w:tr>
      <w:tr>
        <w:tc>
          <w:tcPr/>
          <w:p>
            <w:pPr>
              <w:pStyle w:val="Compact"/>
              <w:jc w:val="left"/>
            </w:pPr>
            <w:r>
              <w:t xml:space="preserve">32</w:t>
            </w:r>
          </w:p>
        </w:tc>
        <w:tc>
          <w:tcPr/>
          <w:p>
            <w:pPr>
              <w:pStyle w:val="Compact"/>
              <w:jc w:val="left"/>
            </w:pPr>
            <w:r>
              <w:t xml:space="preserve">Virtual &amp; Augmented Reality</w:t>
            </w:r>
          </w:p>
        </w:tc>
        <w:tc>
          <w:tcPr/>
          <w:p>
            <w:pPr>
              <w:pStyle w:val="Compact"/>
              <w:jc w:val="left"/>
            </w:pPr>
            <w:r>
              <w:t xml:space="preserve">Gaming/Media</w:t>
            </w:r>
          </w:p>
        </w:tc>
        <w:tc>
          <w:tcPr/>
          <w:p>
            <w:pPr>
              <w:pStyle w:val="Compact"/>
              <w:jc w:val="left"/>
            </w:pPr>
            <w:r>
              <w:t xml:space="preserve">US, EU, China, Japan, South Korea</w:t>
            </w:r>
          </w:p>
        </w:tc>
      </w:tr>
      <w:tr>
        <w:tc>
          <w:tcPr/>
          <w:p>
            <w:pPr>
              <w:pStyle w:val="Compact"/>
              <w:jc w:val="left"/>
            </w:pPr>
            <w:r>
              <w:t xml:space="preserve">33</w:t>
            </w:r>
          </w:p>
        </w:tc>
        <w:tc>
          <w:tcPr/>
          <w:p>
            <w:pPr>
              <w:pStyle w:val="Compact"/>
              <w:jc w:val="left"/>
            </w:pPr>
            <w:r>
              <w:t xml:space="preserve">Social Media &amp; Content Platforms</w:t>
            </w:r>
          </w:p>
        </w:tc>
        <w:tc>
          <w:tcPr/>
          <w:p>
            <w:pPr>
              <w:pStyle w:val="Compact"/>
              <w:jc w:val="left"/>
            </w:pPr>
            <w:r>
              <w:t xml:space="preserve">Gaming/Media</w:t>
            </w:r>
          </w:p>
        </w:tc>
        <w:tc>
          <w:tcPr/>
          <w:p>
            <w:pPr>
              <w:pStyle w:val="Compact"/>
              <w:jc w:val="left"/>
            </w:pPr>
            <w:r>
              <w:t xml:space="preserve">All 12</w:t>
            </w:r>
          </w:p>
        </w:tc>
      </w:tr>
      <w:tr>
        <w:tc>
          <w:tcPr/>
          <w:p>
            <w:pPr>
              <w:pStyle w:val="Compact"/>
              <w:jc w:val="left"/>
            </w:pPr>
            <w:r>
              <w:t xml:space="preserve">34</w:t>
            </w:r>
          </w:p>
        </w:tc>
        <w:tc>
          <w:tcPr/>
          <w:p>
            <w:pPr>
              <w:pStyle w:val="Compact"/>
              <w:jc w:val="left"/>
            </w:pPr>
            <w:r>
              <w:t xml:space="preserve">Streaming &amp; Entertainment AI</w:t>
            </w:r>
          </w:p>
        </w:tc>
        <w:tc>
          <w:tcPr/>
          <w:p>
            <w:pPr>
              <w:pStyle w:val="Compact"/>
              <w:jc w:val="left"/>
            </w:pPr>
            <w:r>
              <w:t xml:space="preserve">Gaming/Media</w:t>
            </w:r>
          </w:p>
        </w:tc>
        <w:tc>
          <w:tcPr/>
          <w:p>
            <w:pPr>
              <w:pStyle w:val="Compact"/>
              <w:jc w:val="left"/>
            </w:pPr>
            <w:r>
              <w:t xml:space="preserve">All 12</w:t>
            </w:r>
          </w:p>
        </w:tc>
      </w:tr>
      <w:tr>
        <w:tc>
          <w:tcPr/>
          <w:p>
            <w:pPr>
              <w:pStyle w:val="Compact"/>
              <w:jc w:val="left"/>
            </w:pPr>
            <w:r>
              <w:t xml:space="preserve">35</w:t>
            </w:r>
          </w:p>
        </w:tc>
        <w:tc>
          <w:tcPr/>
          <w:p>
            <w:pPr>
              <w:pStyle w:val="Compact"/>
              <w:jc w:val="left"/>
            </w:pPr>
            <w:r>
              <w:t xml:space="preserve">E-sports &amp; Competitive Gaming</w:t>
            </w:r>
          </w:p>
        </w:tc>
        <w:tc>
          <w:tcPr/>
          <w:p>
            <w:pPr>
              <w:pStyle w:val="Compact"/>
              <w:jc w:val="left"/>
            </w:pPr>
            <w:r>
              <w:t xml:space="preserve">Gaming/Media</w:t>
            </w:r>
          </w:p>
        </w:tc>
        <w:tc>
          <w:tcPr/>
          <w:p>
            <w:pPr>
              <w:pStyle w:val="Compact"/>
              <w:jc w:val="left"/>
            </w:pPr>
            <w:r>
              <w:t xml:space="preserve">All 12</w:t>
            </w:r>
          </w:p>
        </w:tc>
      </w:tr>
      <w:tr>
        <w:tc>
          <w:tcPr/>
          <w:p>
            <w:pPr>
              <w:pStyle w:val="Compact"/>
              <w:jc w:val="left"/>
            </w:pPr>
            <w:r>
              <w:t xml:space="preserve">36</w:t>
            </w:r>
          </w:p>
        </w:tc>
        <w:tc>
          <w:tcPr/>
          <w:p>
            <w:pPr>
              <w:pStyle w:val="Compact"/>
              <w:jc w:val="left"/>
            </w:pPr>
            <w:r>
              <w:t xml:space="preserve">Virtual Economies &amp; Metaverse</w:t>
            </w:r>
          </w:p>
        </w:tc>
        <w:tc>
          <w:tcPr/>
          <w:p>
            <w:pPr>
              <w:pStyle w:val="Compact"/>
              <w:jc w:val="left"/>
            </w:pPr>
            <w:r>
              <w:t xml:space="preserve">Gaming/Media</w:t>
            </w:r>
          </w:p>
        </w:tc>
        <w:tc>
          <w:tcPr/>
          <w:p>
            <w:pPr>
              <w:pStyle w:val="Compact"/>
              <w:jc w:val="left"/>
            </w:pPr>
            <w:r>
              <w:t xml:space="preserve">All 12</w:t>
            </w:r>
          </w:p>
        </w:tc>
      </w:tr>
      <w:tr>
        <w:tc>
          <w:tcPr/>
          <w:p>
            <w:pPr>
              <w:pStyle w:val="Compact"/>
              <w:jc w:val="left"/>
            </w:pPr>
            <w:r>
              <w:t xml:space="preserve">37</w:t>
            </w:r>
          </w:p>
        </w:tc>
        <w:tc>
          <w:tcPr/>
          <w:p>
            <w:pPr>
              <w:pStyle w:val="Compact"/>
              <w:jc w:val="left"/>
            </w:pPr>
            <w:r>
              <w:t xml:space="preserve">LegalTech &amp; AI Law</w:t>
            </w:r>
          </w:p>
        </w:tc>
        <w:tc>
          <w:tcPr/>
          <w:p>
            <w:pPr>
              <w:pStyle w:val="Compact"/>
              <w:jc w:val="left"/>
            </w:pPr>
            <w:r>
              <w:t xml:space="preserve">Legal/Edu</w:t>
            </w:r>
          </w:p>
        </w:tc>
        <w:tc>
          <w:tcPr/>
          <w:p>
            <w:pPr>
              <w:pStyle w:val="Compact"/>
              <w:jc w:val="left"/>
            </w:pPr>
            <w:r>
              <w:t xml:space="preserve">US, EU, UK, China, Singapore, South Korea</w:t>
            </w:r>
          </w:p>
        </w:tc>
      </w:tr>
      <w:tr>
        <w:tc>
          <w:tcPr/>
          <w:p>
            <w:pPr>
              <w:pStyle w:val="Compact"/>
              <w:jc w:val="left"/>
            </w:pPr>
            <w:r>
              <w:t xml:space="preserve">38</w:t>
            </w:r>
          </w:p>
        </w:tc>
        <w:tc>
          <w:tcPr/>
          <w:p>
            <w:pPr>
              <w:pStyle w:val="Compact"/>
              <w:jc w:val="left"/>
            </w:pPr>
            <w:r>
              <w:t xml:space="preserve">Education AI (EdTech)</w:t>
            </w:r>
          </w:p>
        </w:tc>
        <w:tc>
          <w:tcPr/>
          <w:p>
            <w:pPr>
              <w:pStyle w:val="Compact"/>
              <w:jc w:val="left"/>
            </w:pPr>
            <w:r>
              <w:t xml:space="preserve">Legal/Edu</w:t>
            </w:r>
          </w:p>
        </w:tc>
        <w:tc>
          <w:tcPr/>
          <w:p>
            <w:pPr>
              <w:pStyle w:val="Compact"/>
              <w:jc w:val="left"/>
            </w:pPr>
            <w:r>
              <w:t xml:space="preserve">All 12</w:t>
            </w:r>
          </w:p>
        </w:tc>
      </w:tr>
      <w:tr>
        <w:tc>
          <w:tcPr/>
          <w:p>
            <w:pPr>
              <w:pStyle w:val="Compact"/>
              <w:jc w:val="left"/>
            </w:pPr>
            <w:r>
              <w:t xml:space="preserve">39</w:t>
            </w:r>
          </w:p>
        </w:tc>
        <w:tc>
          <w:tcPr/>
          <w:p>
            <w:pPr>
              <w:pStyle w:val="Compact"/>
              <w:jc w:val="left"/>
            </w:pPr>
            <w:r>
              <w:t xml:space="preserve">Transport &amp; Logistics AI</w:t>
            </w:r>
          </w:p>
        </w:tc>
        <w:tc>
          <w:tcPr/>
          <w:p>
            <w:pPr>
              <w:pStyle w:val="Compact"/>
              <w:jc w:val="left"/>
            </w:pPr>
            <w:r>
              <w:t xml:space="preserve">Legal/Edu</w:t>
            </w:r>
          </w:p>
        </w:tc>
        <w:tc>
          <w:tcPr/>
          <w:p>
            <w:pPr>
              <w:pStyle w:val="Compact"/>
              <w:jc w:val="left"/>
            </w:pPr>
            <w:r>
              <w:t xml:space="preserve">US, EU, China, Japan, Singapore, UAE</w:t>
            </w:r>
          </w:p>
        </w:tc>
      </w:tr>
      <w:tr>
        <w:tc>
          <w:tcPr/>
          <w:p>
            <w:pPr>
              <w:pStyle w:val="Compact"/>
              <w:jc w:val="left"/>
            </w:pPr>
            <w:r>
              <w:t xml:space="preserve">40</w:t>
            </w:r>
          </w:p>
        </w:tc>
        <w:tc>
          <w:tcPr/>
          <w:p>
            <w:pPr>
              <w:pStyle w:val="Compact"/>
              <w:jc w:val="left"/>
            </w:pPr>
            <w:r>
              <w:t xml:space="preserve">Maritime &amp; Ocean Tech</w:t>
            </w:r>
          </w:p>
        </w:tc>
        <w:tc>
          <w:tcPr/>
          <w:p>
            <w:pPr>
              <w:pStyle w:val="Compact"/>
              <w:jc w:val="left"/>
            </w:pPr>
            <w:r>
              <w:t xml:space="preserve">Legal/Edu</w:t>
            </w:r>
          </w:p>
        </w:tc>
        <w:tc>
          <w:tcPr/>
          <w:p>
            <w:pPr>
              <w:pStyle w:val="Compact"/>
              <w:jc w:val="left"/>
            </w:pPr>
            <w:r>
              <w:t xml:space="preserve">All 12 (IMO)</w:t>
            </w:r>
          </w:p>
        </w:tc>
      </w:tr>
      <w:tr>
        <w:tc>
          <w:tcPr/>
          <w:p>
            <w:pPr>
              <w:pStyle w:val="Compact"/>
              <w:jc w:val="left"/>
            </w:pPr>
            <w:r>
              <w:t xml:space="preserve">41</w:t>
            </w:r>
          </w:p>
        </w:tc>
        <w:tc>
          <w:tcPr/>
          <w:p>
            <w:pPr>
              <w:pStyle w:val="Compact"/>
              <w:jc w:val="left"/>
            </w:pPr>
            <w:r>
              <w:t xml:space="preserve">Retail &amp; E-commerce AI</w:t>
            </w:r>
          </w:p>
        </w:tc>
        <w:tc>
          <w:tcPr/>
          <w:p>
            <w:pPr>
              <w:pStyle w:val="Compact"/>
              <w:jc w:val="left"/>
            </w:pPr>
            <w:r>
              <w:t xml:space="preserve">Legal/Edu</w:t>
            </w:r>
          </w:p>
        </w:tc>
        <w:tc>
          <w:tcPr/>
          <w:p>
            <w:pPr>
              <w:pStyle w:val="Compact"/>
              <w:jc w:val="left"/>
            </w:pPr>
            <w:r>
              <w:t xml:space="preserve">All 12</w:t>
            </w:r>
          </w:p>
        </w:tc>
      </w:tr>
      <w:tr>
        <w:tc>
          <w:tcPr/>
          <w:p>
            <w:pPr>
              <w:pStyle w:val="Compact"/>
              <w:jc w:val="left"/>
            </w:pPr>
            <w:r>
              <w:t xml:space="preserve">42</w:t>
            </w:r>
          </w:p>
        </w:tc>
        <w:tc>
          <w:tcPr/>
          <w:p>
            <w:pPr>
              <w:pStyle w:val="Compact"/>
              <w:jc w:val="left"/>
            </w:pPr>
            <w:r>
              <w:t xml:space="preserve">Real Estate &amp; PropTech</w:t>
            </w:r>
          </w:p>
        </w:tc>
        <w:tc>
          <w:tcPr/>
          <w:p>
            <w:pPr>
              <w:pStyle w:val="Compact"/>
              <w:jc w:val="left"/>
            </w:pPr>
            <w:r>
              <w:t xml:space="preserve">Legal/Edu</w:t>
            </w:r>
          </w:p>
        </w:tc>
        <w:tc>
          <w:tcPr/>
          <w:p>
            <w:pPr>
              <w:pStyle w:val="Compact"/>
              <w:jc w:val="left"/>
            </w:pPr>
            <w:r>
              <w:t xml:space="preserve">US, EU, China, UK, Singapore, UAE</w:t>
            </w:r>
          </w:p>
        </w:tc>
      </w:tr>
    </w:tbl>
    <w:p>
      <w:r>
        <w:pict>
          <v:rect style="width:0;height:1.5pt" o:hralign="center" o:hrstd="t" o:hr="t"/>
        </w:pict>
      </w:r>
    </w:p>
    <w:bookmarkEnd w:id="39"/>
    <w:bookmarkStart w:id="41" w:name="Xf0e7dacbb9c2ec75422dab6f587aef14009e3be"/>
    <w:p>
      <w:pPr>
        <w:pStyle w:val="Heading3"/>
      </w:pPr>
      <w:r>
        <w:t xml:space="preserve">3.1 Comprehensive Industry-Jurisdiction-Regulation Matrix</w:t>
      </w:r>
    </w:p>
    <w:p>
      <w:pPr>
        <w:pStyle w:val="FirstParagraph"/>
      </w:pPr>
      <w:r>
        <w:t xml:space="preserve">The table below maps each industry to the binding regulatory frameworks that apply across jurisdictions.</w:t>
      </w:r>
    </w:p>
    <w:bookmarkStart w:id="40" w:name="key-to-regulations-by-jurisdiction"/>
    <w:p>
      <w:pPr>
        <w:pStyle w:val="Heading4"/>
      </w:pPr>
      <w:r>
        <w:t xml:space="preserve">KEY TO REGULATIONS BY JURISDICTION</w:t>
      </w:r>
    </w:p>
    <w:p>
      <w:pPr>
        <w:pStyle w:val="FirstParagraph"/>
      </w:pPr>
      <w:r>
        <w:rPr>
          <w:bCs/>
          <w:b/>
        </w:rPr>
        <w:t xml:space="preserve">EU</w:t>
      </w:r>
      <w:r>
        <w:t xml:space="preserve">: AI Act (EUAI), GDPR, NIS2, DORA, Cyber Resilience Act (CRA), Digital Services Act (DSA), Digital Markets Act (DMA), MiCA, MDR, Machinery Regulation</w:t>
      </w:r>
      <w:r>
        <w:t xml:space="preserve"> </w:t>
      </w:r>
      <w:r>
        <w:rPr>
          <w:bCs/>
          <w:b/>
        </w:rPr>
        <w:t xml:space="preserve">US</w:t>
      </w:r>
      <w:r>
        <w:t xml:space="preserve">: NIST RMF, State AI Laws (CO, CA, TX, IL), FDA 510(k)/De Novo, SEC Rules, FinCEN AML, NHTSA, FCC, COPPA/KOSA (pending), CLOUD Act, CHIPS Act, EAR/ITAR, CFIUS</w:t>
      </w:r>
      <w:r>
        <w:t xml:space="preserve"> </w:t>
      </w:r>
      <w:r>
        <w:rPr>
          <w:bCs/>
          <w:b/>
        </w:rPr>
        <w:t xml:space="preserve">China</w:t>
      </w:r>
      <w:r>
        <w:t xml:space="preserve">: PIPL, DSL, CSL, CAC Algorithm Regulations, CAC Generative AI Measures, Deep Synthesis Regs, NMPA, PBOC, NPPA, Human Genetic Resources Reg</w:t>
      </w:r>
      <w:r>
        <w:t xml:space="preserve"> </w:t>
      </w:r>
      <w:r>
        <w:rPr>
          <w:bCs/>
          <w:b/>
        </w:rPr>
        <w:t xml:space="preserve">UK</w:t>
      </w:r>
      <w:r>
        <w:t xml:space="preserve">: UK GDPR, Online Safety Act, AI White Paper, FCA/PRA guidance, MHRA, HSE</w:t>
      </w:r>
      <w:r>
        <w:t xml:space="preserve"> </w:t>
      </w:r>
      <w:r>
        <w:rPr>
          <w:bCs/>
          <w:b/>
        </w:rPr>
        <w:t xml:space="preserve">Singapore</w:t>
      </w:r>
      <w:r>
        <w:t xml:space="preserve">: PDPA, MAS FEAT Principles, MAIG (Model AI Gov), IMDA, Cybersecurity Act, PSA</w:t>
      </w:r>
      <w:r>
        <w:t xml:space="preserve"> </w:t>
      </w:r>
      <w:r>
        <w:rPr>
          <w:bCs/>
          <w:b/>
        </w:rPr>
        <w:t xml:space="preserve">Japan</w:t>
      </w:r>
      <w:r>
        <w:t xml:space="preserve">: APPI, AI Promotion Act, AI Guidelines for Business, PMDA, FSA, JFSA</w:t>
      </w:r>
      <w:r>
        <w:t xml:space="preserve"> </w:t>
      </w:r>
      <w:r>
        <w:rPr>
          <w:bCs/>
          <w:b/>
        </w:rPr>
        <w:t xml:space="preserve">India</w:t>
      </w:r>
      <w:r>
        <w:t xml:space="preserve">: DPDP Act 2023, CERT-In Directions, IT Act, CDSCO, RBI Guidelines</w:t>
      </w:r>
      <w:r>
        <w:t xml:space="preserve"> </w:t>
      </w:r>
      <w:r>
        <w:rPr>
          <w:bCs/>
          <w:b/>
        </w:rPr>
        <w:t xml:space="preserve">Australia</w:t>
      </w:r>
      <w:r>
        <w:t xml:space="preserve">: Privacy Act, SOCI Act, Cyber Security Act, ASIC RG 274, APRA CPS 230</w:t>
      </w:r>
      <w:r>
        <w:t xml:space="preserve"> </w:t>
      </w:r>
      <w:r>
        <w:rPr>
          <w:bCs/>
          <w:b/>
        </w:rPr>
        <w:t xml:space="preserve">Canada</w:t>
      </w:r>
      <w:r>
        <w:t xml:space="preserve">: PIPEDA, AIDA (proposed), OSFI Guidelines, FINTRAC, Bill C-8</w:t>
      </w:r>
      <w:r>
        <w:t xml:space="preserve"> </w:t>
      </w:r>
      <w:r>
        <w:rPr>
          <w:bCs/>
          <w:b/>
        </w:rPr>
        <w:t xml:space="preserve">South Korea</w:t>
      </w:r>
      <w:r>
        <w:t xml:space="preserve">: AI Basic Act, PIPA, DMPA, MFDS, KCC, FSC</w:t>
      </w:r>
      <w:r>
        <w:t xml:space="preserve"> </w:t>
      </w:r>
      <w:r>
        <w:rPr>
          <w:bCs/>
          <w:b/>
        </w:rPr>
        <w:t xml:space="preserve">UAE</w:t>
      </w:r>
      <w:r>
        <w:t xml:space="preserve">: Federal PDPL, VARA, CBUAE, DIFC Data Protection, ADGM, AI Charter</w:t>
      </w:r>
      <w:r>
        <w:t xml:space="preserve"> </w:t>
      </w:r>
      <w:r>
        <w:rPr>
          <w:bCs/>
          <w:b/>
        </w:rPr>
        <w:t xml:space="preserve">Brazil</w:t>
      </w:r>
      <w:r>
        <w:t xml:space="preserve">: LGPD, AI Bill (PL 2338), ANPD, ANVISA, CVM Instruction 617</w:t>
      </w:r>
    </w:p>
    <w:p>
      <w:r>
        <w:pict>
          <v:rect style="width:0;height:1.5pt" o:hralign="center" o:hrstd="t" o:hr="t"/>
        </w:pict>
      </w:r>
    </w:p>
    <w:tbl>
      <w:tblPr>
        <w:tblStyle w:val="Table"/>
        <w:tblW w:type="pct" w:w="5000"/>
        <w:tblLook w:firstRow="1" w:lastRow="0" w:firstColumn="0" w:lastColumn="0" w:noHBand="0" w:noVBand="0" w:val="0020"/>
      </w:tblPr>
      <w:tblGrid>
        <w:gridCol w:w="816"/>
        <w:gridCol w:w="408"/>
        <w:gridCol w:w="408"/>
        <w:gridCol w:w="653"/>
        <w:gridCol w:w="408"/>
        <w:gridCol w:w="898"/>
        <w:gridCol w:w="571"/>
        <w:gridCol w:w="571"/>
        <w:gridCol w:w="571"/>
        <w:gridCol w:w="898"/>
        <w:gridCol w:w="653"/>
        <w:gridCol w:w="408"/>
        <w:gridCol w:w="653"/>
      </w:tblGrid>
      <w:tr>
        <w:trPr>
          <w:tblHeader w:val="true"/>
        </w:trPr>
        <w:tc>
          <w:tcPr/>
          <w:p>
            <w:pPr>
              <w:pStyle w:val="Compact"/>
              <w:jc w:val="left"/>
            </w:pPr>
            <w:r>
              <w:t xml:space="preserve">Industry</w:t>
            </w:r>
          </w:p>
        </w:tc>
        <w:tc>
          <w:tcPr/>
          <w:p>
            <w:pPr>
              <w:pStyle w:val="Compact"/>
              <w:jc w:val="left"/>
            </w:pPr>
            <w:r>
              <w:t xml:space="preserve">EU</w:t>
            </w:r>
          </w:p>
        </w:tc>
        <w:tc>
          <w:tcPr/>
          <w:p>
            <w:pPr>
              <w:pStyle w:val="Compact"/>
              <w:jc w:val="left"/>
            </w:pPr>
            <w:r>
              <w:t xml:space="preserve">US</w:t>
            </w:r>
          </w:p>
        </w:tc>
        <w:tc>
          <w:tcPr/>
          <w:p>
            <w:pPr>
              <w:pStyle w:val="Compact"/>
              <w:jc w:val="left"/>
            </w:pPr>
            <w:r>
              <w:t xml:space="preserve">China</w:t>
            </w:r>
          </w:p>
        </w:tc>
        <w:tc>
          <w:tcPr/>
          <w:p>
            <w:pPr>
              <w:pStyle w:val="Compact"/>
              <w:jc w:val="left"/>
            </w:pPr>
            <w:r>
              <w:t xml:space="preserve">UK</w:t>
            </w:r>
          </w:p>
        </w:tc>
        <w:tc>
          <w:tcPr/>
          <w:p>
            <w:pPr>
              <w:pStyle w:val="Compact"/>
              <w:jc w:val="left"/>
            </w:pPr>
            <w:r>
              <w:t xml:space="preserve">Singapore</w:t>
            </w:r>
          </w:p>
        </w:tc>
        <w:tc>
          <w:tcPr/>
          <w:p>
            <w:pPr>
              <w:pStyle w:val="Compact"/>
              <w:jc w:val="left"/>
            </w:pPr>
            <w:r>
              <w:t xml:space="preserve">Japan</w:t>
            </w:r>
          </w:p>
        </w:tc>
        <w:tc>
          <w:tcPr/>
          <w:p>
            <w:pPr>
              <w:pStyle w:val="Compact"/>
              <w:jc w:val="left"/>
            </w:pPr>
            <w:r>
              <w:t xml:space="preserve">Korea</w:t>
            </w:r>
          </w:p>
        </w:tc>
        <w:tc>
          <w:tcPr/>
          <w:p>
            <w:pPr>
              <w:pStyle w:val="Compact"/>
              <w:jc w:val="left"/>
            </w:pPr>
            <w:r>
              <w:t xml:space="preserve">India</w:t>
            </w:r>
          </w:p>
        </w:tc>
        <w:tc>
          <w:tcPr/>
          <w:p>
            <w:pPr>
              <w:pStyle w:val="Compact"/>
              <w:jc w:val="left"/>
            </w:pPr>
            <w:r>
              <w:t xml:space="preserve">Australia</w:t>
            </w:r>
          </w:p>
        </w:tc>
        <w:tc>
          <w:tcPr/>
          <w:p>
            <w:pPr>
              <w:pStyle w:val="Compact"/>
              <w:jc w:val="left"/>
            </w:pPr>
            <w:r>
              <w:t xml:space="preserve">Canada</w:t>
            </w:r>
          </w:p>
        </w:tc>
        <w:tc>
          <w:tcPr/>
          <w:p>
            <w:pPr>
              <w:pStyle w:val="Compact"/>
              <w:jc w:val="left"/>
            </w:pPr>
            <w:r>
              <w:t xml:space="preserve">UAE</w:t>
            </w:r>
          </w:p>
        </w:tc>
        <w:tc>
          <w:tcPr/>
          <w:p>
            <w:pPr>
              <w:pStyle w:val="Compact"/>
              <w:jc w:val="left"/>
            </w:pPr>
            <w:r>
              <w:t xml:space="preserve">Brazil</w:t>
            </w:r>
          </w:p>
        </w:tc>
      </w:tr>
      <w:tr>
        <w:tc>
          <w:tcPr/>
          <w:p>
            <w:pPr>
              <w:pStyle w:val="Compact"/>
              <w:jc w:val="left"/>
            </w:pPr>
            <w:r>
              <w:rPr>
                <w:bCs/>
                <w:b/>
              </w:rPr>
              <w:t xml:space="preserve">AI/ML General</w:t>
            </w:r>
          </w:p>
        </w:tc>
        <w:tc>
          <w:tcPr/>
          <w:p>
            <w:pPr>
              <w:pStyle w:val="Compact"/>
              <w:jc w:val="left"/>
            </w:pPr>
            <w:r>
              <w:t xml:space="preserve">EUAI,GDPR,NIS2,CRA</w:t>
            </w:r>
          </w:p>
        </w:tc>
        <w:tc>
          <w:tcPr/>
          <w:p>
            <w:pPr>
              <w:pStyle w:val="Compact"/>
              <w:jc w:val="left"/>
            </w:pPr>
            <w:r>
              <w:t xml:space="preserve">NIST,State AI laws,EO14110</w:t>
            </w:r>
          </w:p>
        </w:tc>
        <w:tc>
          <w:tcPr/>
          <w:p>
            <w:pPr>
              <w:pStyle w:val="Compact"/>
              <w:jc w:val="left"/>
            </w:pPr>
            <w:r>
              <w:t xml:space="preserve">CAC Measures,PIPL,DSL</w:t>
            </w:r>
          </w:p>
        </w:tc>
        <w:tc>
          <w:tcPr/>
          <w:p>
            <w:pPr>
              <w:pStyle w:val="Compact"/>
              <w:jc w:val="left"/>
            </w:pPr>
            <w:r>
              <w:t xml:space="preserve">UK GDPR,AI WP</w:t>
            </w:r>
          </w:p>
        </w:tc>
        <w:tc>
          <w:tcPr/>
          <w:p>
            <w:pPr>
              <w:pStyle w:val="Compact"/>
              <w:jc w:val="left"/>
            </w:pPr>
            <w:r>
              <w:t xml:space="preserve">PDPA,MAIG</w:t>
            </w:r>
          </w:p>
        </w:tc>
        <w:tc>
          <w:tcPr/>
          <w:p>
            <w:pPr>
              <w:pStyle w:val="Compact"/>
              <w:jc w:val="left"/>
            </w:pPr>
            <w:r>
              <w:t xml:space="preserve">APPI,AI Prom</w:t>
            </w:r>
          </w:p>
        </w:tc>
        <w:tc>
          <w:tcPr/>
          <w:p>
            <w:pPr>
              <w:pStyle w:val="Compact"/>
              <w:jc w:val="left"/>
            </w:pPr>
            <w:r>
              <w:t xml:space="preserve">AI Basic,PIPA</w:t>
            </w:r>
          </w:p>
        </w:tc>
        <w:tc>
          <w:tcPr/>
          <w:p>
            <w:pPr>
              <w:pStyle w:val="Compact"/>
              <w:jc w:val="left"/>
            </w:pPr>
            <w:r>
              <w:t xml:space="preserve">DPDP,CERT-In</w:t>
            </w:r>
          </w:p>
        </w:tc>
        <w:tc>
          <w:tcPr/>
          <w:p>
            <w:pPr>
              <w:pStyle w:val="Compact"/>
              <w:jc w:val="left"/>
            </w:pPr>
            <w:r>
              <w:t xml:space="preserve">Privacy Act,AI Ethics</w:t>
            </w:r>
          </w:p>
        </w:tc>
        <w:tc>
          <w:tcPr/>
          <w:p>
            <w:pPr>
              <w:pStyle w:val="Compact"/>
              <w:jc w:val="left"/>
            </w:pPr>
            <w:r>
              <w:t xml:space="preserve">PIPEDA,AIDA</w:t>
            </w:r>
          </w:p>
        </w:tc>
        <w:tc>
          <w:tcPr/>
          <w:p>
            <w:pPr>
              <w:pStyle w:val="Compact"/>
              <w:jc w:val="left"/>
            </w:pPr>
            <w:r>
              <w:t xml:space="preserve">PDPL,AI Charter</w:t>
            </w:r>
          </w:p>
        </w:tc>
        <w:tc>
          <w:tcPr/>
          <w:p>
            <w:pPr>
              <w:pStyle w:val="Compact"/>
              <w:jc w:val="left"/>
            </w:pPr>
            <w:r>
              <w:t xml:space="preserve">LGPD,AI Bill</w:t>
            </w:r>
          </w:p>
        </w:tc>
      </w:tr>
      <w:tr>
        <w:tc>
          <w:tcPr/>
          <w:p>
            <w:pPr>
              <w:pStyle w:val="Compact"/>
              <w:jc w:val="left"/>
            </w:pPr>
            <w:r>
              <w:rPr>
                <w:bCs/>
                <w:b/>
              </w:rPr>
              <w:t xml:space="preserve">Humanoid Robotics</w:t>
            </w:r>
          </w:p>
        </w:tc>
        <w:tc>
          <w:tcPr/>
          <w:p>
            <w:pPr>
              <w:pStyle w:val="Compact"/>
              <w:jc w:val="left"/>
            </w:pPr>
            <w:r>
              <w:t xml:space="preserve">EUAI,Machinery Reg</w:t>
            </w:r>
          </w:p>
        </w:tc>
        <w:tc>
          <w:tcPr/>
          <w:p>
            <w:pPr>
              <w:pStyle w:val="Compact"/>
              <w:jc w:val="left"/>
            </w:pPr>
            <w:r>
              <w:t xml:space="preserve">OSHA,State laws</w:t>
            </w:r>
          </w:p>
        </w:tc>
        <w:tc>
          <w:tcPr/>
          <w:p>
            <w:pPr>
              <w:pStyle w:val="Compact"/>
              <w:jc w:val="left"/>
            </w:pPr>
            <w:r>
              <w:t xml:space="preserve">GB/T,PIPL</w:t>
            </w:r>
          </w:p>
        </w:tc>
        <w:tc>
          <w:tcPr/>
          <w:p>
            <w:pPr>
              <w:pStyle w:val="Compact"/>
              <w:jc w:val="left"/>
            </w:pPr>
            <w:r>
              <w:t xml:space="preserve">HSE,AI WP</w:t>
            </w:r>
          </w:p>
        </w:tc>
        <w:tc>
          <w:tcPr/>
          <w:p>
            <w:pPr>
              <w:pStyle w:val="Compact"/>
              <w:jc w:val="left"/>
            </w:pPr>
            <w:r>
              <w:t xml:space="preserve">PDPA</w:t>
            </w:r>
          </w:p>
        </w:tc>
        <w:tc>
          <w:tcPr/>
          <w:p>
            <w:pPr>
              <w:pStyle w:val="Compact"/>
              <w:jc w:val="left"/>
            </w:pPr>
            <w:r>
              <w:t xml:space="preserve">APPI,ISO13482</w:t>
            </w:r>
          </w:p>
        </w:tc>
        <w:tc>
          <w:tcPr/>
          <w:p>
            <w:pPr>
              <w:pStyle w:val="Compact"/>
              <w:jc w:val="left"/>
            </w:pPr>
            <w:r>
              <w:t xml:space="preserve">AI Basic</w:t>
            </w:r>
          </w:p>
        </w:tc>
        <w:tc>
          <w:tcPr/>
          <w:p>
            <w:pPr>
              <w:pStyle w:val="Compact"/>
              <w:jc w:val="left"/>
            </w:pPr>
            <w:r>
              <w:t xml:space="preserve">DPDP</w:t>
            </w:r>
          </w:p>
        </w:tc>
        <w:tc>
          <w:tcPr/>
          <w:p>
            <w:pPr>
              <w:pStyle w:val="Compact"/>
              <w:jc w:val="left"/>
            </w:pPr>
            <w:r>
              <w:t xml:space="preserve">Privacy Act</w:t>
            </w:r>
          </w:p>
        </w:tc>
        <w:tc>
          <w:tcPr/>
          <w:p>
            <w:pPr>
              <w:pStyle w:val="Compact"/>
              <w:jc w:val="left"/>
            </w:pPr>
            <w:r>
              <w:t xml:space="preserve">PIPEDA</w:t>
            </w:r>
          </w:p>
        </w:tc>
        <w:tc>
          <w:tcPr/>
          <w:p>
            <w:pPr>
              <w:pStyle w:val="Compact"/>
              <w:jc w:val="left"/>
            </w:pPr>
            <w:r>
              <w:t xml:space="preserve">PDPL</w:t>
            </w:r>
          </w:p>
        </w:tc>
        <w:tc>
          <w:tcPr/>
          <w:p>
            <w:pPr>
              <w:pStyle w:val="Compact"/>
              <w:jc w:val="left"/>
            </w:pPr>
            <w:r>
              <w:t xml:space="preserve">LGPD</w:t>
            </w:r>
          </w:p>
        </w:tc>
      </w:tr>
      <w:tr>
        <w:tc>
          <w:tcPr/>
          <w:p>
            <w:pPr>
              <w:pStyle w:val="Compact"/>
              <w:jc w:val="left"/>
            </w:pPr>
            <w:r>
              <w:rPr>
                <w:bCs/>
                <w:b/>
              </w:rPr>
              <w:t xml:space="preserve">Autonomous Vehicles</w:t>
            </w:r>
          </w:p>
        </w:tc>
        <w:tc>
          <w:tcPr/>
          <w:p>
            <w:pPr>
              <w:pStyle w:val="Compact"/>
              <w:jc w:val="left"/>
            </w:pPr>
            <w:r>
              <w:t xml:space="preserve">EUAI,Type Approval</w:t>
            </w:r>
          </w:p>
        </w:tc>
        <w:tc>
          <w:tcPr/>
          <w:p>
            <w:pPr>
              <w:pStyle w:val="Compact"/>
              <w:jc w:val="left"/>
            </w:pPr>
            <w:r>
              <w:t xml:space="preserve">NHTSA,FMVSS,State AV</w:t>
            </w:r>
          </w:p>
        </w:tc>
        <w:tc>
          <w:tcPr/>
          <w:p>
            <w:pPr>
              <w:pStyle w:val="Compact"/>
              <w:jc w:val="left"/>
            </w:pPr>
            <w:r>
              <w:t xml:space="preserve">ICV Strategy,DSL</w:t>
            </w:r>
          </w:p>
        </w:tc>
        <w:tc>
          <w:tcPr/>
          <w:p>
            <w:pPr>
              <w:pStyle w:val="Compact"/>
              <w:jc w:val="left"/>
            </w:pPr>
            <w:r>
              <w:t xml:space="preserve">AEV Act 2018</w:t>
            </w:r>
          </w:p>
        </w:tc>
        <w:tc>
          <w:tcPr/>
          <w:p>
            <w:pPr>
              <w:pStyle w:val="Compact"/>
              <w:jc w:val="left"/>
            </w:pPr>
            <w:r>
              <w:t xml:space="preserve">AV Act</w:t>
            </w:r>
          </w:p>
        </w:tc>
        <w:tc>
          <w:tcPr/>
          <w:p>
            <w:pPr>
              <w:pStyle w:val="Compact"/>
              <w:jc w:val="left"/>
            </w:pPr>
            <w:r>
              <w:t xml:space="preserve">Road Transport Act</w:t>
            </w:r>
          </w:p>
        </w:tc>
        <w:tc>
          <w:tcPr/>
          <w:p>
            <w:pPr>
              <w:pStyle w:val="Compact"/>
              <w:jc w:val="left"/>
            </w:pPr>
            <w:r>
              <w:t xml:space="preserve">K-New Deal</w:t>
            </w:r>
          </w:p>
        </w:tc>
        <w:tc>
          <w:tcPr/>
          <w:p>
            <w:pPr>
              <w:pStyle w:val="Compact"/>
              <w:jc w:val="left"/>
            </w:pPr>
            <w:r>
              <w:t xml:space="preserve">—</w:t>
            </w:r>
          </w:p>
        </w:tc>
        <w:tc>
          <w:tcPr/>
          <w:p>
            <w:pPr>
              <w:pStyle w:val="Compact"/>
              <w:jc w:val="left"/>
            </w:pPr>
            <w:r>
              <w:t xml:space="preserve">State permits</w:t>
            </w:r>
          </w:p>
        </w:tc>
        <w:tc>
          <w:tcPr/>
          <w:p>
            <w:pPr>
              <w:pStyle w:val="Compact"/>
              <w:jc w:val="left"/>
            </w:pPr>
            <w:r>
              <w:t xml:space="preserve">Pilot prog</w:t>
            </w:r>
          </w:p>
        </w:tc>
        <w:tc>
          <w:tcPr/>
          <w:p>
            <w:pPr>
              <w:pStyle w:val="Compact"/>
              <w:jc w:val="left"/>
            </w:pPr>
            <w:r>
              <w:t xml:space="preserve">AV Strategy</w:t>
            </w:r>
          </w:p>
        </w:tc>
        <w:tc>
          <w:tcPr/>
          <w:p>
            <w:pPr>
              <w:pStyle w:val="Compact"/>
              <w:jc w:val="left"/>
            </w:pPr>
            <w:r>
              <w:t xml:space="preserve">—</w:t>
            </w:r>
          </w:p>
        </w:tc>
      </w:tr>
      <w:tr>
        <w:tc>
          <w:tcPr/>
          <w:p>
            <w:pPr>
              <w:pStyle w:val="Compact"/>
              <w:jc w:val="left"/>
            </w:pPr>
            <w:r>
              <w:rPr>
                <w:bCs/>
                <w:b/>
              </w:rPr>
              <w:t xml:space="preserve">Healthcare AI</w:t>
            </w:r>
          </w:p>
        </w:tc>
        <w:tc>
          <w:tcPr/>
          <w:p>
            <w:pPr>
              <w:pStyle w:val="Compact"/>
              <w:jc w:val="left"/>
            </w:pPr>
            <w:r>
              <w:t xml:space="preserve">EUAI,MDR,GDPR</w:t>
            </w:r>
          </w:p>
        </w:tc>
        <w:tc>
          <w:tcPr/>
          <w:p>
            <w:pPr>
              <w:pStyle w:val="Compact"/>
              <w:jc w:val="left"/>
            </w:pPr>
            <w:r>
              <w:t xml:space="preserve">FDA 510(k)/De Novo,HIPAA</w:t>
            </w:r>
          </w:p>
        </w:tc>
        <w:tc>
          <w:tcPr/>
          <w:p>
            <w:pPr>
              <w:pStyle w:val="Compact"/>
              <w:jc w:val="left"/>
            </w:pPr>
            <w:r>
              <w:t xml:space="preserve">NMPA,PIPL</w:t>
            </w:r>
          </w:p>
        </w:tc>
        <w:tc>
          <w:tcPr/>
          <w:p>
            <w:pPr>
              <w:pStyle w:val="Compact"/>
              <w:jc w:val="left"/>
            </w:pPr>
            <w:r>
              <w:t xml:space="preserve">MHRA,SaMD</w:t>
            </w:r>
          </w:p>
        </w:tc>
        <w:tc>
          <w:tcPr/>
          <w:p>
            <w:pPr>
              <w:pStyle w:val="Compact"/>
              <w:jc w:val="left"/>
            </w:pPr>
            <w:r>
              <w:t xml:space="preserve">HSA SaMD</w:t>
            </w:r>
          </w:p>
        </w:tc>
        <w:tc>
          <w:tcPr/>
          <w:p>
            <w:pPr>
              <w:pStyle w:val="Compact"/>
              <w:jc w:val="left"/>
            </w:pPr>
            <w:r>
              <w:t xml:space="preserve">PMDA</w:t>
            </w:r>
          </w:p>
        </w:tc>
        <w:tc>
          <w:tcPr/>
          <w:p>
            <w:pPr>
              <w:pStyle w:val="Compact"/>
              <w:jc w:val="left"/>
            </w:pPr>
            <w:r>
              <w:t xml:space="preserve">DMPA,MFDS</w:t>
            </w:r>
          </w:p>
        </w:tc>
        <w:tc>
          <w:tcPr/>
          <w:p>
            <w:pPr>
              <w:pStyle w:val="Compact"/>
              <w:jc w:val="left"/>
            </w:pPr>
            <w:r>
              <w:t xml:space="preserve">CDSCO</w:t>
            </w:r>
          </w:p>
        </w:tc>
        <w:tc>
          <w:tcPr/>
          <w:p>
            <w:pPr>
              <w:pStyle w:val="Compact"/>
              <w:jc w:val="left"/>
            </w:pPr>
            <w:r>
              <w:t xml:space="preserve">TGA</w:t>
            </w:r>
          </w:p>
        </w:tc>
        <w:tc>
          <w:tcPr/>
          <w:p>
            <w:pPr>
              <w:pStyle w:val="Compact"/>
              <w:jc w:val="left"/>
            </w:pPr>
            <w:r>
              <w:t xml:space="preserve">Health Canada</w:t>
            </w:r>
          </w:p>
        </w:tc>
        <w:tc>
          <w:tcPr/>
          <w:p>
            <w:pPr>
              <w:pStyle w:val="Compact"/>
              <w:jc w:val="left"/>
            </w:pPr>
            <w:r>
              <w:t xml:space="preserve">DHA/MOHAP</w:t>
            </w:r>
          </w:p>
        </w:tc>
        <w:tc>
          <w:tcPr/>
          <w:p>
            <w:pPr>
              <w:pStyle w:val="Compact"/>
              <w:jc w:val="left"/>
            </w:pPr>
            <w:r>
              <w:t xml:space="preserve">ANVISA</w:t>
            </w:r>
          </w:p>
        </w:tc>
      </w:tr>
      <w:tr>
        <w:tc>
          <w:tcPr/>
          <w:p>
            <w:pPr>
              <w:pStyle w:val="Compact"/>
              <w:jc w:val="left"/>
            </w:pPr>
            <w:r>
              <w:rPr>
                <w:bCs/>
                <w:b/>
              </w:rPr>
              <w:t xml:space="preserve">Crypto/Digital Assets</w:t>
            </w:r>
          </w:p>
        </w:tc>
        <w:tc>
          <w:tcPr/>
          <w:p>
            <w:pPr>
              <w:pStyle w:val="Compact"/>
              <w:jc w:val="left"/>
            </w:pPr>
            <w:r>
              <w:t xml:space="preserve">MiCA,DORA,TFR</w:t>
            </w:r>
          </w:p>
        </w:tc>
        <w:tc>
          <w:tcPr/>
          <w:p>
            <w:pPr>
              <w:pStyle w:val="Compact"/>
              <w:jc w:val="left"/>
            </w:pPr>
            <w:r>
              <w:t xml:space="preserve">GENIUS Act,SEC,FinCEN</w:t>
            </w:r>
          </w:p>
        </w:tc>
        <w:tc>
          <w:tcPr/>
          <w:p>
            <w:pPr>
              <w:pStyle w:val="Compact"/>
              <w:jc w:val="left"/>
            </w:pPr>
            <w:r>
              <w:t xml:space="preserve">Crypto ban,e-CNY</w:t>
            </w:r>
          </w:p>
        </w:tc>
        <w:tc>
          <w:tcPr/>
          <w:p>
            <w:pPr>
              <w:pStyle w:val="Compact"/>
              <w:jc w:val="left"/>
            </w:pPr>
            <w:r>
              <w:t xml:space="preserve">FCA,MiCA eq</w:t>
            </w:r>
          </w:p>
        </w:tc>
        <w:tc>
          <w:tcPr/>
          <w:p>
            <w:pPr>
              <w:pStyle w:val="Compact"/>
              <w:jc w:val="left"/>
            </w:pPr>
            <w:r>
              <w:t xml:space="preserve">PSA,MAS</w:t>
            </w:r>
          </w:p>
        </w:tc>
        <w:tc>
          <w:tcPr/>
          <w:p>
            <w:pPr>
              <w:pStyle w:val="Compact"/>
              <w:jc w:val="left"/>
            </w:pPr>
            <w:r>
              <w:t xml:space="preserve">JVCEA,FSA</w:t>
            </w:r>
          </w:p>
        </w:tc>
        <w:tc>
          <w:tcPr/>
          <w:p>
            <w:pPr>
              <w:pStyle w:val="Compact"/>
              <w:jc w:val="left"/>
            </w:pPr>
            <w:r>
              <w:t xml:space="preserve">VASP Act,FSC</w:t>
            </w:r>
          </w:p>
        </w:tc>
        <w:tc>
          <w:tcPr/>
          <w:p>
            <w:pPr>
              <w:pStyle w:val="Compact"/>
              <w:jc w:val="left"/>
            </w:pPr>
            <w:r>
              <w:t xml:space="preserve">FIU-IND,30% tax</w:t>
            </w:r>
          </w:p>
        </w:tc>
        <w:tc>
          <w:tcPr/>
          <w:p>
            <w:pPr>
              <w:pStyle w:val="Compact"/>
              <w:jc w:val="left"/>
            </w:pPr>
            <w:r>
              <w:t xml:space="preserve">AUSTRAC,ASIC</w:t>
            </w:r>
          </w:p>
        </w:tc>
        <w:tc>
          <w:tcPr/>
          <w:p>
            <w:pPr>
              <w:pStyle w:val="Compact"/>
              <w:jc w:val="left"/>
            </w:pPr>
            <w:r>
              <w:t xml:space="preserve">CSA,OSFI</w:t>
            </w:r>
          </w:p>
        </w:tc>
        <w:tc>
          <w:tcPr/>
          <w:p>
            <w:pPr>
              <w:pStyle w:val="Compact"/>
              <w:jc w:val="left"/>
            </w:pPr>
            <w:r>
              <w:t xml:space="preserve">VARA,CMA</w:t>
            </w:r>
          </w:p>
        </w:tc>
        <w:tc>
          <w:tcPr/>
          <w:p>
            <w:pPr>
              <w:pStyle w:val="Compact"/>
              <w:jc w:val="left"/>
            </w:pPr>
            <w:r>
              <w:t xml:space="preserve">BVAL,BCB</w:t>
            </w:r>
          </w:p>
        </w:tc>
      </w:tr>
      <w:tr>
        <w:tc>
          <w:tcPr/>
          <w:p>
            <w:pPr>
              <w:pStyle w:val="Compact"/>
              <w:jc w:val="left"/>
            </w:pPr>
            <w:r>
              <w:rPr>
                <w:bCs/>
                <w:b/>
              </w:rPr>
              <w:t xml:space="preserve">Cybersecurity AI</w:t>
            </w:r>
          </w:p>
        </w:tc>
        <w:tc>
          <w:tcPr/>
          <w:p>
            <w:pPr>
              <w:pStyle w:val="Compact"/>
              <w:jc w:val="left"/>
            </w:pPr>
            <w:r>
              <w:t xml:space="preserve">NIS2,CRA,DORA</w:t>
            </w:r>
          </w:p>
        </w:tc>
        <w:tc>
          <w:tcPr/>
          <w:p>
            <w:pPr>
              <w:pStyle w:val="Compact"/>
              <w:jc w:val="left"/>
            </w:pPr>
            <w:r>
              <w:t xml:space="preserve">CIRCIA,CMMC,State</w:t>
            </w:r>
          </w:p>
        </w:tc>
        <w:tc>
          <w:tcPr/>
          <w:p>
            <w:pPr>
              <w:pStyle w:val="Compact"/>
              <w:jc w:val="left"/>
            </w:pPr>
            <w:r>
              <w:t xml:space="preserve">MLPS 2.0,CSL,DSL</w:t>
            </w:r>
          </w:p>
        </w:tc>
        <w:tc>
          <w:tcPr/>
          <w:p>
            <w:pPr>
              <w:pStyle w:val="Compact"/>
              <w:jc w:val="left"/>
            </w:pPr>
            <w:r>
              <w:t xml:space="preserve">UK NIS,Online Safety</w:t>
            </w:r>
          </w:p>
        </w:tc>
        <w:tc>
          <w:tcPr/>
          <w:p>
            <w:pPr>
              <w:pStyle w:val="Compact"/>
              <w:jc w:val="left"/>
            </w:pPr>
            <w:r>
              <w:t xml:space="preserve">Cybersec Act</w:t>
            </w:r>
          </w:p>
        </w:tc>
        <w:tc>
          <w:tcPr/>
          <w:p>
            <w:pPr>
              <w:pStyle w:val="Compact"/>
              <w:jc w:val="left"/>
            </w:pPr>
            <w:r>
              <w:t xml:space="preserve">Cybersec Basic Act</w:t>
            </w:r>
          </w:p>
        </w:tc>
        <w:tc>
          <w:tcPr/>
          <w:p>
            <w:pPr>
              <w:pStyle w:val="Compact"/>
              <w:jc w:val="left"/>
            </w:pPr>
            <w:r>
              <w:t xml:space="preserve">AI Basic,PIPA</w:t>
            </w:r>
          </w:p>
        </w:tc>
        <w:tc>
          <w:tcPr/>
          <w:p>
            <w:pPr>
              <w:pStyle w:val="Compact"/>
              <w:jc w:val="left"/>
            </w:pPr>
            <w:r>
              <w:t xml:space="preserve">CERT-In</w:t>
            </w:r>
          </w:p>
        </w:tc>
        <w:tc>
          <w:tcPr/>
          <w:p>
            <w:pPr>
              <w:pStyle w:val="Compact"/>
              <w:jc w:val="left"/>
            </w:pPr>
            <w:r>
              <w:t xml:space="preserve">SOCI,Cyber Sec Act</w:t>
            </w:r>
          </w:p>
        </w:tc>
        <w:tc>
          <w:tcPr/>
          <w:p>
            <w:pPr>
              <w:pStyle w:val="Compact"/>
              <w:jc w:val="left"/>
            </w:pPr>
            <w:r>
              <w:t xml:space="preserve">Bill C-8</w:t>
            </w:r>
          </w:p>
        </w:tc>
        <w:tc>
          <w:tcPr/>
          <w:p>
            <w:pPr>
              <w:pStyle w:val="Compact"/>
              <w:jc w:val="left"/>
            </w:pPr>
            <w:r>
              <w:t xml:space="preserve">Fed Cybercrime</w:t>
            </w:r>
          </w:p>
        </w:tc>
        <w:tc>
          <w:tcPr/>
          <w:p>
            <w:pPr>
              <w:pStyle w:val="Compact"/>
              <w:jc w:val="left"/>
            </w:pPr>
            <w:r>
              <w:t xml:space="preserve">LGPD</w:t>
            </w:r>
          </w:p>
        </w:tc>
      </w:tr>
      <w:tr>
        <w:tc>
          <w:tcPr/>
          <w:p>
            <w:pPr>
              <w:pStyle w:val="Compact"/>
              <w:jc w:val="left"/>
            </w:pPr>
            <w:r>
              <w:rPr>
                <w:bCs/>
                <w:b/>
              </w:rPr>
              <w:t xml:space="preserve">Surveillance AI</w:t>
            </w:r>
          </w:p>
        </w:tc>
        <w:tc>
          <w:tcPr/>
          <w:p>
            <w:pPr>
              <w:pStyle w:val="Compact"/>
              <w:jc w:val="left"/>
            </w:pPr>
            <w:r>
              <w:t xml:space="preserve">EUAI Art5(banned),GDPR</w:t>
            </w:r>
          </w:p>
        </w:tc>
        <w:tc>
          <w:tcPr/>
          <w:p>
            <w:pPr>
              <w:pStyle w:val="Compact"/>
              <w:jc w:val="left"/>
            </w:pPr>
            <w:r>
              <w:t xml:space="preserve">State bans,BIPA</w:t>
            </w:r>
          </w:p>
        </w:tc>
        <w:tc>
          <w:tcPr/>
          <w:p>
            <w:pPr>
              <w:pStyle w:val="Compact"/>
              <w:jc w:val="left"/>
            </w:pPr>
            <w:r>
              <w:t xml:space="preserve">PIPL,Smart City</w:t>
            </w:r>
          </w:p>
        </w:tc>
        <w:tc>
          <w:tcPr/>
          <w:p>
            <w:pPr>
              <w:pStyle w:val="Compact"/>
              <w:jc w:val="left"/>
            </w:pPr>
            <w:r>
              <w:t xml:space="preserve">Investigatory Powers</w:t>
            </w:r>
          </w:p>
        </w:tc>
        <w:tc>
          <w:tcPr/>
          <w:p>
            <w:pPr>
              <w:pStyle w:val="Compact"/>
              <w:jc w:val="left"/>
            </w:pPr>
            <w:r>
              <w:t xml:space="preserve">PDPA</w:t>
            </w:r>
          </w:p>
        </w:tc>
        <w:tc>
          <w:tcPr/>
          <w:p>
            <w:pPr>
              <w:pStyle w:val="Compact"/>
              <w:jc w:val="left"/>
            </w:pPr>
            <w:r>
              <w:t xml:space="preserve">APPI</w:t>
            </w:r>
          </w:p>
        </w:tc>
        <w:tc>
          <w:tcPr/>
          <w:p>
            <w:pPr>
              <w:pStyle w:val="Compact"/>
              <w:jc w:val="left"/>
            </w:pPr>
            <w:r>
              <w:t xml:space="preserve">AI Basic</w:t>
            </w:r>
          </w:p>
        </w:tc>
        <w:tc>
          <w:tcPr/>
          <w:p>
            <w:pPr>
              <w:pStyle w:val="Compact"/>
              <w:jc w:val="left"/>
            </w:pPr>
            <w:r>
              <w:t xml:space="preserve">DPDP</w:t>
            </w:r>
          </w:p>
        </w:tc>
        <w:tc>
          <w:tcPr/>
          <w:p>
            <w:pPr>
              <w:pStyle w:val="Compact"/>
              <w:jc w:val="left"/>
            </w:pPr>
            <w:r>
              <w:t xml:space="preserve">Privacy Act</w:t>
            </w:r>
          </w:p>
        </w:tc>
        <w:tc>
          <w:tcPr/>
          <w:p>
            <w:pPr>
              <w:pStyle w:val="Compact"/>
              <w:jc w:val="left"/>
            </w:pPr>
            <w:r>
              <w:t xml:space="preserve">PIPEDA</w:t>
            </w:r>
          </w:p>
        </w:tc>
        <w:tc>
          <w:tcPr/>
          <w:p>
            <w:pPr>
              <w:pStyle w:val="Compact"/>
              <w:jc w:val="left"/>
            </w:pPr>
            <w:r>
              <w:t xml:space="preserve">Cybercrime</w:t>
            </w:r>
          </w:p>
        </w:tc>
        <w:tc>
          <w:tcPr/>
          <w:p>
            <w:pPr>
              <w:pStyle w:val="Compact"/>
              <w:jc w:val="left"/>
            </w:pPr>
            <w:r>
              <w:t xml:space="preserve">LGPD</w:t>
            </w:r>
          </w:p>
        </w:tc>
      </w:tr>
      <w:tr>
        <w:tc>
          <w:tcPr/>
          <w:p>
            <w:pPr>
              <w:pStyle w:val="Compact"/>
              <w:jc w:val="left"/>
            </w:pPr>
            <w:r>
              <w:rPr>
                <w:bCs/>
                <w:b/>
              </w:rPr>
              <w:t xml:space="preserve">Gaming AI</w:t>
            </w:r>
          </w:p>
        </w:tc>
        <w:tc>
          <w:tcPr/>
          <w:p>
            <w:pPr>
              <w:pStyle w:val="Compact"/>
              <w:jc w:val="left"/>
            </w:pPr>
            <w:r>
              <w:t xml:space="preserve">EUAI,DSA,DMA</w:t>
            </w:r>
          </w:p>
        </w:tc>
        <w:tc>
          <w:tcPr/>
          <w:p>
            <w:pPr>
              <w:pStyle w:val="Compact"/>
              <w:jc w:val="left"/>
            </w:pPr>
            <w:r>
              <w:t xml:space="preserve">KOSA(p),COPPA</w:t>
            </w:r>
          </w:p>
        </w:tc>
        <w:tc>
          <w:tcPr/>
          <w:p>
            <w:pPr>
              <w:pStyle w:val="Compact"/>
              <w:jc w:val="left"/>
            </w:pPr>
            <w:r>
              <w:t xml:space="preserve">NPPA Anti-Addiction</w:t>
            </w:r>
          </w:p>
        </w:tc>
        <w:tc>
          <w:tcPr/>
          <w:p>
            <w:pPr>
              <w:pStyle w:val="Compact"/>
              <w:jc w:val="left"/>
            </w:pPr>
            <w:r>
              <w:t xml:space="preserve">Online Safety Act</w:t>
            </w:r>
          </w:p>
        </w:tc>
        <w:tc>
          <w:tcPr/>
          <w:p>
            <w:pPr>
              <w:pStyle w:val="Compact"/>
              <w:jc w:val="left"/>
            </w:pPr>
            <w:r>
              <w:t xml:space="preserve">Online Safety Code</w:t>
            </w:r>
          </w:p>
        </w:tc>
        <w:tc>
          <w:tcPr/>
          <w:p>
            <w:pPr>
              <w:pStyle w:val="Compact"/>
              <w:jc w:val="left"/>
            </w:pPr>
            <w:r>
              <w:t xml:space="preserve">Youth Internet Act</w:t>
            </w:r>
          </w:p>
        </w:tc>
        <w:tc>
          <w:tcPr/>
          <w:p>
            <w:pPr>
              <w:pStyle w:val="Compact"/>
              <w:jc w:val="left"/>
            </w:pPr>
            <w:r>
              <w:t xml:space="preserve">Game Industry Act</w:t>
            </w:r>
          </w:p>
        </w:tc>
        <w:tc>
          <w:tcPr/>
          <w:p>
            <w:pPr>
              <w:pStyle w:val="Compact"/>
              <w:jc w:val="left"/>
            </w:pPr>
            <w:r>
              <w:t xml:space="preserve">IT Rules 2026</w:t>
            </w:r>
          </w:p>
        </w:tc>
        <w:tc>
          <w:tcPr/>
          <w:p>
            <w:pPr>
              <w:pStyle w:val="Compact"/>
              <w:jc w:val="left"/>
            </w:pPr>
            <w:r>
              <w:t xml:space="preserve">Online Safety</w:t>
            </w:r>
          </w:p>
        </w:tc>
        <w:tc>
          <w:tcPr/>
          <w:p>
            <w:pPr>
              <w:pStyle w:val="Compact"/>
              <w:jc w:val="left"/>
            </w:pPr>
            <w:r>
              <w:t xml:space="preserve">PIPEDA,C-63</w:t>
            </w:r>
          </w:p>
        </w:tc>
        <w:tc>
          <w:tcPr/>
          <w:p>
            <w:pPr>
              <w:pStyle w:val="Compact"/>
              <w:jc w:val="left"/>
            </w:pPr>
            <w:r>
              <w:t xml:space="preserve">GCGRA</w:t>
            </w:r>
          </w:p>
        </w:tc>
        <w:tc>
          <w:tcPr/>
          <w:p>
            <w:pPr>
              <w:pStyle w:val="Compact"/>
              <w:jc w:val="left"/>
            </w:pPr>
            <w:r>
              <w:t xml:space="preserve">LGPD</w:t>
            </w:r>
          </w:p>
        </w:tc>
      </w:tr>
      <w:tr>
        <w:tc>
          <w:tcPr/>
          <w:p>
            <w:pPr>
              <w:pStyle w:val="Compact"/>
              <w:jc w:val="left"/>
            </w:pPr>
            <w:r>
              <w:rPr>
                <w:bCs/>
                <w:b/>
              </w:rPr>
              <w:t xml:space="preserve">Social Media</w:t>
            </w:r>
          </w:p>
        </w:tc>
        <w:tc>
          <w:tcPr/>
          <w:p>
            <w:pPr>
              <w:pStyle w:val="Compact"/>
              <w:jc w:val="left"/>
            </w:pPr>
            <w:r>
              <w:t xml:space="preserve">DSA,DMA,GDPR</w:t>
            </w:r>
          </w:p>
        </w:tc>
        <w:tc>
          <w:tcPr/>
          <w:p>
            <w:pPr>
              <w:pStyle w:val="Compact"/>
              <w:jc w:val="left"/>
            </w:pPr>
            <w:r>
              <w:t xml:space="preserve">KOSA(p),Sec230,COPPA</w:t>
            </w:r>
          </w:p>
        </w:tc>
        <w:tc>
          <w:tcPr/>
          <w:p>
            <w:pPr>
              <w:pStyle w:val="Compact"/>
              <w:jc w:val="left"/>
            </w:pPr>
            <w:r>
              <w:t xml:space="preserve">Cybersecurity Law,PIPL</w:t>
            </w:r>
          </w:p>
        </w:tc>
        <w:tc>
          <w:tcPr/>
          <w:p>
            <w:pPr>
              <w:pStyle w:val="Compact"/>
              <w:jc w:val="left"/>
            </w:pPr>
            <w:r>
              <w:t xml:space="preserve">Online Safety Act</w:t>
            </w:r>
          </w:p>
        </w:tc>
        <w:tc>
          <w:tcPr/>
          <w:p>
            <w:pPr>
              <w:pStyle w:val="Compact"/>
              <w:jc w:val="left"/>
            </w:pPr>
            <w:r>
              <w:t xml:space="preserve">IMDA Code</w:t>
            </w:r>
          </w:p>
        </w:tc>
        <w:tc>
          <w:tcPr/>
          <w:p>
            <w:pPr>
              <w:pStyle w:val="Compact"/>
              <w:jc w:val="left"/>
            </w:pPr>
            <w:r>
              <w:t xml:space="preserve">ICN Act</w:t>
            </w:r>
          </w:p>
        </w:tc>
        <w:tc>
          <w:tcPr/>
          <w:p>
            <w:pPr>
              <w:pStyle w:val="Compact"/>
              <w:jc w:val="left"/>
            </w:pPr>
            <w:r>
              <w:t xml:space="preserve">Youth Protection</w:t>
            </w:r>
          </w:p>
        </w:tc>
        <w:tc>
          <w:tcPr/>
          <w:p>
            <w:pPr>
              <w:pStyle w:val="Compact"/>
              <w:jc w:val="left"/>
            </w:pPr>
            <w:r>
              <w:t xml:space="preserve">IT Rules,DPDP</w:t>
            </w:r>
          </w:p>
        </w:tc>
        <w:tc>
          <w:tcPr/>
          <w:p>
            <w:pPr>
              <w:pStyle w:val="Compact"/>
              <w:jc w:val="left"/>
            </w:pPr>
            <w:r>
              <w:t xml:space="preserve">Online Safety</w:t>
            </w:r>
          </w:p>
        </w:tc>
        <w:tc>
          <w:tcPr/>
          <w:p>
            <w:pPr>
              <w:pStyle w:val="Compact"/>
              <w:jc w:val="left"/>
            </w:pPr>
            <w:r>
              <w:t xml:space="preserve">C-11,C-63</w:t>
            </w:r>
          </w:p>
        </w:tc>
        <w:tc>
          <w:tcPr/>
          <w:p>
            <w:pPr>
              <w:pStyle w:val="Compact"/>
              <w:jc w:val="left"/>
            </w:pPr>
            <w:r>
              <w:t xml:space="preserve">Cybercrime</w:t>
            </w:r>
          </w:p>
        </w:tc>
        <w:tc>
          <w:tcPr/>
          <w:p>
            <w:pPr>
              <w:pStyle w:val="Compact"/>
              <w:jc w:val="left"/>
            </w:pPr>
            <w:r>
              <w:t xml:space="preserve">LGPD,FakeNews</w:t>
            </w:r>
          </w:p>
        </w:tc>
      </w:tr>
      <w:tr>
        <w:tc>
          <w:tcPr/>
          <w:p>
            <w:pPr>
              <w:pStyle w:val="Compact"/>
              <w:jc w:val="left"/>
            </w:pPr>
            <w:r>
              <w:rPr>
                <w:bCs/>
                <w:b/>
              </w:rPr>
              <w:t xml:space="preserve">LegalTech</w:t>
            </w:r>
          </w:p>
        </w:tc>
        <w:tc>
          <w:tcPr/>
          <w:p>
            <w:pPr>
              <w:pStyle w:val="Compact"/>
              <w:jc w:val="left"/>
            </w:pPr>
            <w:r>
              <w:t xml:space="preserve">EUAI(high-risk),GDPR</w:t>
            </w:r>
          </w:p>
        </w:tc>
        <w:tc>
          <w:tcPr/>
          <w:p>
            <w:pPr>
              <w:pStyle w:val="Compact"/>
              <w:jc w:val="left"/>
            </w:pPr>
            <w:r>
              <w:t xml:space="preserve">State AI laws,FTC</w:t>
            </w:r>
          </w:p>
        </w:tc>
        <w:tc>
          <w:tcPr/>
          <w:p>
            <w:pPr>
              <w:pStyle w:val="Compact"/>
              <w:jc w:val="left"/>
            </w:pPr>
            <w:r>
              <w:t xml:space="preserve">CAC Measures,PIPL</w:t>
            </w:r>
          </w:p>
        </w:tc>
        <w:tc>
          <w:tcPr/>
          <w:p>
            <w:pPr>
              <w:pStyle w:val="Compact"/>
              <w:jc w:val="left"/>
            </w:pPr>
            <w:r>
              <w:t xml:space="preserve">UK GDPR,AI WP</w:t>
            </w:r>
          </w:p>
        </w:tc>
        <w:tc>
          <w:tcPr/>
          <w:p>
            <w:pPr>
              <w:pStyle w:val="Compact"/>
              <w:jc w:val="left"/>
            </w:pPr>
            <w:r>
              <w:t xml:space="preserve">PDPA,MAIG</w:t>
            </w:r>
          </w:p>
        </w:tc>
        <w:tc>
          <w:tcPr/>
          <w:p>
            <w:pPr>
              <w:pStyle w:val="Compact"/>
              <w:jc w:val="left"/>
            </w:pPr>
            <w:r>
              <w:t xml:space="preserve">APPI</w:t>
            </w:r>
          </w:p>
        </w:tc>
        <w:tc>
          <w:tcPr/>
          <w:p>
            <w:pPr>
              <w:pStyle w:val="Compact"/>
              <w:jc w:val="left"/>
            </w:pPr>
            <w:r>
              <w:t xml:space="preserve">AI Basic</w:t>
            </w:r>
          </w:p>
        </w:tc>
        <w:tc>
          <w:tcPr/>
          <w:p>
            <w:pPr>
              <w:pStyle w:val="Compact"/>
              <w:jc w:val="left"/>
            </w:pPr>
            <w:r>
              <w:t xml:space="preserve">DPDP</w:t>
            </w:r>
          </w:p>
        </w:tc>
        <w:tc>
          <w:tcPr/>
          <w:p>
            <w:pPr>
              <w:pStyle w:val="Compact"/>
              <w:jc w:val="left"/>
            </w:pPr>
            <w:r>
              <w:t xml:space="preserve">Privacy Act</w:t>
            </w:r>
          </w:p>
        </w:tc>
        <w:tc>
          <w:tcPr/>
          <w:p>
            <w:pPr>
              <w:pStyle w:val="Compact"/>
              <w:jc w:val="left"/>
            </w:pPr>
            <w:r>
              <w:t xml:space="preserve">AIDA(p),Directive</w:t>
            </w:r>
          </w:p>
        </w:tc>
        <w:tc>
          <w:tcPr/>
          <w:p>
            <w:pPr>
              <w:pStyle w:val="Compact"/>
              <w:jc w:val="left"/>
            </w:pPr>
            <w:r>
              <w:t xml:space="preserve">PDPL</w:t>
            </w:r>
          </w:p>
        </w:tc>
        <w:tc>
          <w:tcPr/>
          <w:p>
            <w:pPr>
              <w:pStyle w:val="Compact"/>
              <w:jc w:val="left"/>
            </w:pPr>
            <w:r>
              <w:t xml:space="preserve">LGPD,AI Bill</w:t>
            </w:r>
          </w:p>
        </w:tc>
      </w:tr>
      <w:tr>
        <w:tc>
          <w:tcPr/>
          <w:p>
            <w:pPr>
              <w:pStyle w:val="Compact"/>
              <w:jc w:val="left"/>
            </w:pPr>
            <w:r>
              <w:rPr>
                <w:bCs/>
                <w:b/>
              </w:rPr>
              <w:t xml:space="preserve">EdTech</w:t>
            </w:r>
          </w:p>
        </w:tc>
        <w:tc>
          <w:tcPr/>
          <w:p>
            <w:pPr>
              <w:pStyle w:val="Compact"/>
              <w:jc w:val="left"/>
            </w:pPr>
            <w:r>
              <w:t xml:space="preserve">EUAI(high-risk grading),GDPR</w:t>
            </w:r>
          </w:p>
        </w:tc>
        <w:tc>
          <w:tcPr/>
          <w:p>
            <w:pPr>
              <w:pStyle w:val="Compact"/>
              <w:jc w:val="left"/>
            </w:pPr>
            <w:r>
              <w:t xml:space="preserve">FERPA,COPPA</w:t>
            </w:r>
          </w:p>
        </w:tc>
        <w:tc>
          <w:tcPr/>
          <w:p>
            <w:pPr>
              <w:pStyle w:val="Compact"/>
              <w:jc w:val="left"/>
            </w:pPr>
            <w:r>
              <w:t xml:space="preserve">GenAI Measures,PIPL</w:t>
            </w:r>
          </w:p>
        </w:tc>
        <w:tc>
          <w:tcPr/>
          <w:p>
            <w:pPr>
              <w:pStyle w:val="Compact"/>
              <w:jc w:val="left"/>
            </w:pPr>
            <w:r>
              <w:t xml:space="preserve">UK GDPR,Online Safety</w:t>
            </w:r>
          </w:p>
        </w:tc>
        <w:tc>
          <w:tcPr/>
          <w:p>
            <w:pPr>
              <w:pStyle w:val="Compact"/>
              <w:jc w:val="left"/>
            </w:pPr>
            <w:r>
              <w:t xml:space="preserve">PDPA</w:t>
            </w:r>
          </w:p>
        </w:tc>
        <w:tc>
          <w:tcPr/>
          <w:p>
            <w:pPr>
              <w:pStyle w:val="Compact"/>
              <w:jc w:val="left"/>
            </w:pPr>
            <w:r>
              <w:t xml:space="preserve">APPI</w:t>
            </w:r>
          </w:p>
        </w:tc>
        <w:tc>
          <w:tcPr/>
          <w:p>
            <w:pPr>
              <w:pStyle w:val="Compact"/>
              <w:jc w:val="left"/>
            </w:pPr>
            <w:r>
              <w:t xml:space="preserve">AI Basic(high-impact)</w:t>
            </w:r>
          </w:p>
        </w:tc>
        <w:tc>
          <w:tcPr/>
          <w:p>
            <w:pPr>
              <w:pStyle w:val="Compact"/>
              <w:jc w:val="left"/>
            </w:pPr>
            <w:r>
              <w:t xml:space="preserve">DPDP,NEP</w:t>
            </w:r>
          </w:p>
        </w:tc>
        <w:tc>
          <w:tcPr/>
          <w:p>
            <w:pPr>
              <w:pStyle w:val="Compact"/>
              <w:jc w:val="left"/>
            </w:pPr>
            <w:r>
              <w:t xml:space="preserve">Privacy Act</w:t>
            </w:r>
          </w:p>
        </w:tc>
        <w:tc>
          <w:tcPr/>
          <w:p>
            <w:pPr>
              <w:pStyle w:val="Compact"/>
              <w:jc w:val="left"/>
            </w:pPr>
            <w:r>
              <w:t xml:space="preserve">PIPEDA</w:t>
            </w:r>
          </w:p>
        </w:tc>
        <w:tc>
          <w:tcPr/>
          <w:p>
            <w:pPr>
              <w:pStyle w:val="Compact"/>
              <w:jc w:val="left"/>
            </w:pPr>
            <w:r>
              <w:t xml:space="preserve">AI Strategy</w:t>
            </w:r>
          </w:p>
        </w:tc>
        <w:tc>
          <w:tcPr/>
          <w:p>
            <w:pPr>
              <w:pStyle w:val="Compact"/>
              <w:jc w:val="left"/>
            </w:pPr>
            <w:r>
              <w:t xml:space="preserve">LGPD,AI Bill</w:t>
            </w:r>
          </w:p>
        </w:tc>
      </w:tr>
      <w:tr>
        <w:tc>
          <w:tcPr/>
          <w:p>
            <w:pPr>
              <w:pStyle w:val="Compact"/>
              <w:jc w:val="left"/>
            </w:pPr>
            <w:r>
              <w:rPr>
                <w:bCs/>
                <w:b/>
              </w:rPr>
              <w:t xml:space="preserve">Maritime/MASS</w:t>
            </w:r>
          </w:p>
        </w:tc>
        <w:tc>
          <w:tcPr/>
          <w:p>
            <w:pPr>
              <w:pStyle w:val="Compact"/>
              <w:jc w:val="left"/>
            </w:pPr>
            <w:r>
              <w:t xml:space="preserve">EUAI,EMSA,FuelEU</w:t>
            </w:r>
          </w:p>
        </w:tc>
        <w:tc>
          <w:tcPr/>
          <w:p>
            <w:pPr>
              <w:pStyle w:val="Compact"/>
              <w:jc w:val="left"/>
            </w:pPr>
            <w:r>
              <w:t xml:space="preserve">USCG,Jones Act</w:t>
            </w:r>
          </w:p>
        </w:tc>
        <w:tc>
          <w:tcPr/>
          <w:p>
            <w:pPr>
              <w:pStyle w:val="Compact"/>
              <w:jc w:val="left"/>
            </w:pPr>
            <w:r>
              <w:t xml:space="preserve">CCS Rules</w:t>
            </w:r>
          </w:p>
        </w:tc>
        <w:tc>
          <w:tcPr/>
          <w:p>
            <w:pPr>
              <w:pStyle w:val="Compact"/>
              <w:jc w:val="left"/>
            </w:pPr>
            <w:r>
              <w:t xml:space="preserve">MCA MASS Code</w:t>
            </w:r>
          </w:p>
        </w:tc>
        <w:tc>
          <w:tcPr/>
          <w:p>
            <w:pPr>
              <w:pStyle w:val="Compact"/>
              <w:jc w:val="left"/>
            </w:pPr>
            <w:r>
              <w:t xml:space="preserve">MPA AV Guide</w:t>
            </w:r>
          </w:p>
        </w:tc>
        <w:tc>
          <w:tcPr/>
          <w:p>
            <w:pPr>
              <w:pStyle w:val="Compact"/>
              <w:jc w:val="left"/>
            </w:pPr>
            <w:r>
              <w:t xml:space="preserve">MLIT Guide</w:t>
            </w:r>
          </w:p>
        </w:tc>
        <w:tc>
          <w:tcPr/>
          <w:p>
            <w:pPr>
              <w:pStyle w:val="Compact"/>
              <w:jc w:val="left"/>
            </w:pPr>
            <w:r>
              <w:t xml:space="preserve">AI Basic(high-impact)</w:t>
            </w:r>
          </w:p>
        </w:tc>
        <w:tc>
          <w:tcPr/>
          <w:p>
            <w:pPr>
              <w:pStyle w:val="Compact"/>
              <w:jc w:val="left"/>
            </w:pPr>
            <w:r>
              <w:t xml:space="preserve">—</w:t>
            </w:r>
          </w:p>
        </w:tc>
        <w:tc>
          <w:tcPr/>
          <w:p>
            <w:pPr>
              <w:pStyle w:val="Compact"/>
              <w:jc w:val="left"/>
            </w:pPr>
            <w:r>
              <w:t xml:space="preserve">AMSA</w:t>
            </w:r>
          </w:p>
        </w:tc>
        <w:tc>
          <w:tcPr/>
          <w:p>
            <w:pPr>
              <w:pStyle w:val="Compact"/>
              <w:jc w:val="left"/>
            </w:pPr>
            <w:r>
              <w:t xml:space="preserve">Transport Canada</w:t>
            </w:r>
          </w:p>
        </w:tc>
        <w:tc>
          <w:tcPr/>
          <w:p>
            <w:pPr>
              <w:pStyle w:val="Compact"/>
              <w:jc w:val="left"/>
            </w:pPr>
            <w:r>
              <w:t xml:space="preserve">DMCA</w:t>
            </w:r>
          </w:p>
        </w:tc>
        <w:tc>
          <w:tcPr/>
          <w:p>
            <w:pPr>
              <w:pStyle w:val="Compact"/>
              <w:jc w:val="left"/>
            </w:pPr>
            <w:r>
              <w:t xml:space="preserve">—</w:t>
            </w:r>
          </w:p>
        </w:tc>
      </w:tr>
      <w:tr>
        <w:tc>
          <w:tcPr/>
          <w:p>
            <w:pPr>
              <w:pStyle w:val="Compact"/>
              <w:jc w:val="left"/>
            </w:pPr>
            <w:r>
              <w:rPr>
                <w:bCs/>
                <w:b/>
              </w:rPr>
              <w:t xml:space="preserve">Semiconductors</w:t>
            </w:r>
          </w:p>
        </w:tc>
        <w:tc>
          <w:tcPr/>
          <w:p>
            <w:pPr>
              <w:pStyle w:val="Compact"/>
              <w:jc w:val="left"/>
            </w:pPr>
            <w:r>
              <w:t xml:space="preserve">EU Chips Act,ECEL</w:t>
            </w:r>
          </w:p>
        </w:tc>
        <w:tc>
          <w:tcPr/>
          <w:p>
            <w:pPr>
              <w:pStyle w:val="Compact"/>
              <w:jc w:val="left"/>
            </w:pPr>
            <w:r>
              <w:t xml:space="preserve">CHIPS Act,EAR,CFIUS</w:t>
            </w:r>
          </w:p>
        </w:tc>
        <w:tc>
          <w:tcPr/>
          <w:p>
            <w:pPr>
              <w:pStyle w:val="Compact"/>
              <w:jc w:val="left"/>
            </w:pPr>
            <w:r>
              <w:t xml:space="preserve">IC Fund,Export Ctrl</w:t>
            </w:r>
          </w:p>
        </w:tc>
        <w:tc>
          <w:tcPr/>
          <w:p>
            <w:pPr>
              <w:pStyle w:val="Compact"/>
              <w:jc w:val="left"/>
            </w:pPr>
            <w:r>
              <w:t xml:space="preserve">Export Ctrl Act</w:t>
            </w:r>
          </w:p>
        </w:tc>
        <w:tc>
          <w:tcPr/>
          <w:p>
            <w:pPr>
              <w:pStyle w:val="Compact"/>
              <w:jc w:val="left"/>
            </w:pPr>
            <w:r>
              <w:t xml:space="preserve">Strat</w:t>
            </w:r>
          </w:p>
        </w:tc>
        <w:tc>
          <w:tcPr/>
          <w:p>
            <w:pPr>
              <w:pStyle w:val="Compact"/>
              <w:jc w:val="left"/>
            </w:pPr>
            <w:r>
              <w:t xml:space="preserve">Semi Support Act</w:t>
            </w:r>
          </w:p>
        </w:tc>
        <w:tc>
          <w:tcPr/>
          <w:p>
            <w:pPr>
              <w:pStyle w:val="Compact"/>
              <w:jc w:val="left"/>
            </w:pPr>
            <w:r>
              <w:t xml:space="preserve">K-Chips</w:t>
            </w:r>
          </w:p>
        </w:tc>
        <w:tc>
          <w:tcPr/>
          <w:p>
            <w:pPr>
              <w:pStyle w:val="Compact"/>
              <w:jc w:val="left"/>
            </w:pPr>
            <w:r>
              <w:t xml:space="preserve">Semi Mission</w:t>
            </w:r>
          </w:p>
        </w:tc>
        <w:tc>
          <w:tcPr/>
          <w:p>
            <w:pPr>
              <w:pStyle w:val="Compact"/>
              <w:jc w:val="left"/>
            </w:pPr>
            <w:r>
              <w:t xml:space="preserve">Strat</w:t>
            </w:r>
          </w:p>
        </w:tc>
        <w:tc>
          <w:tcPr/>
          <w:p>
            <w:pPr>
              <w:pStyle w:val="Compact"/>
              <w:jc w:val="left"/>
            </w:pPr>
            <w:r>
              <w:t xml:space="preserve">Strat</w:t>
            </w:r>
          </w:p>
        </w:tc>
        <w:tc>
          <w:tcPr/>
          <w:p>
            <w:pPr>
              <w:pStyle w:val="Compact"/>
              <w:jc w:val="left"/>
            </w:pPr>
            <w:r>
              <w:t xml:space="preserve">Abu Dhabi Hub</w:t>
            </w:r>
          </w:p>
        </w:tc>
        <w:tc>
          <w:tcPr/>
          <w:p>
            <w:pPr>
              <w:pStyle w:val="Compact"/>
              <w:jc w:val="left"/>
            </w:pPr>
            <w:r>
              <w:t xml:space="preserve">Policy</w:t>
            </w:r>
          </w:p>
        </w:tc>
      </w:tr>
      <w:tr>
        <w:tc>
          <w:tcPr/>
          <w:p>
            <w:pPr>
              <w:pStyle w:val="Compact"/>
              <w:jc w:val="left"/>
            </w:pPr>
            <w:r>
              <w:rPr>
                <w:bCs/>
                <w:b/>
              </w:rPr>
              <w:t xml:space="preserve">Quantum Computing</w:t>
            </w:r>
          </w:p>
        </w:tc>
        <w:tc>
          <w:tcPr/>
          <w:p>
            <w:pPr>
              <w:pStyle w:val="Compact"/>
              <w:jc w:val="left"/>
            </w:pPr>
            <w:r>
              <w:t xml:space="preserve">EuroQCI,Quantum Flagship</w:t>
            </w:r>
          </w:p>
        </w:tc>
        <w:tc>
          <w:tcPr/>
          <w:p>
            <w:pPr>
              <w:pStyle w:val="Compact"/>
              <w:jc w:val="left"/>
            </w:pPr>
            <w:r>
              <w:t xml:space="preserve">NIST PQC,CNSA 2.0,NSM-10</w:t>
            </w:r>
          </w:p>
        </w:tc>
        <w:tc>
          <w:tcPr/>
          <w:p>
            <w:pPr>
              <w:pStyle w:val="Compact"/>
              <w:jc w:val="left"/>
            </w:pPr>
            <w:r>
              <w:t xml:space="preserve">Quantum Plan,GM/T</w:t>
            </w:r>
          </w:p>
        </w:tc>
        <w:tc>
          <w:tcPr/>
          <w:p>
            <w:pPr>
              <w:pStyle w:val="Compact"/>
              <w:jc w:val="left"/>
            </w:pPr>
            <w:r>
              <w:t xml:space="preserve">Nat Quantum Strat</w:t>
            </w:r>
          </w:p>
        </w:tc>
        <w:tc>
          <w:tcPr/>
          <w:p>
            <w:pPr>
              <w:pStyle w:val="Compact"/>
              <w:jc w:val="left"/>
            </w:pPr>
            <w:r>
              <w:t xml:space="preserve">NQCH</w:t>
            </w:r>
          </w:p>
        </w:tc>
        <w:tc>
          <w:tcPr/>
          <w:p>
            <w:pPr>
              <w:pStyle w:val="Compact"/>
              <w:jc w:val="left"/>
            </w:pPr>
            <w:r>
              <w:t xml:space="preserve">Quantum Innov Strat</w:t>
            </w:r>
          </w:p>
        </w:tc>
        <w:tc>
          <w:tcPr/>
          <w:p>
            <w:pPr>
              <w:pStyle w:val="Compact"/>
              <w:jc w:val="left"/>
            </w:pPr>
            <w:r>
              <w:t xml:space="preserve">KQIA</w:t>
            </w:r>
          </w:p>
        </w:tc>
        <w:tc>
          <w:tcPr/>
          <w:p>
            <w:pPr>
              <w:pStyle w:val="Compact"/>
              <w:jc w:val="left"/>
            </w:pPr>
            <w:r>
              <w:t xml:space="preserve">Nat Quantum Mission</w:t>
            </w:r>
          </w:p>
        </w:tc>
        <w:tc>
          <w:tcPr/>
          <w:p>
            <w:pPr>
              <w:pStyle w:val="Compact"/>
              <w:jc w:val="left"/>
            </w:pPr>
            <w:r>
              <w:t xml:space="preserve">Nat Quantum Strat</w:t>
            </w:r>
          </w:p>
        </w:tc>
        <w:tc>
          <w:tcPr/>
          <w:p>
            <w:pPr>
              <w:pStyle w:val="Compact"/>
              <w:jc w:val="left"/>
            </w:pPr>
            <w:r>
              <w:t xml:space="preserve">Nat Quantum Strat</w:t>
            </w:r>
          </w:p>
        </w:tc>
        <w:tc>
          <w:tcPr/>
          <w:p>
            <w:pPr>
              <w:pStyle w:val="Compact"/>
              <w:jc w:val="left"/>
            </w:pPr>
            <w:r>
              <w:t xml:space="preserve">Dubai Quantum</w:t>
            </w:r>
          </w:p>
        </w:tc>
        <w:tc>
          <w:tcPr/>
          <w:p>
            <w:pPr>
              <w:pStyle w:val="Compact"/>
              <w:jc w:val="left"/>
            </w:pPr>
            <w:r>
              <w:t xml:space="preserve">Plan</w:t>
            </w:r>
          </w:p>
        </w:tc>
      </w:tr>
      <w:tr>
        <w:tc>
          <w:tcPr/>
          <w:p>
            <w:pPr>
              <w:pStyle w:val="Compact"/>
              <w:jc w:val="left"/>
            </w:pPr>
            <w:r>
              <w:rPr>
                <w:bCs/>
                <w:b/>
              </w:rPr>
              <w:t xml:space="preserve">Fintech Payments</w:t>
            </w:r>
          </w:p>
        </w:tc>
        <w:tc>
          <w:tcPr/>
          <w:p>
            <w:pPr>
              <w:pStyle w:val="Compact"/>
              <w:jc w:val="left"/>
            </w:pPr>
            <w:r>
              <w:t xml:space="preserve">PSD3,DORA,MiCA</w:t>
            </w:r>
          </w:p>
        </w:tc>
        <w:tc>
          <w:tcPr/>
          <w:p>
            <w:pPr>
              <w:pStyle w:val="Compact"/>
              <w:jc w:val="left"/>
            </w:pPr>
            <w:r>
              <w:t xml:space="preserve">State laws,FinCEN</w:t>
            </w:r>
          </w:p>
        </w:tc>
        <w:tc>
          <w:tcPr/>
          <w:p>
            <w:pPr>
              <w:pStyle w:val="Compact"/>
              <w:jc w:val="left"/>
            </w:pPr>
            <w:r>
              <w:t xml:space="preserve">e-CNY,DSL</w:t>
            </w:r>
          </w:p>
        </w:tc>
        <w:tc>
          <w:tcPr/>
          <w:p>
            <w:pPr>
              <w:pStyle w:val="Compact"/>
              <w:jc w:val="left"/>
            </w:pPr>
            <w:r>
              <w:t xml:space="preserve">FCA guidance</w:t>
            </w:r>
          </w:p>
        </w:tc>
        <w:tc>
          <w:tcPr/>
          <w:p>
            <w:pPr>
              <w:pStyle w:val="Compact"/>
              <w:jc w:val="left"/>
            </w:pPr>
            <w:r>
              <w:t xml:space="preserve">PSA,MAS</w:t>
            </w:r>
          </w:p>
        </w:tc>
        <w:tc>
          <w:tcPr/>
          <w:p>
            <w:pPr>
              <w:pStyle w:val="Compact"/>
              <w:jc w:val="left"/>
            </w:pPr>
            <w:r>
              <w:t xml:space="preserve">Payment Services Act</w:t>
            </w:r>
          </w:p>
        </w:tc>
        <w:tc>
          <w:tcPr/>
          <w:p>
            <w:pPr>
              <w:pStyle w:val="Compact"/>
              <w:jc w:val="left"/>
            </w:pPr>
            <w:r>
              <w:t xml:space="preserve">FSC,BOK CBDC</w:t>
            </w:r>
          </w:p>
        </w:tc>
        <w:tc>
          <w:tcPr/>
          <w:p>
            <w:pPr>
              <w:pStyle w:val="Compact"/>
              <w:jc w:val="left"/>
            </w:pPr>
            <w:r>
              <w:t xml:space="preserve">RBI,UPI</w:t>
            </w:r>
          </w:p>
        </w:tc>
        <w:tc>
          <w:tcPr/>
          <w:p>
            <w:pPr>
              <w:pStyle w:val="Compact"/>
              <w:jc w:val="left"/>
            </w:pPr>
            <w:r>
              <w:t xml:space="preserve">ASIC,APRA</w:t>
            </w:r>
          </w:p>
        </w:tc>
        <w:tc>
          <w:tcPr/>
          <w:p>
            <w:pPr>
              <w:pStyle w:val="Compact"/>
              <w:jc w:val="left"/>
            </w:pPr>
            <w:r>
              <w:t xml:space="preserve">OSFI,FINTRAC</w:t>
            </w:r>
          </w:p>
        </w:tc>
        <w:tc>
          <w:tcPr/>
          <w:p>
            <w:pPr>
              <w:pStyle w:val="Compact"/>
              <w:jc w:val="left"/>
            </w:pPr>
            <w:r>
              <w:t xml:space="preserve">CBUAE,VARA</w:t>
            </w:r>
          </w:p>
        </w:tc>
        <w:tc>
          <w:tcPr/>
          <w:p>
            <w:pPr>
              <w:pStyle w:val="Compact"/>
              <w:jc w:val="left"/>
            </w:pPr>
            <w:r>
              <w:t xml:space="preserve">BCB,PIX</w:t>
            </w:r>
          </w:p>
        </w:tc>
      </w:tr>
    </w:tbl>
    <w:p>
      <w:r>
        <w:pict>
          <v:rect style="width:0;height:1.5pt" o:hralign="center" o:hrstd="t" o:hr="t"/>
        </w:pict>
      </w:r>
    </w:p>
    <w:bookmarkEnd w:id="40"/>
    <w:bookmarkEnd w:id="41"/>
    <w:bookmarkStart w:id="42" w:name="high-risk-classification-by-jurisdiction"/>
    <w:p>
      <w:pPr>
        <w:pStyle w:val="Heading3"/>
      </w:pPr>
      <w:r>
        <w:t xml:space="preserve">3.2 High-Risk Classification by Jurisdiction</w:t>
      </w:r>
    </w:p>
    <w:p>
      <w:pPr>
        <w:pStyle w:val="FirstParagraph"/>
      </w:pPr>
      <w:r>
        <w:t xml:space="preserve">Which industries classify as</w:t>
      </w:r>
      <w:r>
        <w:t xml:space="preserve"> </w:t>
      </w:r>
      <w:r>
        <w:t xml:space="preserve">“</w:t>
      </w:r>
      <w:r>
        <w:t xml:space="preserve">high-risk</w:t>
      </w:r>
      <w:r>
        <w:t xml:space="preserve">”</w:t>
      </w:r>
      <w:r>
        <w:t xml:space="preserve"> </w:t>
      </w:r>
      <w:r>
        <w:t xml:space="preserve">or equivalent in each jurisdiction?</w:t>
      </w:r>
    </w:p>
    <w:tbl>
      <w:tblPr>
        <w:tblStyle w:val="Table"/>
        <w:tblW w:type="pct" w:w="5000"/>
        <w:tblLook w:firstRow="1" w:lastRow="0" w:firstColumn="0" w:lastColumn="0" w:noHBand="0" w:noVBand="0" w:val="0020"/>
      </w:tblPr>
      <w:tblGrid>
        <w:gridCol w:w="733"/>
        <w:gridCol w:w="953"/>
        <w:gridCol w:w="1320"/>
        <w:gridCol w:w="1540"/>
        <w:gridCol w:w="1320"/>
        <w:gridCol w:w="953"/>
        <w:gridCol w:w="1100"/>
      </w:tblGrid>
      <w:tr>
        <w:trPr>
          <w:tblHeader w:val="true"/>
        </w:trPr>
        <w:tc>
          <w:tcPr/>
          <w:p>
            <w:pPr>
              <w:pStyle w:val="Compact"/>
              <w:jc w:val="left"/>
            </w:pPr>
            <w:r>
              <w:t xml:space="preserve">Industry</w:t>
            </w:r>
          </w:p>
        </w:tc>
        <w:tc>
          <w:tcPr/>
          <w:p>
            <w:pPr>
              <w:pStyle w:val="Compact"/>
              <w:jc w:val="left"/>
            </w:pPr>
            <w:r>
              <w:t xml:space="preserve">EU (AI Act)</w:t>
            </w:r>
          </w:p>
        </w:tc>
        <w:tc>
          <w:tcPr/>
          <w:p>
            <w:pPr>
              <w:pStyle w:val="Compact"/>
              <w:jc w:val="left"/>
            </w:pPr>
            <w:r>
              <w:t xml:space="preserve">Korea (AI Basic)</w:t>
            </w:r>
          </w:p>
        </w:tc>
        <w:tc>
          <w:tcPr/>
          <w:p>
            <w:pPr>
              <w:pStyle w:val="Compact"/>
              <w:jc w:val="left"/>
            </w:pPr>
            <w:r>
              <w:t xml:space="preserve">US (Colorado/State)</w:t>
            </w:r>
          </w:p>
        </w:tc>
        <w:tc>
          <w:tcPr/>
          <w:p>
            <w:pPr>
              <w:pStyle w:val="Compact"/>
              <w:jc w:val="left"/>
            </w:pPr>
            <w:r>
              <w:t xml:space="preserve">Brazil (AI Bill)</w:t>
            </w:r>
          </w:p>
        </w:tc>
        <w:tc>
          <w:tcPr/>
          <w:p>
            <w:pPr>
              <w:pStyle w:val="Compact"/>
              <w:jc w:val="left"/>
            </w:pPr>
            <w:r>
              <w:t xml:space="preserve">China (CAC)</w:t>
            </w:r>
          </w:p>
        </w:tc>
        <w:tc>
          <w:tcPr/>
          <w:p>
            <w:pPr>
              <w:pStyle w:val="Compact"/>
              <w:jc w:val="left"/>
            </w:pPr>
            <w:r>
              <w:t xml:space="preserve">Canada (AIDA)</w:t>
            </w:r>
          </w:p>
        </w:tc>
      </w:tr>
      <w:tr>
        <w:tc>
          <w:tcPr/>
          <w:p>
            <w:pPr>
              <w:pStyle w:val="Compact"/>
              <w:jc w:val="left"/>
            </w:pPr>
            <w:r>
              <w:t xml:space="preserve">Healthcare AI</w:t>
            </w:r>
          </w:p>
        </w:tc>
        <w:tc>
          <w:tcPr/>
          <w:p>
            <w:pPr>
              <w:pStyle w:val="Compact"/>
              <w:jc w:val="left"/>
            </w:pPr>
            <w:r>
              <w:t xml:space="preserve">HIGH-RISK</w:t>
            </w:r>
          </w:p>
        </w:tc>
        <w:tc>
          <w:tcPr/>
          <w:p>
            <w:pPr>
              <w:pStyle w:val="Compact"/>
              <w:jc w:val="left"/>
            </w:pPr>
            <w:r>
              <w:t xml:space="preserve">HIGH-IMPACT</w:t>
            </w:r>
          </w:p>
        </w:tc>
        <w:tc>
          <w:tcPr/>
          <w:p>
            <w:pPr>
              <w:pStyle w:val="Compact"/>
              <w:jc w:val="left"/>
            </w:pPr>
            <w:r>
              <w:t xml:space="preserve">High-risk (CO)</w:t>
            </w:r>
          </w:p>
        </w:tc>
        <w:tc>
          <w:tcPr/>
          <w:p>
            <w:pPr>
              <w:pStyle w:val="Compact"/>
              <w:jc w:val="left"/>
            </w:pPr>
            <w:r>
              <w:t xml:space="preserve">High Risk</w:t>
            </w:r>
          </w:p>
        </w:tc>
        <w:tc>
          <w:tcPr/>
          <w:p>
            <w:pPr>
              <w:pStyle w:val="Compact"/>
              <w:jc w:val="left"/>
            </w:pPr>
            <w:r>
              <w:t xml:space="preserve">Filing required</w:t>
            </w:r>
          </w:p>
        </w:tc>
        <w:tc>
          <w:tcPr/>
          <w:p>
            <w:pPr>
              <w:pStyle w:val="Compact"/>
              <w:jc w:val="left"/>
            </w:pPr>
            <w:r>
              <w:t xml:space="preserve">High-impact</w:t>
            </w:r>
          </w:p>
        </w:tc>
      </w:tr>
      <w:tr>
        <w:tc>
          <w:tcPr/>
          <w:p>
            <w:pPr>
              <w:pStyle w:val="Compact"/>
              <w:jc w:val="left"/>
            </w:pPr>
            <w:r>
              <w:t xml:space="preserve">Credit Scoring</w:t>
            </w:r>
          </w:p>
        </w:tc>
        <w:tc>
          <w:tcPr/>
          <w:p>
            <w:pPr>
              <w:pStyle w:val="Compact"/>
              <w:jc w:val="left"/>
            </w:pPr>
            <w:r>
              <w:t xml:space="preserve">HIGH-RISK</w:t>
            </w:r>
          </w:p>
        </w:tc>
        <w:tc>
          <w:tcPr/>
          <w:p>
            <w:pPr>
              <w:pStyle w:val="Compact"/>
              <w:jc w:val="left"/>
            </w:pPr>
            <w:r>
              <w:t xml:space="preserve">HIGH-IMPACT</w:t>
            </w:r>
          </w:p>
        </w:tc>
        <w:tc>
          <w:tcPr/>
          <w:p>
            <w:pPr>
              <w:pStyle w:val="Compact"/>
              <w:jc w:val="left"/>
            </w:pPr>
            <w:r>
              <w:t xml:space="preserve">High-risk (CO)</w:t>
            </w:r>
          </w:p>
        </w:tc>
        <w:tc>
          <w:tcPr/>
          <w:p>
            <w:pPr>
              <w:pStyle w:val="Compact"/>
              <w:jc w:val="left"/>
            </w:pPr>
            <w:r>
              <w:t xml:space="preserve">High Risk</w:t>
            </w:r>
          </w:p>
        </w:tc>
        <w:tc>
          <w:tcPr/>
          <w:p>
            <w:pPr>
              <w:pStyle w:val="Compact"/>
              <w:jc w:val="left"/>
            </w:pPr>
            <w:r>
              <w:t xml:space="preserve">Filing required</w:t>
            </w:r>
          </w:p>
        </w:tc>
        <w:tc>
          <w:tcPr/>
          <w:p>
            <w:pPr>
              <w:pStyle w:val="Compact"/>
              <w:jc w:val="left"/>
            </w:pPr>
            <w:r>
              <w:t xml:space="preserve">High-impact</w:t>
            </w:r>
          </w:p>
        </w:tc>
      </w:tr>
      <w:tr>
        <w:tc>
          <w:tcPr/>
          <w:p>
            <w:pPr>
              <w:pStyle w:val="Compact"/>
              <w:jc w:val="left"/>
            </w:pPr>
            <w:r>
              <w:t xml:space="preserve">Education AI (grading)</w:t>
            </w:r>
          </w:p>
        </w:tc>
        <w:tc>
          <w:tcPr/>
          <w:p>
            <w:pPr>
              <w:pStyle w:val="Compact"/>
              <w:jc w:val="left"/>
            </w:pPr>
            <w:r>
              <w:t xml:space="preserve">HIGH-RISK</w:t>
            </w:r>
          </w:p>
        </w:tc>
        <w:tc>
          <w:tcPr/>
          <w:p>
            <w:pPr>
              <w:pStyle w:val="Compact"/>
              <w:jc w:val="left"/>
            </w:pPr>
            <w:r>
              <w:t xml:space="preserve">HIGH-IMPACT</w:t>
            </w:r>
          </w:p>
        </w:tc>
        <w:tc>
          <w:tcPr/>
          <w:p>
            <w:pPr>
              <w:pStyle w:val="Compact"/>
              <w:jc w:val="left"/>
            </w:pPr>
            <w:r>
              <w:t xml:space="preserve">—</w:t>
            </w:r>
          </w:p>
        </w:tc>
        <w:tc>
          <w:tcPr/>
          <w:p>
            <w:pPr>
              <w:pStyle w:val="Compact"/>
              <w:jc w:val="left"/>
            </w:pPr>
            <w:r>
              <w:t xml:space="preserve">High Risk</w:t>
            </w:r>
          </w:p>
        </w:tc>
        <w:tc>
          <w:tcPr/>
          <w:p>
            <w:pPr>
              <w:pStyle w:val="Compact"/>
              <w:jc w:val="left"/>
            </w:pPr>
            <w:r>
              <w:t xml:space="preserve">Filing required</w:t>
            </w:r>
          </w:p>
        </w:tc>
        <w:tc>
          <w:tcPr/>
          <w:p>
            <w:pPr>
              <w:pStyle w:val="Compact"/>
              <w:jc w:val="left"/>
            </w:pPr>
            <w:r>
              <w:t xml:space="preserve">High-impact</w:t>
            </w:r>
          </w:p>
        </w:tc>
      </w:tr>
      <w:tr>
        <w:tc>
          <w:tcPr/>
          <w:p>
            <w:pPr>
              <w:pStyle w:val="Compact"/>
              <w:jc w:val="left"/>
            </w:pPr>
            <w:r>
              <w:t xml:space="preserve">Legal/Justice AI</w:t>
            </w:r>
          </w:p>
        </w:tc>
        <w:tc>
          <w:tcPr/>
          <w:p>
            <w:pPr>
              <w:pStyle w:val="Compact"/>
              <w:jc w:val="left"/>
            </w:pPr>
            <w:r>
              <w:t xml:space="preserve">HIGH-RISK</w:t>
            </w:r>
          </w:p>
        </w:tc>
        <w:tc>
          <w:tcPr/>
          <w:p>
            <w:pPr>
              <w:pStyle w:val="Compact"/>
              <w:jc w:val="left"/>
            </w:pPr>
            <w:r>
              <w:t xml:space="preserve">HIGH-IMPACT</w:t>
            </w:r>
          </w:p>
        </w:tc>
        <w:tc>
          <w:tcPr/>
          <w:p>
            <w:pPr>
              <w:pStyle w:val="Compact"/>
              <w:jc w:val="left"/>
            </w:pPr>
            <w:r>
              <w:t xml:space="preserve">—</w:t>
            </w:r>
          </w:p>
        </w:tc>
        <w:tc>
          <w:tcPr/>
          <w:p>
            <w:pPr>
              <w:pStyle w:val="Compact"/>
              <w:jc w:val="left"/>
            </w:pPr>
            <w:r>
              <w:t xml:space="preserve">High Risk</w:t>
            </w:r>
          </w:p>
        </w:tc>
        <w:tc>
          <w:tcPr/>
          <w:p>
            <w:pPr>
              <w:pStyle w:val="Compact"/>
              <w:jc w:val="left"/>
            </w:pPr>
            <w:r>
              <w:t xml:space="preserve">Filing required</w:t>
            </w:r>
          </w:p>
        </w:tc>
        <w:tc>
          <w:tcPr/>
          <w:p>
            <w:pPr>
              <w:pStyle w:val="Compact"/>
              <w:jc w:val="left"/>
            </w:pPr>
            <w:r>
              <w:t xml:space="preserve">High-impact</w:t>
            </w:r>
          </w:p>
        </w:tc>
      </w:tr>
      <w:tr>
        <w:tc>
          <w:tcPr/>
          <w:p>
            <w:pPr>
              <w:pStyle w:val="Compact"/>
              <w:jc w:val="left"/>
            </w:pPr>
            <w:r>
              <w:t xml:space="preserve">Transport/Critical Infra</w:t>
            </w:r>
          </w:p>
        </w:tc>
        <w:tc>
          <w:tcPr/>
          <w:p>
            <w:pPr>
              <w:pStyle w:val="Compact"/>
              <w:jc w:val="left"/>
            </w:pPr>
            <w:r>
              <w:t xml:space="preserve">HIGH-RISK</w:t>
            </w:r>
          </w:p>
        </w:tc>
        <w:tc>
          <w:tcPr/>
          <w:p>
            <w:pPr>
              <w:pStyle w:val="Compact"/>
              <w:jc w:val="left"/>
            </w:pPr>
            <w:r>
              <w:t xml:space="preserve">HIGH-IMPACT</w:t>
            </w:r>
          </w:p>
        </w:tc>
        <w:tc>
          <w:tcPr/>
          <w:p>
            <w:pPr>
              <w:pStyle w:val="Compact"/>
              <w:jc w:val="left"/>
            </w:pPr>
            <w:r>
              <w:t xml:space="preserve">—</w:t>
            </w:r>
          </w:p>
        </w:tc>
        <w:tc>
          <w:tcPr/>
          <w:p>
            <w:pPr>
              <w:pStyle w:val="Compact"/>
              <w:jc w:val="left"/>
            </w:pPr>
            <w:r>
              <w:t xml:space="preserve">High Risk</w:t>
            </w:r>
          </w:p>
        </w:tc>
        <w:tc>
          <w:tcPr/>
          <w:p>
            <w:pPr>
              <w:pStyle w:val="Compact"/>
              <w:jc w:val="left"/>
            </w:pPr>
            <w:r>
              <w:t xml:space="preserve">MLPS Level 3+</w:t>
            </w:r>
          </w:p>
        </w:tc>
        <w:tc>
          <w:tcPr/>
          <w:p>
            <w:pPr>
              <w:pStyle w:val="Compact"/>
              <w:jc w:val="left"/>
            </w:pPr>
            <w:r>
              <w:t xml:space="preserve">High-impact</w:t>
            </w:r>
          </w:p>
        </w:tc>
      </w:tr>
      <w:tr>
        <w:tc>
          <w:tcPr/>
          <w:p>
            <w:pPr>
              <w:pStyle w:val="Compact"/>
              <w:jc w:val="left"/>
            </w:pPr>
            <w:r>
              <w:t xml:space="preserve">Biometric/Surveillance</w:t>
            </w:r>
          </w:p>
        </w:tc>
        <w:tc>
          <w:tcPr/>
          <w:p>
            <w:pPr>
              <w:pStyle w:val="Compact"/>
              <w:jc w:val="left"/>
            </w:pPr>
            <w:r>
              <w:t xml:space="preserve">PROHIBITED*</w:t>
            </w:r>
          </w:p>
        </w:tc>
        <w:tc>
          <w:tcPr/>
          <w:p>
            <w:pPr>
              <w:pStyle w:val="Compact"/>
              <w:jc w:val="left"/>
            </w:pPr>
            <w:r>
              <w:t xml:space="preserve">HIGH-IMPACT</w:t>
            </w:r>
          </w:p>
        </w:tc>
        <w:tc>
          <w:tcPr/>
          <w:p>
            <w:pPr>
              <w:pStyle w:val="Compact"/>
              <w:jc w:val="left"/>
            </w:pPr>
            <w:r>
              <w:t xml:space="preserve">—</w:t>
            </w:r>
          </w:p>
        </w:tc>
        <w:tc>
          <w:tcPr/>
          <w:p>
            <w:pPr>
              <w:pStyle w:val="Compact"/>
              <w:jc w:val="left"/>
            </w:pPr>
            <w:r>
              <w:t xml:space="preserve">Excessive Risk</w:t>
            </w:r>
          </w:p>
        </w:tc>
        <w:tc>
          <w:tcPr/>
          <w:p>
            <w:pPr>
              <w:pStyle w:val="Compact"/>
              <w:jc w:val="left"/>
            </w:pPr>
            <w:r>
              <w:t xml:space="preserve">Restricted</w:t>
            </w:r>
          </w:p>
        </w:tc>
        <w:tc>
          <w:tcPr/>
          <w:p>
            <w:pPr>
              <w:pStyle w:val="Compact"/>
              <w:jc w:val="left"/>
            </w:pPr>
            <w:r>
              <w:t xml:space="preserve">High-impact</w:t>
            </w:r>
          </w:p>
        </w:tc>
      </w:tr>
      <w:tr>
        <w:tc>
          <w:tcPr/>
          <w:p>
            <w:pPr>
              <w:pStyle w:val="Compact"/>
              <w:jc w:val="left"/>
            </w:pPr>
            <w:r>
              <w:t xml:space="preserve">Gaming AI</w:t>
            </w:r>
          </w:p>
        </w:tc>
        <w:tc>
          <w:tcPr/>
          <w:p>
            <w:pPr>
              <w:pStyle w:val="Compact"/>
              <w:jc w:val="left"/>
            </w:pPr>
            <w:r>
              <w:t xml:space="preserve">Limited risk</w:t>
            </w:r>
          </w:p>
        </w:tc>
        <w:tc>
          <w:tcPr/>
          <w:p>
            <w:pPr>
              <w:pStyle w:val="Compact"/>
              <w:jc w:val="left"/>
            </w:pPr>
            <w:r>
              <w:t xml:space="preserve">—</w:t>
            </w:r>
          </w:p>
        </w:tc>
        <w:tc>
          <w:tcPr/>
          <w:p>
            <w:pPr>
              <w:pStyle w:val="Compact"/>
              <w:jc w:val="left"/>
            </w:pPr>
            <w:r>
              <w:t xml:space="preserve">—</w:t>
            </w:r>
          </w:p>
        </w:tc>
        <w:tc>
          <w:tcPr/>
          <w:p>
            <w:pPr>
              <w:pStyle w:val="Compact"/>
              <w:jc w:val="left"/>
            </w:pPr>
            <w:r>
              <w:t xml:space="preserve">Limited Risk</w:t>
            </w:r>
          </w:p>
        </w:tc>
        <w:tc>
          <w:tcPr/>
          <w:p>
            <w:pPr>
              <w:pStyle w:val="Compact"/>
              <w:jc w:val="left"/>
            </w:pPr>
            <w:r>
              <w:t xml:space="preserve">Filing required</w:t>
            </w:r>
          </w:p>
        </w:tc>
        <w:tc>
          <w:tcPr/>
          <w:p>
            <w:pPr>
              <w:pStyle w:val="Compact"/>
              <w:jc w:val="left"/>
            </w:pPr>
            <w:r>
              <w:t xml:space="preserve">—</w:t>
            </w:r>
          </w:p>
        </w:tc>
      </w:tr>
      <w:tr>
        <w:tc>
          <w:tcPr/>
          <w:p>
            <w:pPr>
              <w:pStyle w:val="Compact"/>
              <w:jc w:val="left"/>
            </w:pPr>
            <w:r>
              <w:t xml:space="preserve">Social Media</w:t>
            </w:r>
          </w:p>
        </w:tc>
        <w:tc>
          <w:tcPr/>
          <w:p>
            <w:pPr>
              <w:pStyle w:val="Compact"/>
              <w:jc w:val="left"/>
            </w:pPr>
            <w:r>
              <w:t xml:space="preserve">Limited risk</w:t>
            </w:r>
          </w:p>
        </w:tc>
        <w:tc>
          <w:tcPr/>
          <w:p>
            <w:pPr>
              <w:pStyle w:val="Compact"/>
              <w:jc w:val="left"/>
            </w:pPr>
            <w:r>
              <w:t xml:space="preserve">—</w:t>
            </w:r>
          </w:p>
        </w:tc>
        <w:tc>
          <w:tcPr/>
          <w:p>
            <w:pPr>
              <w:pStyle w:val="Compact"/>
              <w:jc w:val="left"/>
            </w:pPr>
            <w:r>
              <w:t xml:space="preserve">—</w:t>
            </w:r>
          </w:p>
        </w:tc>
        <w:tc>
          <w:tcPr/>
          <w:p>
            <w:pPr>
              <w:pStyle w:val="Compact"/>
              <w:jc w:val="left"/>
            </w:pPr>
            <w:r>
              <w:t xml:space="preserve">Limited Risk</w:t>
            </w:r>
          </w:p>
        </w:tc>
        <w:tc>
          <w:tcPr/>
          <w:p>
            <w:pPr>
              <w:pStyle w:val="Compact"/>
              <w:jc w:val="left"/>
            </w:pPr>
            <w:r>
              <w:t xml:space="preserve">Content review</w:t>
            </w:r>
          </w:p>
        </w:tc>
        <w:tc>
          <w:tcPr/>
          <w:p>
            <w:pPr>
              <w:pStyle w:val="Compact"/>
              <w:jc w:val="left"/>
            </w:pPr>
            <w:r>
              <w:t xml:space="preserve">—</w:t>
            </w:r>
          </w:p>
        </w:tc>
      </w:tr>
      <w:tr>
        <w:tc>
          <w:tcPr/>
          <w:p>
            <w:pPr>
              <w:pStyle w:val="Compact"/>
              <w:jc w:val="left"/>
            </w:pPr>
            <w:r>
              <w:t xml:space="preserve">*EU prohibits: social scoring, emotion recognition in schools, real-time biometric ID in public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42"/>
    <w:bookmarkEnd w:id="43"/>
    <w:bookmarkStart w:id="75" w:name="cross-border-simulation-scenarios"/>
    <w:p>
      <w:pPr>
        <w:pStyle w:val="Heading2"/>
      </w:pPr>
      <w:r>
        <w:t xml:space="preserve">4. Cross-Border Simulation Scenarios</w:t>
      </w:r>
    </w:p>
    <w:bookmarkStart w:id="44" w:name="scenario-architecture-template"/>
    <w:p>
      <w:pPr>
        <w:pStyle w:val="Heading3"/>
      </w:pPr>
      <w:r>
        <w:t xml:space="preserve">Scenario Architecture Template</w:t>
      </w:r>
    </w:p>
    <w:p>
      <w:pPr>
        <w:pStyle w:val="FirstParagraph"/>
      </w:pPr>
      <w:r>
        <w:t xml:space="preserve">Each scenario includes:</w:t>
      </w:r>
      <w:r>
        <w:t xml:space="preserve"> </w:t>
      </w:r>
      <w:r>
        <w:t xml:space="preserve">-</w:t>
      </w:r>
      <w:r>
        <w:t xml:space="preserve"> </w:t>
      </w:r>
      <w:r>
        <w:rPr>
          <w:bCs/>
          <w:b/>
        </w:rPr>
        <w:t xml:space="preserve">Origin + Destination</w:t>
      </w:r>
      <w:r>
        <w:t xml:space="preserve">: Jurisdictions and regulatory frameworks</w:t>
      </w:r>
      <w:r>
        <w:t xml:space="preserve"> </w:t>
      </w:r>
      <w:r>
        <w:t xml:space="preserve">-</w:t>
      </w:r>
      <w:r>
        <w:t xml:space="preserve"> </w:t>
      </w:r>
      <w:r>
        <w:rPr>
          <w:bCs/>
          <w:b/>
        </w:rPr>
        <w:t xml:space="preserve">Industry</w:t>
      </w:r>
      <w:r>
        <w:t xml:space="preserve">: Primary industry classification</w:t>
      </w:r>
      <w:r>
        <w:t xml:space="preserve"> </w:t>
      </w:r>
      <w:r>
        <w:t xml:space="preserve">-</w:t>
      </w:r>
      <w:r>
        <w:t xml:space="preserve"> </w:t>
      </w:r>
      <w:r>
        <w:rPr>
          <w:bCs/>
          <w:b/>
        </w:rPr>
        <w:t xml:space="preserve">Conflict Description</w:t>
      </w:r>
      <w:r>
        <w:t xml:space="preserve">: Specific regulatory conflicts</w:t>
      </w:r>
      <w:r>
        <w:t xml:space="preserve"> </w:t>
      </w:r>
      <w:r>
        <w:t xml:space="preserve">-</w:t>
      </w:r>
      <w:r>
        <w:t xml:space="preserve"> </w:t>
      </w:r>
      <w:r>
        <w:rPr>
          <w:bCs/>
          <w:b/>
        </w:rPr>
        <w:t xml:space="preserve">Compliance Requirements</w:t>
      </w:r>
      <w:r>
        <w:t xml:space="preserve">: What must be done to comply</w:t>
      </w:r>
      <w:r>
        <w:t xml:space="preserve"> </w:t>
      </w:r>
      <w:r>
        <w:t xml:space="preserve">-</w:t>
      </w:r>
      <w:r>
        <w:t xml:space="preserve"> </w:t>
      </w:r>
      <w:r>
        <w:rPr>
          <w:bCs/>
          <w:b/>
        </w:rPr>
        <w:t xml:space="preserve">Simulation Parameters</w:t>
      </w:r>
      <w:r>
        <w:t xml:space="preserve">: What to measure in the simulation</w:t>
      </w:r>
      <w:r>
        <w:t xml:space="preserve"> </w:t>
      </w:r>
      <w:r>
        <w:t xml:space="preserve">-</w:t>
      </w:r>
      <w:r>
        <w:t xml:space="preserve"> </w:t>
      </w:r>
      <w:r>
        <w:rPr>
          <w:bCs/>
          <w:b/>
        </w:rPr>
        <w:t xml:space="preserve">MEOK Civilization Map</w:t>
      </w:r>
      <w:r>
        <w:t xml:space="preserve">: Which civilizations in the MEOK ecosystem this scenario represents</w:t>
      </w:r>
      <w:r>
        <w:t xml:space="preserve"> </w:t>
      </w:r>
      <w:r>
        <w:t xml:space="preserve">-</w:t>
      </w:r>
      <w:r>
        <w:t xml:space="preserve"> </w:t>
      </w:r>
      <w:r>
        <w:rPr>
          <w:bCs/>
          <w:b/>
        </w:rPr>
        <w:t xml:space="preserve">Priority Score</w:t>
      </w:r>
      <w:r>
        <w:t xml:space="preserve">: Based on Gold Mine Index criteria</w:t>
      </w:r>
    </w:p>
    <w:p>
      <w:r>
        <w:pict>
          <v:rect style="width:0;height:1.5pt" o:hralign="center" o:hrstd="t" o:hr="t"/>
        </w:pict>
      </w:r>
    </w:p>
    <w:bookmarkEnd w:id="44"/>
    <w:bookmarkStart w:id="45" w:name="Xad595b04612a1c09219b73966ef4edcc2bb1b32"/>
    <w:p>
      <w:pPr>
        <w:pStyle w:val="Heading3"/>
      </w:pPr>
      <w:r>
        <w:t xml:space="preserve">SCENARIO 1: Chinese Humanoid Robot in UK Factory</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China (MIIT, CAC Algorithm Regulations, GB/T 12643-2021)</w:t>
            </w:r>
          </w:p>
        </w:tc>
      </w:tr>
      <w:tr>
        <w:tc>
          <w:tcPr/>
          <w:p>
            <w:pPr>
              <w:pStyle w:val="Compact"/>
              <w:jc w:val="left"/>
            </w:pPr>
            <w:r>
              <w:rPr>
                <w:bCs/>
                <w:b/>
              </w:rPr>
              <w:t xml:space="preserve">Destination</w:t>
            </w:r>
          </w:p>
        </w:tc>
        <w:tc>
          <w:tcPr/>
          <w:p>
            <w:pPr>
              <w:pStyle w:val="Compact"/>
              <w:jc w:val="left"/>
            </w:pPr>
            <w:r>
              <w:t xml:space="preserve">United Kingdom (HSE, AI White Paper, Product Safety)</w:t>
            </w:r>
          </w:p>
        </w:tc>
      </w:tr>
      <w:tr>
        <w:tc>
          <w:tcPr/>
          <w:p>
            <w:pPr>
              <w:pStyle w:val="Compact"/>
              <w:jc w:val="left"/>
            </w:pPr>
            <w:r>
              <w:rPr>
                <w:bCs/>
                <w:b/>
              </w:rPr>
              <w:t xml:space="preserve">Industry</w:t>
            </w:r>
          </w:p>
        </w:tc>
        <w:tc>
          <w:tcPr/>
          <w:p>
            <w:pPr>
              <w:pStyle w:val="Compact"/>
              <w:jc w:val="left"/>
            </w:pPr>
            <w:r>
              <w:t xml:space="preserve">Humanoid Robotics (#2)</w:t>
            </w:r>
          </w:p>
        </w:tc>
      </w:tr>
      <w:tr>
        <w:tc>
          <w:tcPr/>
          <w:p>
            <w:pPr>
              <w:pStyle w:val="Compact"/>
              <w:jc w:val="left"/>
            </w:pPr>
            <w:r>
              <w:rPr>
                <w:bCs/>
                <w:b/>
              </w:rPr>
              <w:t xml:space="preserve">Conflict</w:t>
            </w:r>
          </w:p>
        </w:tc>
        <w:tc>
          <w:tcPr/>
          <w:p>
            <w:pPr>
              <w:pStyle w:val="Compact"/>
              <w:jc w:val="left"/>
            </w:pPr>
            <w:r>
              <w:t xml:space="preserve">Chinese robot must file algorithms with CAC under Algorithm Recommendation Provisions, but UK/EU AI Act-equivalent requires transparency AND data cannot flow back to China under DSL. CE marking/UKCA required but no mutual recognition with Chinese CR certification.</w:t>
            </w:r>
          </w:p>
        </w:tc>
      </w:tr>
      <w:tr>
        <w:tc>
          <w:tcPr/>
          <w:p>
            <w:pPr>
              <w:pStyle w:val="Compact"/>
              <w:jc w:val="left"/>
            </w:pPr>
            <w:r>
              <w:rPr>
                <w:bCs/>
                <w:b/>
              </w:rPr>
              <w:t xml:space="preserve">Compliance Requirements</w:t>
            </w:r>
          </w:p>
        </w:tc>
        <w:tc>
          <w:tcPr/>
          <w:p>
            <w:pPr>
              <w:pStyle w:val="Compact"/>
              <w:jc w:val="left"/>
            </w:pPr>
            <w:r>
              <w:t xml:space="preserve">UKCA marking; HSE workplace safety assessment; algorithm transparency documentation (without revealing CAC-filed details); GDPR compliance for employee biometric data; Chinese DSL data localization prevents cloud training data transfer</w:t>
            </w:r>
          </w:p>
        </w:tc>
      </w:tr>
      <w:tr>
        <w:tc>
          <w:tcPr/>
          <w:p>
            <w:pPr>
              <w:pStyle w:val="Compact"/>
              <w:jc w:val="left"/>
            </w:pPr>
            <w:r>
              <w:rPr>
                <w:bCs/>
                <w:b/>
              </w:rPr>
              <w:t xml:space="preserve">Simulation Parameters</w:t>
            </w:r>
          </w:p>
        </w:tc>
        <w:tc>
          <w:tcPr/>
          <w:p>
            <w:pPr>
              <w:pStyle w:val="Compact"/>
              <w:jc w:val="left"/>
            </w:pPr>
            <w:r>
              <w:t xml:space="preserve">(1) Regulatory friction cost, (2) Time-to-deployment, (3) Data architecture complexity, (4) Compliance cost as % of unit price</w:t>
            </w:r>
          </w:p>
        </w:tc>
      </w:tr>
      <w:tr>
        <w:tc>
          <w:tcPr/>
          <w:p>
            <w:pPr>
              <w:pStyle w:val="Compact"/>
              <w:jc w:val="left"/>
            </w:pPr>
            <w:r>
              <w:rPr>
                <w:bCs/>
                <w:b/>
              </w:rPr>
              <w:t xml:space="preserve">MEOK Civilization</w:t>
            </w:r>
          </w:p>
        </w:tc>
        <w:tc>
          <w:tcPr/>
          <w:p>
            <w:pPr>
              <w:pStyle w:val="Compact"/>
              <w:jc w:val="left"/>
            </w:pPr>
            <w:r>
              <w:rPr>
                <w:bCs/>
                <w:b/>
              </w:rPr>
              <w:t xml:space="preserve">Zhongxu Collective</w:t>
            </w:r>
            <w:r>
              <w:t xml:space="preserve"> </w:t>
            </w:r>
            <w:r>
              <w:t xml:space="preserve">(Chinese manufacturer) →</w:t>
            </w:r>
            <w:r>
              <w:t xml:space="preserve"> </w:t>
            </w:r>
            <w:r>
              <w:rPr>
                <w:bCs/>
                <w:b/>
              </w:rPr>
              <w:t xml:space="preserve">Anglosphere Concord</w:t>
            </w:r>
            <w:r>
              <w:t xml:space="preserve"> </w:t>
            </w:r>
            <w:r>
              <w:t xml:space="preserve">(UK factory deployment)</w:t>
            </w:r>
          </w:p>
        </w:tc>
      </w:tr>
      <w:tr>
        <w:tc>
          <w:tcPr/>
          <w:p>
            <w:pPr>
              <w:pStyle w:val="Compact"/>
              <w:jc w:val="left"/>
            </w:pPr>
            <w:r>
              <w:rPr>
                <w:bCs/>
                <w:b/>
              </w:rPr>
              <w:t xml:space="preserve">Priority Score</w:t>
            </w:r>
          </w:p>
        </w:tc>
        <w:tc>
          <w:tcPr/>
          <w:p>
            <w:pPr>
              <w:pStyle w:val="Compact"/>
              <w:jc w:val="left"/>
            </w:pPr>
            <w:r>
              <w:t xml:space="preserve">8.5/10</w:t>
            </w:r>
          </w:p>
        </w:tc>
      </w:tr>
    </w:tbl>
    <w:p>
      <w:r>
        <w:pict>
          <v:rect style="width:0;height:1.5pt" o:hralign="center" o:hrstd="t" o:hr="t"/>
        </w:pict>
      </w:r>
    </w:p>
    <w:bookmarkEnd w:id="45"/>
    <w:bookmarkStart w:id="46" w:name="X8d85012f960e73066bf893f6847cded80f6fd65"/>
    <w:p>
      <w:pPr>
        <w:pStyle w:val="Heading3"/>
      </w:pPr>
      <w:r>
        <w:t xml:space="preserve">SCENARIO 2: US Autonomous Vehicle into Canada</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(NHTSA FMVSS, State AV permits)</w:t>
            </w:r>
          </w:p>
        </w:tc>
      </w:tr>
      <w:tr>
        <w:tc>
          <w:tcPr/>
          <w:p>
            <w:pPr>
              <w:pStyle w:val="Compact"/>
              <w:jc w:val="left"/>
            </w:pPr>
            <w:r>
              <w:rPr>
                <w:bCs/>
                <w:b/>
              </w:rPr>
              <w:t xml:space="preserve">Destination</w:t>
            </w:r>
          </w:p>
        </w:tc>
        <w:tc>
          <w:tcPr/>
          <w:p>
            <w:pPr>
              <w:pStyle w:val="Compact"/>
              <w:jc w:val="left"/>
            </w:pPr>
            <w:r>
              <w:t xml:space="preserve">Canada (Transport Canada CCMTA, Ontario AV pilot)</w:t>
            </w:r>
          </w:p>
        </w:tc>
      </w:tr>
      <w:tr>
        <w:tc>
          <w:tcPr/>
          <w:p>
            <w:pPr>
              <w:pStyle w:val="Compact"/>
              <w:jc w:val="left"/>
            </w:pPr>
            <w:r>
              <w:rPr>
                <w:bCs/>
                <w:b/>
              </w:rPr>
              <w:t xml:space="preserve">Industry</w:t>
            </w:r>
          </w:p>
        </w:tc>
        <w:tc>
          <w:tcPr/>
          <w:p>
            <w:pPr>
              <w:pStyle w:val="Compact"/>
              <w:jc w:val="left"/>
            </w:pPr>
            <w:r>
              <w:t xml:space="preserve">Autonomous Vehicles (#3)</w:t>
            </w:r>
          </w:p>
        </w:tc>
      </w:tr>
      <w:tr>
        <w:tc>
          <w:tcPr/>
          <w:p>
            <w:pPr>
              <w:pStyle w:val="Compact"/>
              <w:jc w:val="left"/>
            </w:pPr>
            <w:r>
              <w:rPr>
                <w:bCs/>
                <w:b/>
              </w:rPr>
              <w:t xml:space="preserve">Conflict</w:t>
            </w:r>
          </w:p>
        </w:tc>
        <w:tc>
          <w:tcPr/>
          <w:p>
            <w:pPr>
              <w:pStyle w:val="Compact"/>
              <w:jc w:val="left"/>
            </w:pPr>
            <w:r>
              <w:t xml:space="preserve">No comprehensive US federal AV law means state-by-state compliance (CA most restrictive, TX most permissive). Canadian provinces have their own testing frameworks. Cross-border data flows from Canadian operations to US HQ for AI model training may trigger PIPEDA requirements.</w:t>
            </w:r>
          </w:p>
        </w:tc>
      </w:tr>
      <w:tr>
        <w:tc>
          <w:tcPr/>
          <w:p>
            <w:pPr>
              <w:pStyle w:val="Compact"/>
              <w:jc w:val="left"/>
            </w:pPr>
            <w:r>
              <w:rPr>
                <w:bCs/>
                <w:b/>
              </w:rPr>
              <w:t xml:space="preserve">Compliance Requirements</w:t>
            </w:r>
          </w:p>
        </w:tc>
        <w:tc>
          <w:tcPr/>
          <w:p>
            <w:pPr>
              <w:pStyle w:val="Compact"/>
              <w:jc w:val="left"/>
            </w:pPr>
            <w:r>
              <w:t xml:space="preserve">Provincial AV permit in destination province; PIPEDA compliance for passenger data; CMVSS (Canadian Motor Vehicle Safety Standards) alignment; insurance under provincial frameworks; cross-border data adequacy assessment</w:t>
            </w:r>
          </w:p>
        </w:tc>
      </w:tr>
      <w:tr>
        <w:tc>
          <w:tcPr/>
          <w:p>
            <w:pPr>
              <w:pStyle w:val="Compact"/>
              <w:jc w:val="left"/>
            </w:pPr>
            <w:r>
              <w:rPr>
                <w:bCs/>
                <w:b/>
              </w:rPr>
              <w:t xml:space="preserve">Simulation Parameters</w:t>
            </w:r>
          </w:p>
        </w:tc>
        <w:tc>
          <w:tcPr/>
          <w:p>
            <w:pPr>
              <w:pStyle w:val="Compact"/>
              <w:jc w:val="left"/>
            </w:pPr>
            <w:r>
              <w:t xml:space="preserve">(1) Provincial permit complexity, (2) Data transfer compliance cost, (3) Insurance premium differential, (4) Safety standard harmonization gap</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AV) →</w:t>
            </w:r>
            <w:r>
              <w:t xml:space="preserve"> </w:t>
            </w:r>
            <w:r>
              <w:rPr>
                <w:bCs/>
                <w:b/>
              </w:rPr>
              <w:t xml:space="preserve">Northern Federation</w:t>
            </w:r>
            <w:r>
              <w:t xml:space="preserve"> </w:t>
            </w:r>
            <w:r>
              <w:t xml:space="preserve">(Canadian deployment)</w:t>
            </w:r>
          </w:p>
        </w:tc>
      </w:tr>
      <w:tr>
        <w:tc>
          <w:tcPr/>
          <w:p>
            <w:pPr>
              <w:pStyle w:val="Compact"/>
              <w:jc w:val="left"/>
            </w:pPr>
            <w:r>
              <w:rPr>
                <w:bCs/>
                <w:b/>
              </w:rPr>
              <w:t xml:space="preserve">Priority Score</w:t>
            </w:r>
          </w:p>
        </w:tc>
        <w:tc>
          <w:tcPr/>
          <w:p>
            <w:pPr>
              <w:pStyle w:val="Compact"/>
              <w:jc w:val="left"/>
            </w:pPr>
            <w:r>
              <w:t xml:space="preserve">7.2/10</w:t>
            </w:r>
          </w:p>
        </w:tc>
      </w:tr>
    </w:tbl>
    <w:p>
      <w:r>
        <w:pict>
          <v:rect style="width:0;height:1.5pt" o:hralign="center" o:hrstd="t" o:hr="t"/>
        </w:pict>
      </w:r>
    </w:p>
    <w:bookmarkEnd w:id="46"/>
    <w:bookmarkStart w:id="47" w:name="X0498f459c576fba27c425da98844ced3cdb2c71"/>
    <w:p>
      <w:pPr>
        <w:pStyle w:val="Heading3"/>
      </w:pPr>
      <w:r>
        <w:t xml:space="preserve">SCENARIO 3: Dubai AI Trading Bot in Singapore</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UAE (VARA licensed, CBUAE framework)</w:t>
            </w:r>
          </w:p>
        </w:tc>
      </w:tr>
      <w:tr>
        <w:tc>
          <w:tcPr/>
          <w:p>
            <w:pPr>
              <w:pStyle w:val="Compact"/>
              <w:jc w:val="left"/>
            </w:pPr>
            <w:r>
              <w:rPr>
                <w:bCs/>
                <w:b/>
              </w:rPr>
              <w:t xml:space="preserve">Destination</w:t>
            </w:r>
          </w:p>
        </w:tc>
        <w:tc>
          <w:tcPr/>
          <w:p>
            <w:pPr>
              <w:pStyle w:val="Compact"/>
              <w:jc w:val="left"/>
            </w:pPr>
            <w:r>
              <w:t xml:space="preserve">Singapore (MAS regulated, PSA/DTSP, FEAT Principles)</w:t>
            </w:r>
          </w:p>
        </w:tc>
      </w:tr>
      <w:tr>
        <w:tc>
          <w:tcPr/>
          <w:p>
            <w:pPr>
              <w:pStyle w:val="Compact"/>
              <w:jc w:val="left"/>
            </w:pPr>
            <w:r>
              <w:rPr>
                <w:bCs/>
                <w:b/>
              </w:rPr>
              <w:t xml:space="preserve">Industry</w:t>
            </w:r>
          </w:p>
        </w:tc>
        <w:tc>
          <w:tcPr/>
          <w:p>
            <w:pPr>
              <w:pStyle w:val="Compact"/>
              <w:jc w:val="left"/>
            </w:pPr>
            <w:r>
              <w:t xml:space="preserve">Algorithmic Trading (#16), Fintech (#18)</w:t>
            </w:r>
          </w:p>
        </w:tc>
      </w:tr>
      <w:tr>
        <w:tc>
          <w:tcPr/>
          <w:p>
            <w:pPr>
              <w:pStyle w:val="Compact"/>
              <w:jc w:val="left"/>
            </w:pPr>
            <w:r>
              <w:rPr>
                <w:bCs/>
                <w:b/>
              </w:rPr>
              <w:t xml:space="preserve">Conflict</w:t>
            </w:r>
          </w:p>
        </w:tc>
        <w:tc>
          <w:tcPr/>
          <w:p>
            <w:pPr>
              <w:pStyle w:val="Compact"/>
              <w:jc w:val="left"/>
            </w:pPr>
            <w:r>
              <w:t xml:space="preserve">VARA’s VASP licensing framework differs from MAS’s SPI/MPI licensing. FEAT Principles require algorithmic explainability in finance that may exceed VARA requirements. Travel Rule thresholds differ (AED vs SGD).</w:t>
            </w:r>
          </w:p>
        </w:tc>
      </w:tr>
      <w:tr>
        <w:tc>
          <w:tcPr/>
          <w:p>
            <w:pPr>
              <w:pStyle w:val="Compact"/>
              <w:jc w:val="left"/>
            </w:pPr>
            <w:r>
              <w:rPr>
                <w:bCs/>
                <w:b/>
              </w:rPr>
              <w:t xml:space="preserve">Compliance Requirements</w:t>
            </w:r>
          </w:p>
        </w:tc>
        <w:tc>
          <w:tcPr/>
          <w:p>
            <w:pPr>
              <w:pStyle w:val="Compact"/>
              <w:jc w:val="left"/>
            </w:pPr>
            <w:r>
              <w:t xml:space="preserve">MAS SPI or MPI license; FEAT compliance documentation; local Singapore domiciled risk officer; Travel Rule compliance at SGD 1,500 threshold; technology risk management guidelines; anti-money laundering program</w:t>
            </w:r>
          </w:p>
        </w:tc>
      </w:tr>
      <w:tr>
        <w:tc>
          <w:tcPr/>
          <w:p>
            <w:pPr>
              <w:pStyle w:val="Compact"/>
              <w:jc w:val="left"/>
            </w:pPr>
            <w:r>
              <w:rPr>
                <w:bCs/>
                <w:b/>
              </w:rPr>
              <w:t xml:space="preserve">Simulation Parameters</w:t>
            </w:r>
          </w:p>
        </w:tc>
        <w:tc>
          <w:tcPr/>
          <w:p>
            <w:pPr>
              <w:pStyle w:val="Compact"/>
              <w:jc w:val="left"/>
            </w:pPr>
            <w:r>
              <w:t xml:space="preserve">(1) Dual licensing cost, (2) FEAT compliance gap, (3) Travel Rule threshold impact, (4) Latency impact of Singapore-local infrastructure</w:t>
            </w:r>
          </w:p>
        </w:tc>
      </w:tr>
      <w:tr>
        <w:tc>
          <w:tcPr/>
          <w:p>
            <w:pPr>
              <w:pStyle w:val="Compact"/>
              <w:jc w:val="left"/>
            </w:pPr>
            <w:r>
              <w:rPr>
                <w:bCs/>
                <w:b/>
              </w:rPr>
              <w:t xml:space="preserve">MEOK Civilization</w:t>
            </w:r>
          </w:p>
        </w:tc>
        <w:tc>
          <w:tcPr/>
          <w:p>
            <w:pPr>
              <w:pStyle w:val="Compact"/>
              <w:jc w:val="left"/>
            </w:pPr>
            <w:r>
              <w:rPr>
                <w:bCs/>
                <w:b/>
              </w:rPr>
              <w:t xml:space="preserve">Gulf Technate</w:t>
            </w:r>
            <w:r>
              <w:t xml:space="preserve"> </w:t>
            </w:r>
            <w:r>
              <w:t xml:space="preserve">(Dubai bot) →</w:t>
            </w:r>
            <w:r>
              <w:t xml:space="preserve"> </w:t>
            </w:r>
            <w:r>
              <w:rPr>
                <w:bCs/>
                <w:b/>
              </w:rPr>
              <w:t xml:space="preserve">Singularity Core</w:t>
            </w:r>
            <w:r>
              <w:t xml:space="preserve"> </w:t>
            </w:r>
            <w:r>
              <w:t xml:space="preserve">(Singapore operations)</w:t>
            </w:r>
          </w:p>
        </w:tc>
      </w:tr>
      <w:tr>
        <w:tc>
          <w:tcPr/>
          <w:p>
            <w:pPr>
              <w:pStyle w:val="Compact"/>
              <w:jc w:val="left"/>
            </w:pPr>
            <w:r>
              <w:rPr>
                <w:bCs/>
                <w:b/>
              </w:rPr>
              <w:t xml:space="preserve">Priority Score</w:t>
            </w:r>
          </w:p>
        </w:tc>
        <w:tc>
          <w:tcPr/>
          <w:p>
            <w:pPr>
              <w:pStyle w:val="Compact"/>
              <w:jc w:val="left"/>
            </w:pPr>
            <w:r>
              <w:t xml:space="preserve">8.8/10</w:t>
            </w:r>
          </w:p>
        </w:tc>
      </w:tr>
    </w:tbl>
    <w:p>
      <w:r>
        <w:pict>
          <v:rect style="width:0;height:1.5pt" o:hralign="center" o:hrstd="t" o:hr="t"/>
        </w:pict>
      </w:r>
    </w:p>
    <w:bookmarkEnd w:id="47"/>
    <w:bookmarkStart w:id="48" w:name="X8e68f4959b20bd3b080177b60c512f73c206a18"/>
    <w:p>
      <w:pPr>
        <w:pStyle w:val="Heading3"/>
      </w:pPr>
      <w:r>
        <w:t xml:space="preserve">SCENARIO 4: EU Medical AI Deployed in India</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European Union (EU AI Act HIGH-RISK, MDR, GDPR)</w:t>
            </w:r>
          </w:p>
        </w:tc>
      </w:tr>
      <w:tr>
        <w:tc>
          <w:tcPr/>
          <w:p>
            <w:pPr>
              <w:pStyle w:val="Compact"/>
              <w:jc w:val="left"/>
            </w:pPr>
            <w:r>
              <w:rPr>
                <w:bCs/>
                <w:b/>
              </w:rPr>
              <w:t xml:space="preserve">Destination</w:t>
            </w:r>
          </w:p>
        </w:tc>
        <w:tc>
          <w:tcPr/>
          <w:p>
            <w:pPr>
              <w:pStyle w:val="Compact"/>
              <w:jc w:val="left"/>
            </w:pPr>
            <w:r>
              <w:t xml:space="preserve">India (CDSCO, NABL, DPDP Act 2023)</w:t>
            </w:r>
          </w:p>
        </w:tc>
      </w:tr>
      <w:tr>
        <w:tc>
          <w:tcPr/>
          <w:p>
            <w:pPr>
              <w:pStyle w:val="Compact"/>
              <w:jc w:val="left"/>
            </w:pPr>
            <w:r>
              <w:rPr>
                <w:bCs/>
                <w:b/>
              </w:rPr>
              <w:t xml:space="preserve">Industry</w:t>
            </w:r>
          </w:p>
        </w:tc>
        <w:tc>
          <w:tcPr/>
          <w:p>
            <w:pPr>
              <w:pStyle w:val="Compact"/>
              <w:jc w:val="left"/>
            </w:pPr>
            <w:r>
              <w:t xml:space="preserve">Healthcare AI (#7), Medical Devices (#8)</w:t>
            </w:r>
          </w:p>
        </w:tc>
      </w:tr>
      <w:tr>
        <w:tc>
          <w:tcPr/>
          <w:p>
            <w:pPr>
              <w:pStyle w:val="Compact"/>
              <w:jc w:val="left"/>
            </w:pPr>
            <w:r>
              <w:rPr>
                <w:bCs/>
                <w:b/>
              </w:rPr>
              <w:t xml:space="preserve">Conflict</w:t>
            </w:r>
          </w:p>
        </w:tc>
        <w:tc>
          <w:tcPr/>
          <w:p>
            <w:pPr>
              <w:pStyle w:val="Compact"/>
              <w:jc w:val="left"/>
            </w:pPr>
            <w:r>
              <w:t xml:space="preserve">EU AI Act HIGH-RISK classification requires conformity assessment, risk management, and human oversight. India CDSCO has separate medical device registration requirements. EU clinical data may not be accepted by Indian regulators. DPDP Act’s cross-border data</w:t>
            </w:r>
            <w:r>
              <w:t xml:space="preserve"> </w:t>
            </w:r>
            <w:r>
              <w:t xml:space="preserve">“</w:t>
            </w:r>
            <w:r>
              <w:t xml:space="preserve">blacklist</w:t>
            </w:r>
            <w:r>
              <w:t xml:space="preserve">”</w:t>
            </w:r>
            <w:r>
              <w:t xml:space="preserve"> </w:t>
            </w:r>
            <w:r>
              <w:t xml:space="preserve">approach restricts data flows.</w:t>
            </w:r>
          </w:p>
        </w:tc>
      </w:tr>
      <w:tr>
        <w:tc>
          <w:tcPr/>
          <w:p>
            <w:pPr>
              <w:pStyle w:val="Compact"/>
              <w:jc w:val="left"/>
            </w:pPr>
            <w:r>
              <w:rPr>
                <w:bCs/>
                <w:b/>
              </w:rPr>
              <w:t xml:space="preserve">Compliance Requirements</w:t>
            </w:r>
          </w:p>
        </w:tc>
        <w:tc>
          <w:tcPr/>
          <w:p>
            <w:pPr>
              <w:pStyle w:val="Compact"/>
              <w:jc w:val="left"/>
            </w:pPr>
            <w:r>
              <w:t xml:space="preserve">CDSCO registration (Class-based); local clinical validation studies; appoint Indian authorized representative; EU AI Act compliance maintained for origin; DPDP Act compliance for Indian patient data; separate QMS documentation</w:t>
            </w:r>
          </w:p>
        </w:tc>
      </w:tr>
      <w:tr>
        <w:tc>
          <w:tcPr/>
          <w:p>
            <w:pPr>
              <w:pStyle w:val="Compact"/>
              <w:jc w:val="left"/>
            </w:pPr>
            <w:r>
              <w:rPr>
                <w:bCs/>
                <w:b/>
              </w:rPr>
              <w:t xml:space="preserve">Simulation Parameters</w:t>
            </w:r>
          </w:p>
        </w:tc>
        <w:tc>
          <w:tcPr/>
          <w:p>
            <w:pPr>
              <w:pStyle w:val="Compact"/>
              <w:jc w:val="left"/>
            </w:pPr>
            <w:r>
              <w:t xml:space="preserve">(1) Clinical bridging study cost, (2) Dual QMS maintenance cost, (3) Data localization architecture, (4) Time-to-market delay</w:t>
            </w:r>
          </w:p>
        </w:tc>
      </w:tr>
      <w:tr>
        <w:tc>
          <w:tcPr/>
          <w:p>
            <w:pPr>
              <w:pStyle w:val="Compact"/>
              <w:jc w:val="left"/>
            </w:pPr>
            <w:r>
              <w:rPr>
                <w:bCs/>
                <w:b/>
              </w:rPr>
              <w:t xml:space="preserve">MEOK Civilization</w:t>
            </w:r>
          </w:p>
        </w:tc>
        <w:tc>
          <w:tcPr/>
          <w:p>
            <w:pPr>
              <w:pStyle w:val="Compact"/>
              <w:jc w:val="left"/>
            </w:pPr>
            <w:r>
              <w:rPr>
                <w:bCs/>
                <w:b/>
              </w:rPr>
              <w:t xml:space="preserve">Atlantic Compact</w:t>
            </w:r>
            <w:r>
              <w:t xml:space="preserve"> </w:t>
            </w:r>
            <w:r>
              <w:t xml:space="preserve">(EU medtech) →</w:t>
            </w:r>
            <w:r>
              <w:t xml:space="preserve"> </w:t>
            </w:r>
            <w:r>
              <w:rPr>
                <w:bCs/>
                <w:b/>
              </w:rPr>
              <w:t xml:space="preserve">Bharat Complex</w:t>
            </w:r>
            <w:r>
              <w:t xml:space="preserve"> </w:t>
            </w:r>
            <w:r>
              <w:t xml:space="preserve">(Indian deployment)</w:t>
            </w:r>
          </w:p>
        </w:tc>
      </w:tr>
      <w:tr>
        <w:tc>
          <w:tcPr/>
          <w:p>
            <w:pPr>
              <w:pStyle w:val="Compact"/>
              <w:jc w:val="left"/>
            </w:pPr>
            <w:r>
              <w:rPr>
                <w:bCs/>
                <w:b/>
              </w:rPr>
              <w:t xml:space="preserve">Priority Score</w:t>
            </w:r>
          </w:p>
        </w:tc>
        <w:tc>
          <w:tcPr/>
          <w:p>
            <w:pPr>
              <w:pStyle w:val="Compact"/>
              <w:jc w:val="left"/>
            </w:pPr>
            <w:r>
              <w:t xml:space="preserve">9.1/10</w:t>
            </w:r>
          </w:p>
        </w:tc>
      </w:tr>
    </w:tbl>
    <w:p>
      <w:r>
        <w:pict>
          <v:rect style="width:0;height:1.5pt" o:hralign="center" o:hrstd="t" o:hr="t"/>
        </w:pict>
      </w:r>
    </w:p>
    <w:bookmarkEnd w:id="48"/>
    <w:bookmarkStart w:id="49" w:name="Xae5b801efd7871022f6346e4dec0edf69a94c90"/>
    <w:p>
      <w:pPr>
        <w:pStyle w:val="Heading3"/>
      </w:pPr>
      <w:r>
        <w:t xml:space="preserve">SCENARIO 5: Korean Gaming AI Launched in Brazil</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South Korea (GRAC rated, Game Industry Promotion Act, AI Basic Act)</w:t>
            </w:r>
          </w:p>
        </w:tc>
      </w:tr>
      <w:tr>
        <w:tc>
          <w:tcPr/>
          <w:p>
            <w:pPr>
              <w:pStyle w:val="Compact"/>
              <w:jc w:val="left"/>
            </w:pPr>
            <w:r>
              <w:rPr>
                <w:bCs/>
                <w:b/>
              </w:rPr>
              <w:t xml:space="preserve">Destination</w:t>
            </w:r>
          </w:p>
        </w:tc>
        <w:tc>
          <w:tcPr/>
          <w:p>
            <w:pPr>
              <w:pStyle w:val="Compact"/>
              <w:jc w:val="left"/>
            </w:pPr>
            <w:r>
              <w:t xml:space="preserve">Brazil (ClassInd rated, LGPD, AI Bill PL 2338)</w:t>
            </w:r>
          </w:p>
        </w:tc>
      </w:tr>
      <w:tr>
        <w:tc>
          <w:tcPr/>
          <w:p>
            <w:pPr>
              <w:pStyle w:val="Compact"/>
              <w:jc w:val="left"/>
            </w:pPr>
            <w:r>
              <w:rPr>
                <w:bCs/>
                <w:b/>
              </w:rPr>
              <w:t xml:space="preserve">Industry</w:t>
            </w:r>
          </w:p>
        </w:tc>
        <w:tc>
          <w:tcPr/>
          <w:p>
            <w:pPr>
              <w:pStyle w:val="Compact"/>
              <w:jc w:val="left"/>
            </w:pPr>
            <w:r>
              <w:t xml:space="preserve">Gaming AI (#31), E-sports (#35)</w:t>
            </w:r>
          </w:p>
        </w:tc>
      </w:tr>
      <w:tr>
        <w:tc>
          <w:tcPr/>
          <w:p>
            <w:pPr>
              <w:pStyle w:val="Compact"/>
              <w:jc w:val="left"/>
            </w:pPr>
            <w:r>
              <w:rPr>
                <w:bCs/>
                <w:b/>
              </w:rPr>
              <w:t xml:space="preserve">Conflict</w:t>
            </w:r>
          </w:p>
        </w:tc>
        <w:tc>
          <w:tcPr/>
          <w:p>
            <w:pPr>
              <w:pStyle w:val="Compact"/>
              <w:jc w:val="left"/>
            </w:pPr>
            <w:r>
              <w:t xml:space="preserve">Korean GRAC rating system vs. Brazilian ClassInd rating. Korean AI Basic Act requires high-impact AI filings for gaming algorithms. Brazil’s AI Bill proposes risk-based classification that may classify AI NPCs as high-risk. LGPD children’s data protections vs. Korean youth gaming regulations.</w:t>
            </w:r>
          </w:p>
        </w:tc>
      </w:tr>
      <w:tr>
        <w:tc>
          <w:tcPr/>
          <w:p>
            <w:pPr>
              <w:pStyle w:val="Compact"/>
              <w:jc w:val="left"/>
            </w:pPr>
            <w:r>
              <w:rPr>
                <w:bCs/>
                <w:b/>
              </w:rPr>
              <w:t xml:space="preserve">Compliance Requirements</w:t>
            </w:r>
          </w:p>
        </w:tc>
        <w:tc>
          <w:tcPr/>
          <w:p>
            <w:pPr>
              <w:pStyle w:val="Compact"/>
              <w:jc w:val="left"/>
            </w:pPr>
            <w:r>
              <w:t xml:space="preserve">ClassInd rating application; LGPD compliance for player data; ANPD registration if AI Bill passes; Brazilian Portuguese localization; age verification per Brazilian standards; loot box probability disclosure; local data residency compliance</w:t>
            </w:r>
          </w:p>
        </w:tc>
      </w:tr>
      <w:tr>
        <w:tc>
          <w:tcPr/>
          <w:p>
            <w:pPr>
              <w:pStyle w:val="Compact"/>
              <w:jc w:val="left"/>
            </w:pPr>
            <w:r>
              <w:rPr>
                <w:bCs/>
                <w:b/>
              </w:rPr>
              <w:t xml:space="preserve">Simulation Parameters</w:t>
            </w:r>
          </w:p>
        </w:tc>
        <w:tc>
          <w:tcPr/>
          <w:p>
            <w:pPr>
              <w:pStyle w:val="Compact"/>
              <w:jc w:val="left"/>
            </w:pPr>
            <w:r>
              <w:t xml:space="preserve">(1) Rating system divergence, (2) LGPD compliance cost, (3) Revenue impact of content modifications, (4) Player acquisition cost differential</w:t>
            </w:r>
          </w:p>
        </w:tc>
      </w:tr>
      <w:tr>
        <w:tc>
          <w:tcPr/>
          <w:p>
            <w:pPr>
              <w:pStyle w:val="Compact"/>
              <w:jc w:val="left"/>
            </w:pPr>
            <w:r>
              <w:rPr>
                <w:bCs/>
                <w:b/>
              </w:rPr>
              <w:t xml:space="preserve">MEOK Civilization</w:t>
            </w:r>
          </w:p>
        </w:tc>
        <w:tc>
          <w:tcPr/>
          <w:p>
            <w:pPr>
              <w:pStyle w:val="Compact"/>
              <w:jc w:val="left"/>
            </w:pPr>
            <w:r>
              <w:rPr>
                <w:bCs/>
                <w:b/>
              </w:rPr>
              <w:t xml:space="preserve">Pacific Rim</w:t>
            </w:r>
            <w:r>
              <w:t xml:space="preserve"> </w:t>
            </w:r>
            <w:r>
              <w:t xml:space="preserve">(Korean game studio) →</w:t>
            </w:r>
            <w:r>
              <w:t xml:space="preserve"> </w:t>
            </w:r>
            <w:r>
              <w:rPr>
                <w:bCs/>
                <w:b/>
              </w:rPr>
              <w:t xml:space="preserve">Southern Axis</w:t>
            </w:r>
            <w:r>
              <w:t xml:space="preserve"> </w:t>
            </w:r>
            <w:r>
              <w:t xml:space="preserve">(Brazilian market)</w:t>
            </w:r>
          </w:p>
        </w:tc>
      </w:tr>
      <w:tr>
        <w:tc>
          <w:tcPr/>
          <w:p>
            <w:pPr>
              <w:pStyle w:val="Compact"/>
              <w:jc w:val="left"/>
            </w:pPr>
            <w:r>
              <w:rPr>
                <w:bCs/>
                <w:b/>
              </w:rPr>
              <w:t xml:space="preserve">Priority Score</w:t>
            </w:r>
          </w:p>
        </w:tc>
        <w:tc>
          <w:tcPr/>
          <w:p>
            <w:pPr>
              <w:pStyle w:val="Compact"/>
              <w:jc w:val="left"/>
            </w:pPr>
            <w:r>
              <w:t xml:space="preserve">7.0/10</w:t>
            </w:r>
          </w:p>
        </w:tc>
      </w:tr>
    </w:tbl>
    <w:p>
      <w:r>
        <w:pict>
          <v:rect style="width:0;height:1.5pt" o:hralign="center" o:hrstd="t" o:hr="t"/>
        </w:pict>
      </w:r>
    </w:p>
    <w:bookmarkEnd w:id="49"/>
    <w:bookmarkStart w:id="50" w:name="X6669e951044d2a32035eb524e4ccb626126f642"/>
    <w:p>
      <w:pPr>
        <w:pStyle w:val="Heading3"/>
      </w:pPr>
      <w:r>
        <w:t xml:space="preserve">SCENARIO 6: Japanese Autonomous Ship Enters EU Waters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Japan (MLIT guidelines, MASS testing framework)</w:t>
            </w:r>
          </w:p>
        </w:tc>
      </w:tr>
      <w:tr>
        <w:tc>
          <w:tcPr/>
          <w:p>
            <w:pPr>
              <w:pStyle w:val="Compact"/>
              <w:jc w:val="left"/>
            </w:pPr>
            <w:r>
              <w:rPr>
                <w:bCs/>
                <w:b/>
              </w:rPr>
              <w:t xml:space="preserve">Destination</w:t>
            </w:r>
          </w:p>
        </w:tc>
        <w:tc>
          <w:tcPr/>
          <w:p>
            <w:pPr>
              <w:pStyle w:val="Compact"/>
              <w:jc w:val="left"/>
            </w:pPr>
            <w:r>
              <w:t xml:space="preserve">European Union (EMSA, EU AI Act HIGH-RISK for maritime, SOLAS)</w:t>
            </w:r>
          </w:p>
        </w:tc>
      </w:tr>
      <w:tr>
        <w:tc>
          <w:tcPr/>
          <w:p>
            <w:pPr>
              <w:pStyle w:val="Compact"/>
              <w:jc w:val="left"/>
            </w:pPr>
            <w:r>
              <w:rPr>
                <w:bCs/>
                <w:b/>
              </w:rPr>
              <w:t xml:space="preserve">Industry</w:t>
            </w:r>
          </w:p>
        </w:tc>
        <w:tc>
          <w:tcPr/>
          <w:p>
            <w:pPr>
              <w:pStyle w:val="Compact"/>
              <w:jc w:val="left"/>
            </w:pPr>
            <w:r>
              <w:t xml:space="preserve">Maritime &amp; Ocean Tech (#40), Autonomous Vehicles (#3)</w:t>
            </w:r>
          </w:p>
        </w:tc>
      </w:tr>
      <w:tr>
        <w:tc>
          <w:tcPr/>
          <w:p>
            <w:pPr>
              <w:pStyle w:val="Compact"/>
              <w:jc w:val="left"/>
            </w:pPr>
            <w:r>
              <w:rPr>
                <w:bCs/>
                <w:b/>
              </w:rPr>
              <w:t xml:space="preserve">Conflict</w:t>
            </w:r>
          </w:p>
        </w:tc>
        <w:tc>
          <w:tcPr/>
          <w:p>
            <w:pPr>
              <w:pStyle w:val="Compact"/>
              <w:jc w:val="left"/>
            </w:pPr>
            <w:r>
              <w:t xml:space="preserve">Japan permits Level 4 autonomous vessel testing. IMO MASS Code (voluntary until 2030) provides goal-based framework. EU AI Act classifies maritime safety AI as HIGH-RISK requiring conformity assessment. EU MRV Regulation requires emissions monitoring. EMSA digitalization requirements.</w:t>
            </w:r>
          </w:p>
        </w:tc>
      </w:tr>
      <w:tr>
        <w:tc>
          <w:tcPr/>
          <w:p>
            <w:pPr>
              <w:pStyle w:val="Compact"/>
              <w:jc w:val="left"/>
            </w:pPr>
            <w:r>
              <w:rPr>
                <w:bCs/>
                <w:b/>
              </w:rPr>
              <w:t xml:space="preserve">Compliance Requirements</w:t>
            </w:r>
          </w:p>
        </w:tc>
        <w:tc>
          <w:tcPr/>
          <w:p>
            <w:pPr>
              <w:pStyle w:val="Compact"/>
              <w:jc w:val="left"/>
            </w:pPr>
            <w:r>
              <w:t xml:space="preserve">EU AI Act conformity assessment for high-risk AI; flag state certification (if EU-flagged) or port state control compliance; SOLAS equivalent demonstration; EMSA reporting; FuelEU Maritime compliance; COLREGs adaptation for autonomous navigation; remote operations center certification</w:t>
            </w:r>
          </w:p>
        </w:tc>
      </w:tr>
      <w:tr>
        <w:tc>
          <w:tcPr/>
          <w:p>
            <w:pPr>
              <w:pStyle w:val="Compact"/>
              <w:jc w:val="left"/>
            </w:pPr>
            <w:r>
              <w:rPr>
                <w:bCs/>
                <w:b/>
              </w:rPr>
              <w:t xml:space="preserve">Simulation Parameters</w:t>
            </w:r>
          </w:p>
        </w:tc>
        <w:tc>
          <w:tcPr/>
          <w:p>
            <w:pPr>
              <w:pStyle w:val="Compact"/>
              <w:jc w:val="left"/>
            </w:pPr>
            <w:r>
              <w:t xml:space="preserve">(1) Certification cost for EU market entry, (2) COLREGs AI adaptation complexity, (3) Emissions monitoring integration, (4) Insurance premium for autonomous vessels</w:t>
            </w:r>
          </w:p>
        </w:tc>
      </w:tr>
      <w:tr>
        <w:tc>
          <w:tcPr/>
          <w:p>
            <w:pPr>
              <w:pStyle w:val="Compact"/>
              <w:jc w:val="left"/>
            </w:pPr>
            <w:r>
              <w:rPr>
                <w:bCs/>
                <w:b/>
              </w:rPr>
              <w:t xml:space="preserve">MEOK Civilization</w:t>
            </w:r>
          </w:p>
        </w:tc>
        <w:tc>
          <w:tcPr/>
          <w:p>
            <w:pPr>
              <w:pStyle w:val="Compact"/>
              <w:jc w:val="left"/>
            </w:pPr>
            <w:r>
              <w:rPr>
                <w:bCs/>
                <w:b/>
              </w:rPr>
              <w:t xml:space="preserve">Pacific Rim</w:t>
            </w:r>
            <w:r>
              <w:t xml:space="preserve"> </w:t>
            </w:r>
            <w:r>
              <w:t xml:space="preserve">(Japanese vessel) →</w:t>
            </w:r>
            <w:r>
              <w:t xml:space="preserve"> </w:t>
            </w:r>
            <w:r>
              <w:rPr>
                <w:bCs/>
                <w:b/>
              </w:rPr>
              <w:t xml:space="preserve">Atlantic Compact</w:t>
            </w:r>
            <w:r>
              <w:t xml:space="preserve"> </w:t>
            </w:r>
            <w:r>
              <w:t xml:space="preserve">(EU waters entry)</w:t>
            </w:r>
          </w:p>
        </w:tc>
      </w:tr>
      <w:tr>
        <w:tc>
          <w:tcPr/>
          <w:p>
            <w:pPr>
              <w:pStyle w:val="Compact"/>
              <w:jc w:val="left"/>
            </w:pPr>
            <w:r>
              <w:rPr>
                <w:bCs/>
                <w:b/>
              </w:rPr>
              <w:t xml:space="preserve">Priority Score</w:t>
            </w:r>
          </w:p>
        </w:tc>
        <w:tc>
          <w:tcPr/>
          <w:p>
            <w:pPr>
              <w:pStyle w:val="Compact"/>
              <w:jc w:val="left"/>
            </w:pPr>
            <w:r>
              <w:t xml:space="preserve">8.0/10</w:t>
            </w:r>
          </w:p>
        </w:tc>
      </w:tr>
    </w:tbl>
    <w:p>
      <w:r>
        <w:pict>
          <v:rect style="width:0;height:1.5pt" o:hralign="center" o:hrstd="t" o:hr="t"/>
        </w:pict>
      </w:r>
    </w:p>
    <w:bookmarkEnd w:id="50"/>
    <w:bookmarkStart w:id="51" w:name="scenario-7-us-llm-deployed-in-eu-market"/>
    <w:p>
      <w:pPr>
        <w:pStyle w:val="Heading3"/>
      </w:pPr>
      <w:r>
        <w:t xml:space="preserve">SCENARIO 7: US LLM Deployed in EU Market</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(NIST RMF voluntary, state laws, no federal AI law)</w:t>
            </w:r>
          </w:p>
        </w:tc>
      </w:tr>
      <w:tr>
        <w:tc>
          <w:tcPr/>
          <w:p>
            <w:pPr>
              <w:pStyle w:val="Compact"/>
              <w:jc w:val="left"/>
            </w:pPr>
            <w:r>
              <w:rPr>
                <w:bCs/>
                <w:b/>
              </w:rPr>
              <w:t xml:space="preserve">Destination</w:t>
            </w:r>
          </w:p>
        </w:tc>
        <w:tc>
          <w:tcPr/>
          <w:p>
            <w:pPr>
              <w:pStyle w:val="Compact"/>
              <w:jc w:val="left"/>
            </w:pPr>
            <w:r>
              <w:t xml:space="preserve">European Union (EU AI Act, GDPR, DSA)</w:t>
            </w:r>
          </w:p>
        </w:tc>
      </w:tr>
      <w:tr>
        <w:tc>
          <w:tcPr/>
          <w:p>
            <w:pPr>
              <w:pStyle w:val="Compact"/>
              <w:jc w:val="left"/>
            </w:pPr>
            <w:r>
              <w:rPr>
                <w:bCs/>
                <w:b/>
              </w:rPr>
              <w:t xml:space="preserve">Industry</w:t>
            </w:r>
          </w:p>
        </w:tc>
        <w:tc>
          <w:tcPr/>
          <w:p>
            <w:pPr>
              <w:pStyle w:val="Compact"/>
              <w:jc w:val="left"/>
            </w:pPr>
            <w:r>
              <w:t xml:space="preserve">AI/ML General (#1), AI Agent Systems (#6)</w:t>
            </w:r>
          </w:p>
        </w:tc>
      </w:tr>
      <w:tr>
        <w:tc>
          <w:tcPr/>
          <w:p>
            <w:pPr>
              <w:pStyle w:val="Compact"/>
              <w:jc w:val="left"/>
            </w:pPr>
            <w:r>
              <w:rPr>
                <w:bCs/>
                <w:b/>
              </w:rPr>
              <w:t xml:space="preserve">Conflict</w:t>
            </w:r>
          </w:p>
        </w:tc>
        <w:tc>
          <w:tcPr/>
          <w:p>
            <w:pPr>
              <w:pStyle w:val="Compact"/>
              <w:jc w:val="left"/>
            </w:pPr>
            <w:r>
              <w:t xml:space="preserve">US has NO comprehensive federal AI law. EU AI Act requires risk classification, conformity assessment for high-risk, GPAI model transparency, and EU database registration. GDPR applies to training data. DSA may apply if deployed via platforms. Schrems II data transfer restrictions.</w:t>
            </w:r>
          </w:p>
        </w:tc>
      </w:tr>
      <w:tr>
        <w:tc>
          <w:tcPr/>
          <w:p>
            <w:pPr>
              <w:pStyle w:val="Compact"/>
              <w:jc w:val="left"/>
            </w:pPr>
            <w:r>
              <w:rPr>
                <w:bCs/>
                <w:b/>
              </w:rPr>
              <w:t xml:space="preserve">Compliance Requirements</w:t>
            </w:r>
          </w:p>
        </w:tc>
        <w:tc>
          <w:tcPr/>
          <w:p>
            <w:pPr>
              <w:pStyle w:val="Compact"/>
              <w:jc w:val="left"/>
            </w:pPr>
            <w:r>
              <w:t xml:space="preserve">EU AI Act risk classification; conformity assessment (if high-risk); appoint EU authorized representative; register in EU AI database; GDPR compliance for training data (DPIA, SCCs); EU-US Data Privacy Framework adequacy assessment; model transparency documentation</w:t>
            </w:r>
          </w:p>
        </w:tc>
      </w:tr>
      <w:tr>
        <w:tc>
          <w:tcPr/>
          <w:p>
            <w:pPr>
              <w:pStyle w:val="Compact"/>
              <w:jc w:val="left"/>
            </w:pPr>
            <w:r>
              <w:rPr>
                <w:bCs/>
                <w:b/>
              </w:rPr>
              <w:t xml:space="preserve">Simulation Parameters</w:t>
            </w:r>
          </w:p>
        </w:tc>
        <w:tc>
          <w:tcPr/>
          <w:p>
            <w:pPr>
              <w:pStyle w:val="Compact"/>
              <w:jc w:val="left"/>
            </w:pPr>
            <w:r>
              <w:t xml:space="preserve">(1) Compliance cost as % of development budget, (2) Time-to-market delay, (3) Training data remediation cost, (4) Ongoing compliance operational cost</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AI company) →</w:t>
            </w:r>
            <w:r>
              <w:t xml:space="preserve"> </w:t>
            </w:r>
            <w:r>
              <w:rPr>
                <w:bCs/>
                <w:b/>
              </w:rPr>
              <w:t xml:space="preserve">Atlantic Compact</w:t>
            </w:r>
            <w:r>
              <w:t xml:space="preserve"> </w:t>
            </w:r>
            <w:r>
              <w:t xml:space="preserve">(EU market)</w:t>
            </w:r>
          </w:p>
        </w:tc>
      </w:tr>
      <w:tr>
        <w:tc>
          <w:tcPr/>
          <w:p>
            <w:pPr>
              <w:pStyle w:val="Compact"/>
              <w:jc w:val="left"/>
            </w:pPr>
            <w:r>
              <w:rPr>
                <w:bCs/>
                <w:b/>
              </w:rPr>
              <w:t xml:space="preserve">Priority Score</w:t>
            </w:r>
          </w:p>
        </w:tc>
        <w:tc>
          <w:tcPr/>
          <w:p>
            <w:pPr>
              <w:pStyle w:val="Compact"/>
              <w:jc w:val="left"/>
            </w:pPr>
            <w:r>
              <w:t xml:space="preserve">9.5/10</w:t>
            </w:r>
          </w:p>
        </w:tc>
      </w:tr>
    </w:tbl>
    <w:p>
      <w:r>
        <w:pict>
          <v:rect style="width:0;height:1.5pt" o:hralign="center" o:hrstd="t" o:hr="t"/>
        </w:pict>
      </w:r>
    </w:p>
    <w:bookmarkEnd w:id="51"/>
    <w:bookmarkStart w:id="52" w:name="Xdd1e63f9962c9ec8ee83780f435879c8d9e5c0c"/>
    <w:p>
      <w:pPr>
        <w:pStyle w:val="Heading3"/>
      </w:pPr>
      <w:r>
        <w:t xml:space="preserve">SCENARIO 8: Chinese AI Drug Discovery Platform Using EU Patient Data</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China (NMPA CDE guidance, PIPL, DSL, Human Genetic Resources Reg)</w:t>
            </w:r>
          </w:p>
        </w:tc>
      </w:tr>
      <w:tr>
        <w:tc>
          <w:tcPr/>
          <w:p>
            <w:pPr>
              <w:pStyle w:val="Compact"/>
              <w:jc w:val="left"/>
            </w:pPr>
            <w:r>
              <w:rPr>
                <w:bCs/>
                <w:b/>
              </w:rPr>
              <w:t xml:space="preserve">Destination</w:t>
            </w:r>
          </w:p>
        </w:tc>
        <w:tc>
          <w:tcPr/>
          <w:p>
            <w:pPr>
              <w:pStyle w:val="Compact"/>
              <w:jc w:val="left"/>
            </w:pPr>
            <w:r>
              <w:t xml:space="preserve">European Union (EMA, GDPR Art. 9, EU AI Act, CTR)</w:t>
            </w:r>
          </w:p>
        </w:tc>
      </w:tr>
      <w:tr>
        <w:tc>
          <w:tcPr/>
          <w:p>
            <w:pPr>
              <w:pStyle w:val="Compact"/>
              <w:jc w:val="left"/>
            </w:pPr>
            <w:r>
              <w:rPr>
                <w:bCs/>
                <w:b/>
              </w:rPr>
              <w:t xml:space="preserve">Industry</w:t>
            </w:r>
          </w:p>
        </w:tc>
        <w:tc>
          <w:tcPr/>
          <w:p>
            <w:pPr>
              <w:pStyle w:val="Compact"/>
              <w:jc w:val="left"/>
            </w:pPr>
            <w:r>
              <w:t xml:space="preserve">Pharmaceutical AI (#10), Bioinformatics (#12), Biotechnology (#9)</w:t>
            </w:r>
          </w:p>
        </w:tc>
      </w:tr>
      <w:tr>
        <w:tc>
          <w:tcPr/>
          <w:p>
            <w:pPr>
              <w:pStyle w:val="Compact"/>
              <w:jc w:val="left"/>
            </w:pPr>
            <w:r>
              <w:rPr>
                <w:bCs/>
                <w:b/>
              </w:rPr>
              <w:t xml:space="preserve">Conflict</w:t>
            </w:r>
          </w:p>
        </w:tc>
        <w:tc>
          <w:tcPr/>
          <w:p>
            <w:pPr>
              <w:pStyle w:val="Compact"/>
              <w:jc w:val="left"/>
            </w:pPr>
            <w:r>
              <w:t xml:space="preserve">China’s Human Genetic Resources Regulation RESTRICTS export of Chinese genetic data. GDPR Art. 9 classifies health/genetic data as</w:t>
            </w:r>
            <w:r>
              <w:t xml:space="preserve"> </w:t>
            </w:r>
            <w:r>
              <w:t xml:space="preserve">“</w:t>
            </w:r>
            <w:r>
              <w:t xml:space="preserve">special category</w:t>
            </w:r>
            <w:r>
              <w:t xml:space="preserve">”</w:t>
            </w:r>
            <w:r>
              <w:t xml:space="preserve"> </w:t>
            </w:r>
            <w:r>
              <w:t xml:space="preserve">requiring explicit consent. EU AI Act classifies drug discovery AI as high-risk. No adequacy decision between EU and China for data transfers.</w:t>
            </w:r>
          </w:p>
        </w:tc>
      </w:tr>
      <w:tr>
        <w:tc>
          <w:tcPr/>
          <w:p>
            <w:pPr>
              <w:pStyle w:val="Compact"/>
              <w:jc w:val="left"/>
            </w:pPr>
            <w:r>
              <w:rPr>
                <w:bCs/>
                <w:b/>
              </w:rPr>
              <w:t xml:space="preserve">Compliance Requirements</w:t>
            </w:r>
          </w:p>
        </w:tc>
        <w:tc>
          <w:tcPr/>
          <w:p>
            <w:pPr>
              <w:pStyle w:val="Compact"/>
              <w:jc w:val="left"/>
            </w:pPr>
            <w:r>
              <w:t xml:space="preserve">Standard Contractual Clauses + Transfer Impact Assessment; explicit patient consent under GDPR; Chinese HGR approval if any Chinese genetic data involved; EU AI Act high-risk compliance; EMA scientific advice; federated learning architecture (EU data stays in EU); DPIA mandatory</w:t>
            </w:r>
          </w:p>
        </w:tc>
      </w:tr>
      <w:tr>
        <w:tc>
          <w:tcPr/>
          <w:p>
            <w:pPr>
              <w:pStyle w:val="Compact"/>
              <w:jc w:val="left"/>
            </w:pPr>
            <w:r>
              <w:rPr>
                <w:bCs/>
                <w:b/>
              </w:rPr>
              <w:t xml:space="preserve">Simulation Parameters</w:t>
            </w:r>
          </w:p>
        </w:tc>
        <w:tc>
          <w:tcPr/>
          <w:p>
            <w:pPr>
              <w:pStyle w:val="Compact"/>
              <w:jc w:val="left"/>
            </w:pPr>
            <w:r>
              <w:t xml:space="preserve">(1) Data transfer compliance cost, (2) Federated learning architecture complexity, (3) Clinical validation pathway divergence, (4) IP protection across jurisdictions</w:t>
            </w:r>
          </w:p>
        </w:tc>
      </w:tr>
      <w:tr>
        <w:tc>
          <w:tcPr/>
          <w:p>
            <w:pPr>
              <w:pStyle w:val="Compact"/>
              <w:jc w:val="left"/>
            </w:pPr>
            <w:r>
              <w:rPr>
                <w:bCs/>
                <w:b/>
              </w:rPr>
              <w:t xml:space="preserve">MEOK Civilization</w:t>
            </w:r>
          </w:p>
        </w:tc>
        <w:tc>
          <w:tcPr/>
          <w:p>
            <w:pPr>
              <w:pStyle w:val="Compact"/>
              <w:jc w:val="left"/>
            </w:pPr>
            <w:r>
              <w:rPr>
                <w:bCs/>
                <w:b/>
              </w:rPr>
              <w:t xml:space="preserve">Zhongxu Collective</w:t>
            </w:r>
            <w:r>
              <w:t xml:space="preserve"> </w:t>
            </w:r>
            <w:r>
              <w:t xml:space="preserve">(Chinese pharma AI) ↔</w:t>
            </w:r>
            <w:r>
              <w:t xml:space="preserve"> </w:t>
            </w:r>
            <w:r>
              <w:rPr>
                <w:bCs/>
                <w:b/>
              </w:rPr>
              <w:t xml:space="preserve">Atlantic Compact</w:t>
            </w:r>
            <w:r>
              <w:t xml:space="preserve"> </w:t>
            </w:r>
            <w:r>
              <w:t xml:space="preserve">(EU data/patients)</w:t>
            </w:r>
          </w:p>
        </w:tc>
      </w:tr>
      <w:tr>
        <w:tc>
          <w:tcPr/>
          <w:p>
            <w:pPr>
              <w:pStyle w:val="Compact"/>
              <w:jc w:val="left"/>
            </w:pPr>
            <w:r>
              <w:rPr>
                <w:bCs/>
                <w:b/>
              </w:rPr>
              <w:t xml:space="preserve">Priority Score</w:t>
            </w:r>
          </w:p>
        </w:tc>
        <w:tc>
          <w:tcPr/>
          <w:p>
            <w:pPr>
              <w:pStyle w:val="Compact"/>
              <w:jc w:val="left"/>
            </w:pPr>
            <w:r>
              <w:t xml:space="preserve">8.3/10</w:t>
            </w:r>
          </w:p>
        </w:tc>
      </w:tr>
    </w:tbl>
    <w:p>
      <w:r>
        <w:pict>
          <v:rect style="width:0;height:1.5pt" o:hralign="center" o:hrstd="t" o:hr="t"/>
        </w:pict>
      </w:r>
    </w:p>
    <w:bookmarkEnd w:id="52"/>
    <w:bookmarkStart w:id="53" w:name="X28899d87f51121abbc8b32aa2fd8feb668ba3e2"/>
    <w:p>
      <w:pPr>
        <w:pStyle w:val="Heading3"/>
      </w:pPr>
      <w:r>
        <w:t xml:space="preserve">SCENARIO 9: Indian Telemedicine Platform Serving UK Patients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India (MCI Telemedicine Guidelines, DPDP Act 2023, CDSCO)</w:t>
            </w:r>
          </w:p>
        </w:tc>
      </w:tr>
      <w:tr>
        <w:tc>
          <w:tcPr/>
          <w:p>
            <w:pPr>
              <w:pStyle w:val="Compact"/>
              <w:jc w:val="left"/>
            </w:pPr>
            <w:r>
              <w:rPr>
                <w:bCs/>
                <w:b/>
              </w:rPr>
              <w:t xml:space="preserve">Destination</w:t>
            </w:r>
          </w:p>
        </w:tc>
        <w:tc>
          <w:tcPr/>
          <w:p>
            <w:pPr>
              <w:pStyle w:val="Compact"/>
              <w:jc w:val="left"/>
            </w:pPr>
            <w:r>
              <w:t xml:space="preserve">United Kingdom (MHRA, CQC, UK GDPR, NHS)</w:t>
            </w:r>
          </w:p>
        </w:tc>
      </w:tr>
      <w:tr>
        <w:tc>
          <w:tcPr/>
          <w:p>
            <w:pPr>
              <w:pStyle w:val="Compact"/>
              <w:jc w:val="left"/>
            </w:pPr>
            <w:r>
              <w:rPr>
                <w:bCs/>
                <w:b/>
              </w:rPr>
              <w:t xml:space="preserve">Industry</w:t>
            </w:r>
          </w:p>
        </w:tc>
        <w:tc>
          <w:tcPr/>
          <w:p>
            <w:pPr>
              <w:pStyle w:val="Compact"/>
              <w:jc w:val="left"/>
            </w:pPr>
            <w:r>
              <w:t xml:space="preserve">Telemedicine &amp; Digital Health (#11), Healthcare AI (#7)</w:t>
            </w:r>
          </w:p>
        </w:tc>
      </w:tr>
      <w:tr>
        <w:tc>
          <w:tcPr/>
          <w:p>
            <w:pPr>
              <w:pStyle w:val="Compact"/>
              <w:jc w:val="left"/>
            </w:pPr>
            <w:r>
              <w:rPr>
                <w:bCs/>
                <w:b/>
              </w:rPr>
              <w:t xml:space="preserve">Conflict</w:t>
            </w:r>
          </w:p>
        </w:tc>
        <w:tc>
          <w:tcPr/>
          <w:p>
            <w:pPr>
              <w:pStyle w:val="Compact"/>
              <w:jc w:val="left"/>
            </w:pPr>
            <w:r>
              <w:t xml:space="preserve">Indian telemedicine guidelines differ from UK MHRA standards. UK GDPR applies to patient data regardless of company location. MHRA may classify diagnostic AI as Software as Medical Device. NHS reimbursement requires NICE evaluation. UK medical liability applies.</w:t>
            </w:r>
          </w:p>
        </w:tc>
      </w:tr>
      <w:tr>
        <w:tc>
          <w:tcPr/>
          <w:p>
            <w:pPr>
              <w:pStyle w:val="Compact"/>
              <w:jc w:val="left"/>
            </w:pPr>
            <w:r>
              <w:rPr>
                <w:bCs/>
                <w:b/>
              </w:rPr>
              <w:t xml:space="preserve">Compliance Requirements</w:t>
            </w:r>
          </w:p>
        </w:tc>
        <w:tc>
          <w:tcPr/>
          <w:p>
            <w:pPr>
              <w:pStyle w:val="Compact"/>
              <w:jc w:val="left"/>
            </w:pPr>
            <w:r>
              <w:t xml:space="preserve">MHRA SaMD registration if diagnostic AI used; UK GDPR compliance (appoint UK representative); CQC registration as healthcare provider; NICE Digital Health Technologies evidence submission; professional indemnity under UK law; clinician GMC registration</w:t>
            </w:r>
          </w:p>
        </w:tc>
      </w:tr>
      <w:tr>
        <w:tc>
          <w:tcPr/>
          <w:p>
            <w:pPr>
              <w:pStyle w:val="Compact"/>
              <w:jc w:val="left"/>
            </w:pPr>
            <w:r>
              <w:rPr>
                <w:bCs/>
                <w:b/>
              </w:rPr>
              <w:t xml:space="preserve">Simulation Parameters</w:t>
            </w:r>
          </w:p>
        </w:tc>
        <w:tc>
          <w:tcPr/>
          <w:p>
            <w:pPr>
              <w:pStyle w:val="Compact"/>
              <w:jc w:val="left"/>
            </w:pPr>
            <w:r>
              <w:t xml:space="preserve">(1) Regulatory pathway length, (2) NHS reimbursement timeline, (3) Medical liability insurance cost, (4) Clinician credentialing complexity</w:t>
            </w:r>
          </w:p>
        </w:tc>
      </w:tr>
      <w:tr>
        <w:tc>
          <w:tcPr/>
          <w:p>
            <w:pPr>
              <w:pStyle w:val="Compact"/>
              <w:jc w:val="left"/>
            </w:pPr>
            <w:r>
              <w:rPr>
                <w:bCs/>
                <w:b/>
              </w:rPr>
              <w:t xml:space="preserve">MEOK Civilization</w:t>
            </w:r>
          </w:p>
        </w:tc>
        <w:tc>
          <w:tcPr/>
          <w:p>
            <w:pPr>
              <w:pStyle w:val="Compact"/>
              <w:jc w:val="left"/>
            </w:pPr>
            <w:r>
              <w:rPr>
                <w:bCs/>
                <w:b/>
              </w:rPr>
              <w:t xml:space="preserve">Bharat Complex</w:t>
            </w:r>
            <w:r>
              <w:t xml:space="preserve"> </w:t>
            </w:r>
            <w:r>
              <w:t xml:space="preserve">(Indian platform) →</w:t>
            </w:r>
            <w:r>
              <w:t xml:space="preserve"> </w:t>
            </w:r>
            <w:r>
              <w:rPr>
                <w:bCs/>
                <w:b/>
              </w:rPr>
              <w:t xml:space="preserve">Anglosphere Concord</w:t>
            </w:r>
            <w:r>
              <w:t xml:space="preserve"> </w:t>
            </w:r>
            <w:r>
              <w:t xml:space="preserve">(UK patients)</w:t>
            </w:r>
          </w:p>
        </w:tc>
      </w:tr>
      <w:tr>
        <w:tc>
          <w:tcPr/>
          <w:p>
            <w:pPr>
              <w:pStyle w:val="Compact"/>
              <w:jc w:val="left"/>
            </w:pPr>
            <w:r>
              <w:rPr>
                <w:bCs/>
                <w:b/>
              </w:rPr>
              <w:t xml:space="preserve">Priority Score</w:t>
            </w:r>
          </w:p>
        </w:tc>
        <w:tc>
          <w:tcPr/>
          <w:p>
            <w:pPr>
              <w:pStyle w:val="Compact"/>
              <w:jc w:val="left"/>
            </w:pPr>
            <w:r>
              <w:t xml:space="preserve">7.8/10</w:t>
            </w:r>
          </w:p>
        </w:tc>
      </w:tr>
    </w:tbl>
    <w:p>
      <w:r>
        <w:pict>
          <v:rect style="width:0;height:1.5pt" o:hralign="center" o:hrstd="t" o:hr="t"/>
        </w:pict>
      </w:r>
    </w:p>
    <w:bookmarkEnd w:id="53"/>
    <w:bookmarkStart w:id="54" w:name="Xb640488c1ca643ddc97f1e11e2ceeb341d12e87"/>
    <w:p>
      <w:pPr>
        <w:pStyle w:val="Heading3"/>
      </w:pPr>
      <w:r>
        <w:t xml:space="preserve">SCENARIO 10: Cross-Border eVTOL (Electric Air Taxi) Service</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(FAA Part 450, Type Certification)</w:t>
            </w:r>
          </w:p>
        </w:tc>
      </w:tr>
      <w:tr>
        <w:tc>
          <w:tcPr/>
          <w:p>
            <w:pPr>
              <w:pStyle w:val="Compact"/>
              <w:jc w:val="left"/>
            </w:pPr>
            <w:r>
              <w:rPr>
                <w:bCs/>
                <w:b/>
              </w:rPr>
              <w:t xml:space="preserve">Destination</w:t>
            </w:r>
          </w:p>
        </w:tc>
        <w:tc>
          <w:tcPr/>
          <w:p>
            <w:pPr>
              <w:pStyle w:val="Compact"/>
              <w:jc w:val="left"/>
            </w:pPr>
            <w:r>
              <w:t xml:space="preserve">European Union (EASA Special Condition VTOL, EU AI Act)</w:t>
            </w:r>
          </w:p>
        </w:tc>
      </w:tr>
      <w:tr>
        <w:tc>
          <w:tcPr/>
          <w:p>
            <w:pPr>
              <w:pStyle w:val="Compact"/>
              <w:jc w:val="left"/>
            </w:pPr>
            <w:r>
              <w:rPr>
                <w:bCs/>
                <w:b/>
              </w:rPr>
              <w:t xml:space="preserve">Industry</w:t>
            </w:r>
          </w:p>
        </w:tc>
        <w:tc>
          <w:tcPr/>
          <w:p>
            <w:pPr>
              <w:pStyle w:val="Compact"/>
              <w:jc w:val="left"/>
            </w:pPr>
            <w:r>
              <w:t xml:space="preserve">Drones &amp; Aerial Robotics (#5), Autonomous Vehicles (#3)</w:t>
            </w:r>
          </w:p>
        </w:tc>
      </w:tr>
      <w:tr>
        <w:tc>
          <w:tcPr/>
          <w:p>
            <w:pPr>
              <w:pStyle w:val="Compact"/>
              <w:jc w:val="left"/>
            </w:pPr>
            <w:r>
              <w:rPr>
                <w:bCs/>
                <w:b/>
              </w:rPr>
              <w:t xml:space="preserve">Conflict</w:t>
            </w:r>
          </w:p>
        </w:tc>
        <w:tc>
          <w:tcPr/>
          <w:p>
            <w:pPr>
              <w:pStyle w:val="Compact"/>
              <w:jc w:val="left"/>
            </w:pPr>
            <w:r>
              <w:t xml:space="preserve">FAA and EASA have NO mutual recognition for eVTOL certification. EASA has published Special Condition VTOL (SC-VTOL) with specific requirements. FAA uses traditional Part 23/25 airworthiness with special conditions. EU AI Act may classify autonomous navigation as high-risk. No bilateral agreement on pilot licensing.</w:t>
            </w:r>
          </w:p>
        </w:tc>
      </w:tr>
      <w:tr>
        <w:tc>
          <w:tcPr/>
          <w:p>
            <w:pPr>
              <w:pStyle w:val="Compact"/>
              <w:jc w:val="left"/>
            </w:pPr>
            <w:r>
              <w:rPr>
                <w:bCs/>
                <w:b/>
              </w:rPr>
              <w:t xml:space="preserve">Compliance Requirements</w:t>
            </w:r>
          </w:p>
        </w:tc>
        <w:tc>
          <w:tcPr/>
          <w:p>
            <w:pPr>
              <w:pStyle w:val="Compact"/>
              <w:jc w:val="left"/>
            </w:pPr>
            <w:r>
              <w:t xml:space="preserve">Separate type certification from EASA; EU AI Act conformity assessment for autonomous systems; noise certification under EU rules; operations manual approval; pilot/remote operator certification per EU standards; airspace integration with U-space framework</w:t>
            </w:r>
          </w:p>
        </w:tc>
      </w:tr>
      <w:tr>
        <w:tc>
          <w:tcPr/>
          <w:p>
            <w:pPr>
              <w:pStyle w:val="Compact"/>
              <w:jc w:val="left"/>
            </w:pPr>
            <w:r>
              <w:rPr>
                <w:bCs/>
                <w:b/>
              </w:rPr>
              <w:t xml:space="preserve">Simulation Parameters</w:t>
            </w:r>
          </w:p>
        </w:tc>
        <w:tc>
          <w:tcPr/>
          <w:p>
            <w:pPr>
              <w:pStyle w:val="Compact"/>
              <w:jc w:val="left"/>
            </w:pPr>
            <w:r>
              <w:t xml:space="preserve">(1) Dual certification cost, (2) Time delta (FAA vs EASA), (3) AI Act compliance overlay, (4) Airspace integration complexity</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eVTOL) →</w:t>
            </w:r>
            <w:r>
              <w:t xml:space="preserve"> </w:t>
            </w:r>
            <w:r>
              <w:rPr>
                <w:bCs/>
                <w:b/>
              </w:rPr>
              <w:t xml:space="preserve">Atlantic Compact</w:t>
            </w:r>
            <w:r>
              <w:t xml:space="preserve"> </w:t>
            </w:r>
            <w:r>
              <w:t xml:space="preserve">(EU operations)</w:t>
            </w:r>
          </w:p>
        </w:tc>
      </w:tr>
      <w:tr>
        <w:tc>
          <w:tcPr/>
          <w:p>
            <w:pPr>
              <w:pStyle w:val="Compact"/>
              <w:jc w:val="left"/>
            </w:pPr>
            <w:r>
              <w:rPr>
                <w:bCs/>
                <w:b/>
              </w:rPr>
              <w:t xml:space="preserve">Priority Score</w:t>
            </w:r>
          </w:p>
        </w:tc>
        <w:tc>
          <w:tcPr/>
          <w:p>
            <w:pPr>
              <w:pStyle w:val="Compact"/>
              <w:jc w:val="left"/>
            </w:pPr>
            <w:r>
              <w:t xml:space="preserve">8.6/10</w:t>
            </w:r>
          </w:p>
        </w:tc>
      </w:tr>
    </w:tbl>
    <w:p>
      <w:r>
        <w:pict>
          <v:rect style="width:0;height:1.5pt" o:hralign="center" o:hrstd="t" o:hr="t"/>
        </w:pict>
      </w:r>
    </w:p>
    <w:bookmarkEnd w:id="54"/>
    <w:bookmarkStart w:id="55" w:name="X14652f1e75d5b5d01c2deeb2112d2da2206bf0b"/>
    <w:p>
      <w:pPr>
        <w:pStyle w:val="Heading3"/>
      </w:pPr>
      <w:r>
        <w:t xml:space="preserve">SCENARIO 11: EU Financial AI Credit Scoring for US Customers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Germany/EU (EU AI Act HIGH-RISK, GDPR, ECB)</w:t>
            </w:r>
          </w:p>
        </w:tc>
      </w:tr>
      <w:tr>
        <w:tc>
          <w:tcPr/>
          <w:p>
            <w:pPr>
              <w:pStyle w:val="Compact"/>
              <w:jc w:val="left"/>
            </w:pPr>
            <w:r>
              <w:rPr>
                <w:bCs/>
                <w:b/>
              </w:rPr>
              <w:t xml:space="preserve">Destination</w:t>
            </w:r>
          </w:p>
        </w:tc>
        <w:tc>
          <w:tcPr/>
          <w:p>
            <w:pPr>
              <w:pStyle w:val="Compact"/>
              <w:jc w:val="left"/>
            </w:pPr>
            <w:r>
              <w:t xml:space="preserve">United States (FCRA, ECOA, state laws)</w:t>
            </w:r>
          </w:p>
        </w:tc>
      </w:tr>
      <w:tr>
        <w:tc>
          <w:tcPr/>
          <w:p>
            <w:pPr>
              <w:pStyle w:val="Compact"/>
              <w:jc w:val="left"/>
            </w:pPr>
            <w:r>
              <w:rPr>
                <w:bCs/>
                <w:b/>
              </w:rPr>
              <w:t xml:space="preserve">Industry</w:t>
            </w:r>
          </w:p>
        </w:tc>
        <w:tc>
          <w:tcPr/>
          <w:p>
            <w:pPr>
              <w:pStyle w:val="Compact"/>
              <w:jc w:val="left"/>
            </w:pPr>
            <w:r>
              <w:t xml:space="preserve">AI in Banking (#13), RegTech (#17)</w:t>
            </w:r>
          </w:p>
        </w:tc>
      </w:tr>
      <w:tr>
        <w:tc>
          <w:tcPr/>
          <w:p>
            <w:pPr>
              <w:pStyle w:val="Compact"/>
              <w:jc w:val="left"/>
            </w:pPr>
            <w:r>
              <w:rPr>
                <w:bCs/>
                <w:b/>
              </w:rPr>
              <w:t xml:space="preserve">Conflict</w:t>
            </w:r>
          </w:p>
        </w:tc>
        <w:tc>
          <w:tcPr/>
          <w:p>
            <w:pPr>
              <w:pStyle w:val="Compact"/>
              <w:jc w:val="left"/>
            </w:pPr>
            <w:r>
              <w:t xml:space="preserve">EU AI Act requires extensive explainability, risk management, and human oversight for credit scoring AI. US FCRA requires adverse action notices with</w:t>
            </w:r>
            <w:r>
              <w:t xml:space="preserve"> </w:t>
            </w:r>
            <w:r>
              <w:t xml:space="preserve">“</w:t>
            </w:r>
            <w:r>
              <w:t xml:space="preserve">key factors</w:t>
            </w:r>
            <w:r>
              <w:t xml:space="preserve">”</w:t>
            </w:r>
            <w:r>
              <w:t xml:space="preserve"> </w:t>
            </w:r>
            <w:r>
              <w:t xml:space="preserve">but no model explainability. ECOA prohibits discriminatory outcomes. Colorado AI Act (if applicable) requires different disclosures. EU model may be</w:t>
            </w:r>
            <w:r>
              <w:t xml:space="preserve"> </w:t>
            </w:r>
            <w:r>
              <w:t xml:space="preserve">“</w:t>
            </w:r>
            <w:r>
              <w:t xml:space="preserve">over-engineered</w:t>
            </w:r>
            <w:r>
              <w:t xml:space="preserve">”</w:t>
            </w:r>
            <w:r>
              <w:t xml:space="preserve"> </w:t>
            </w:r>
            <w:r>
              <w:t xml:space="preserve">for US market.</w:t>
            </w:r>
          </w:p>
        </w:tc>
      </w:tr>
      <w:tr>
        <w:tc>
          <w:tcPr/>
          <w:p>
            <w:pPr>
              <w:pStyle w:val="Compact"/>
              <w:jc w:val="left"/>
            </w:pPr>
            <w:r>
              <w:rPr>
                <w:bCs/>
                <w:b/>
              </w:rPr>
              <w:t xml:space="preserve">Compliance Requirements</w:t>
            </w:r>
          </w:p>
        </w:tc>
        <w:tc>
          <w:tcPr/>
          <w:p>
            <w:pPr>
              <w:pStyle w:val="Compact"/>
              <w:jc w:val="left"/>
            </w:pPr>
            <w:r>
              <w:t xml:space="preserve">Dual-compliant architecture: EU branch maintains full AI Act compliance; US deployment adds FCRA adverse action notices; ECOA bias testing; Colorado SB 24-205 compliance if serving Colorado residents; state-by-state disclosure requirements</w:t>
            </w:r>
          </w:p>
        </w:tc>
      </w:tr>
      <w:tr>
        <w:tc>
          <w:tcPr/>
          <w:p>
            <w:pPr>
              <w:pStyle w:val="Compact"/>
              <w:jc w:val="left"/>
            </w:pPr>
            <w:r>
              <w:rPr>
                <w:bCs/>
                <w:b/>
              </w:rPr>
              <w:t xml:space="preserve">Simulation Parameters</w:t>
            </w:r>
          </w:p>
        </w:tc>
        <w:tc>
          <w:tcPr/>
          <w:p>
            <w:pPr>
              <w:pStyle w:val="Compact"/>
              <w:jc w:val="left"/>
            </w:pPr>
            <w:r>
              <w:t xml:space="preserve">(1) Model complexity delta, (2) Dual compliance cost, (3) Bias audit frequency, (4) Customer complaint rate differential</w:t>
            </w:r>
          </w:p>
        </w:tc>
      </w:tr>
      <w:tr>
        <w:tc>
          <w:tcPr/>
          <w:p>
            <w:pPr>
              <w:pStyle w:val="Compact"/>
              <w:jc w:val="left"/>
            </w:pPr>
            <w:r>
              <w:rPr>
                <w:bCs/>
                <w:b/>
              </w:rPr>
              <w:t xml:space="preserve">MEOK Civilization</w:t>
            </w:r>
          </w:p>
        </w:tc>
        <w:tc>
          <w:tcPr/>
          <w:p>
            <w:pPr>
              <w:pStyle w:val="Compact"/>
              <w:jc w:val="left"/>
            </w:pPr>
            <w:r>
              <w:rPr>
                <w:bCs/>
                <w:b/>
              </w:rPr>
              <w:t xml:space="preserve">Atlantic Compact</w:t>
            </w:r>
            <w:r>
              <w:t xml:space="preserve"> </w:t>
            </w:r>
            <w:r>
              <w:t xml:space="preserve">(German bank AI) →</w:t>
            </w:r>
            <w:r>
              <w:t xml:space="preserve"> </w:t>
            </w:r>
            <w:r>
              <w:rPr>
                <w:bCs/>
                <w:b/>
              </w:rPr>
              <w:t xml:space="preserve">Anglosphere Concord</w:t>
            </w:r>
            <w:r>
              <w:t xml:space="preserve"> </w:t>
            </w:r>
            <w:r>
              <w:t xml:space="preserve">(US lending)</w:t>
            </w:r>
          </w:p>
        </w:tc>
      </w:tr>
      <w:tr>
        <w:tc>
          <w:tcPr/>
          <w:p>
            <w:pPr>
              <w:pStyle w:val="Compact"/>
              <w:jc w:val="left"/>
            </w:pPr>
            <w:r>
              <w:rPr>
                <w:bCs/>
                <w:b/>
              </w:rPr>
              <w:t xml:space="preserve">Priority Score</w:t>
            </w:r>
          </w:p>
        </w:tc>
        <w:tc>
          <w:tcPr/>
          <w:p>
            <w:pPr>
              <w:pStyle w:val="Compact"/>
              <w:jc w:val="left"/>
            </w:pPr>
            <w:r>
              <w:t xml:space="preserve">8.0/10</w:t>
            </w:r>
          </w:p>
        </w:tc>
      </w:tr>
    </w:tbl>
    <w:p>
      <w:r>
        <w:pict>
          <v:rect style="width:0;height:1.5pt" o:hralign="center" o:hrstd="t" o:hr="t"/>
        </w:pict>
      </w:r>
    </w:p>
    <w:bookmarkEnd w:id="55"/>
    <w:bookmarkStart w:id="56" w:name="X3e6bbfce88345bb418fc9ffbb11494a8042e4e1"/>
    <w:p>
      <w:pPr>
        <w:pStyle w:val="Heading3"/>
      </w:pPr>
      <w:r>
        <w:t xml:space="preserve">SCENARIO 12: Singapore AI Agentic System Operating in EU</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Singapore (MAIG for Agentic AI, PDPA, IMDA)</w:t>
            </w:r>
          </w:p>
        </w:tc>
      </w:tr>
      <w:tr>
        <w:tc>
          <w:tcPr/>
          <w:p>
            <w:pPr>
              <w:pStyle w:val="Compact"/>
              <w:jc w:val="left"/>
            </w:pPr>
            <w:r>
              <w:rPr>
                <w:bCs/>
                <w:b/>
              </w:rPr>
              <w:t xml:space="preserve">Destination</w:t>
            </w:r>
          </w:p>
        </w:tc>
        <w:tc>
          <w:tcPr/>
          <w:p>
            <w:pPr>
              <w:pStyle w:val="Compact"/>
              <w:jc w:val="left"/>
            </w:pPr>
            <w:r>
              <w:t xml:space="preserve">European Union (EU AI Act, GDPR, NIS2)</w:t>
            </w:r>
          </w:p>
        </w:tc>
      </w:tr>
      <w:tr>
        <w:tc>
          <w:tcPr/>
          <w:p>
            <w:pPr>
              <w:pStyle w:val="Compact"/>
              <w:jc w:val="left"/>
            </w:pPr>
            <w:r>
              <w:rPr>
                <w:bCs/>
                <w:b/>
              </w:rPr>
              <w:t xml:space="preserve">Industry</w:t>
            </w:r>
          </w:p>
        </w:tc>
        <w:tc>
          <w:tcPr/>
          <w:p>
            <w:pPr>
              <w:pStyle w:val="Compact"/>
              <w:jc w:val="left"/>
            </w:pPr>
            <w:r>
              <w:t xml:space="preserve">AI Agent Systems (#6), Cybersecurity AI (#19)</w:t>
            </w:r>
          </w:p>
        </w:tc>
      </w:tr>
      <w:tr>
        <w:tc>
          <w:tcPr/>
          <w:p>
            <w:pPr>
              <w:pStyle w:val="Compact"/>
              <w:jc w:val="left"/>
            </w:pPr>
            <w:r>
              <w:rPr>
                <w:bCs/>
                <w:b/>
              </w:rPr>
              <w:t xml:space="preserve">Conflict</w:t>
            </w:r>
          </w:p>
        </w:tc>
        <w:tc>
          <w:tcPr/>
          <w:p>
            <w:pPr>
              <w:pStyle w:val="Compact"/>
              <w:jc w:val="left"/>
            </w:pPr>
            <w:r>
              <w:t xml:space="preserve">Singapore has world’s first Model AI Governance Framework for Agentic AI (Jan 2026) - but it’s VOLUNTARY. EU AI Act classifies autonomous AI systems in critical infrastructure as HIGH-RISK. Agentic AI that makes consequential decisions without human intervention may face additional scrutiny under EU</w:t>
            </w:r>
            <w:r>
              <w:t xml:space="preserve"> </w:t>
            </w:r>
            <w:r>
              <w:t xml:space="preserve">“</w:t>
            </w:r>
            <w:r>
              <w:t xml:space="preserve">prohibited practices</w:t>
            </w:r>
            <w:r>
              <w:t xml:space="preserve">”</w:t>
            </w:r>
            <w:r>
              <w:t xml:space="preserve"> </w:t>
            </w:r>
            <w:r>
              <w:t xml:space="preserve">(subliminal manipulation ban).</w:t>
            </w:r>
          </w:p>
        </w:tc>
      </w:tr>
      <w:tr>
        <w:tc>
          <w:tcPr/>
          <w:p>
            <w:pPr>
              <w:pStyle w:val="Compact"/>
              <w:jc w:val="left"/>
            </w:pPr>
            <w:r>
              <w:rPr>
                <w:bCs/>
                <w:b/>
              </w:rPr>
              <w:t xml:space="preserve">Compliance Requirements</w:t>
            </w:r>
          </w:p>
        </w:tc>
        <w:tc>
          <w:tcPr/>
          <w:p>
            <w:pPr>
              <w:pStyle w:val="Compact"/>
              <w:jc w:val="left"/>
            </w:pPr>
            <w:r>
              <w:t xml:space="preserve">EU AI Act risk classification (likely high-risk); appoint EU authorized representative; GDPR compliance for any personal data processing; NIS2 compliance if critical infrastructure; human-in-the-loop documentation; agent autonomy logging and audit trail; incident reporting</w:t>
            </w:r>
          </w:p>
        </w:tc>
      </w:tr>
      <w:tr>
        <w:tc>
          <w:tcPr/>
          <w:p>
            <w:pPr>
              <w:pStyle w:val="Compact"/>
              <w:jc w:val="left"/>
            </w:pPr>
            <w:r>
              <w:rPr>
                <w:bCs/>
                <w:b/>
              </w:rPr>
              <w:t xml:space="preserve">Simulation Parameters</w:t>
            </w:r>
          </w:p>
        </w:tc>
        <w:tc>
          <w:tcPr/>
          <w:p>
            <w:pPr>
              <w:pStyle w:val="Compact"/>
              <w:jc w:val="left"/>
            </w:pPr>
            <w:r>
              <w:t xml:space="preserve">(1) Gap analysis: MAIG voluntary vs EU binding, (2) Human oversight implementation cost, (3) Autonomy logging infrastructure, (4) Incident response time</w:t>
            </w:r>
          </w:p>
        </w:tc>
      </w:tr>
      <w:tr>
        <w:tc>
          <w:tcPr/>
          <w:p>
            <w:pPr>
              <w:pStyle w:val="Compact"/>
              <w:jc w:val="left"/>
            </w:pPr>
            <w:r>
              <w:rPr>
                <w:bCs/>
                <w:b/>
              </w:rPr>
              <w:t xml:space="preserve">MEOK Civilization</w:t>
            </w:r>
          </w:p>
        </w:tc>
        <w:tc>
          <w:tcPr/>
          <w:p>
            <w:pPr>
              <w:pStyle w:val="Compact"/>
              <w:jc w:val="left"/>
            </w:pPr>
            <w:r>
              <w:rPr>
                <w:bCs/>
                <w:b/>
              </w:rPr>
              <w:t xml:space="preserve">Singularity Core</w:t>
            </w:r>
            <w:r>
              <w:t xml:space="preserve"> </w:t>
            </w:r>
            <w:r>
              <w:t xml:space="preserve">(Singapore agentic AI) →</w:t>
            </w:r>
            <w:r>
              <w:t xml:space="preserve"> </w:t>
            </w:r>
            <w:r>
              <w:rPr>
                <w:bCs/>
                <w:b/>
              </w:rPr>
              <w:t xml:space="preserve">Atlantic Compact</w:t>
            </w:r>
            <w:r>
              <w:t xml:space="preserve"> </w:t>
            </w:r>
            <w:r>
              <w:t xml:space="preserve">(EU deployment)</w:t>
            </w:r>
          </w:p>
        </w:tc>
      </w:tr>
      <w:tr>
        <w:tc>
          <w:tcPr/>
          <w:p>
            <w:pPr>
              <w:pStyle w:val="Compact"/>
              <w:jc w:val="left"/>
            </w:pPr>
            <w:r>
              <w:rPr>
                <w:bCs/>
                <w:b/>
              </w:rPr>
              <w:t xml:space="preserve">Priority Score</w:t>
            </w:r>
          </w:p>
        </w:tc>
        <w:tc>
          <w:tcPr/>
          <w:p>
            <w:pPr>
              <w:pStyle w:val="Compact"/>
              <w:jc w:val="left"/>
            </w:pPr>
            <w:r>
              <w:t xml:space="preserve">9.2/10</w:t>
            </w:r>
          </w:p>
        </w:tc>
      </w:tr>
    </w:tbl>
    <w:p>
      <w:r>
        <w:pict>
          <v:rect style="width:0;height:1.5pt" o:hralign="center" o:hrstd="t" o:hr="t"/>
        </w:pict>
      </w:r>
    </w:p>
    <w:bookmarkEnd w:id="56"/>
    <w:bookmarkStart w:id="57" w:name="Xa0829de819915713acaeb4926e5b98a7504936d"/>
    <w:p>
      <w:pPr>
        <w:pStyle w:val="Heading3"/>
      </w:pPr>
      <w:r>
        <w:t xml:space="preserve">SCENARIO 13: Chinese Surveillance AI Deployed in UAE Smart City</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China (Hikvision/Dahua, PIPL, GB standards)</w:t>
            </w:r>
          </w:p>
        </w:tc>
      </w:tr>
      <w:tr>
        <w:tc>
          <w:tcPr/>
          <w:p>
            <w:pPr>
              <w:pStyle w:val="Compact"/>
              <w:jc w:val="left"/>
            </w:pPr>
            <w:r>
              <w:rPr>
                <w:bCs/>
                <w:b/>
              </w:rPr>
              <w:t xml:space="preserve">Destination</w:t>
            </w:r>
          </w:p>
        </w:tc>
        <w:tc>
          <w:tcPr/>
          <w:p>
            <w:pPr>
              <w:pStyle w:val="Compact"/>
              <w:jc w:val="left"/>
            </w:pPr>
            <w:r>
              <w:t xml:space="preserve">UAE (Federal PDPL, Safe City Initiative, Cybercrime Law)</w:t>
            </w:r>
          </w:p>
        </w:tc>
      </w:tr>
      <w:tr>
        <w:tc>
          <w:tcPr/>
          <w:p>
            <w:pPr>
              <w:pStyle w:val="Compact"/>
              <w:jc w:val="left"/>
            </w:pPr>
            <w:r>
              <w:rPr>
                <w:bCs/>
                <w:b/>
              </w:rPr>
              <w:t xml:space="preserve">Industry</w:t>
            </w:r>
          </w:p>
        </w:tc>
        <w:tc>
          <w:tcPr/>
          <w:p>
            <w:pPr>
              <w:pStyle w:val="Compact"/>
              <w:jc w:val="left"/>
            </w:pPr>
            <w:r>
              <w:t xml:space="preserve">Surveillance &amp; Public Safety AI (#21), IoT (#26)</w:t>
            </w:r>
          </w:p>
        </w:tc>
      </w:tr>
      <w:tr>
        <w:tc>
          <w:tcPr/>
          <w:p>
            <w:pPr>
              <w:pStyle w:val="Compact"/>
              <w:jc w:val="left"/>
            </w:pPr>
            <w:r>
              <w:rPr>
                <w:bCs/>
                <w:b/>
              </w:rPr>
              <w:t xml:space="preserve">Conflict</w:t>
            </w:r>
          </w:p>
        </w:tc>
        <w:tc>
          <w:tcPr/>
          <w:p>
            <w:pPr>
              <w:pStyle w:val="Compact"/>
              <w:jc w:val="left"/>
            </w:pPr>
            <w:r>
              <w:t xml:space="preserve">Chinese surveillance AI is BANNED in EU under AI Act Art. 5. UAE actively deploys AI surveillance through Safe City initiatives. Chinese companies must comply with PIPL data localization while serving UAE clients. US may impose secondary sanctions on Chinese surveillance tech.</w:t>
            </w:r>
          </w:p>
        </w:tc>
      </w:tr>
      <w:tr>
        <w:tc>
          <w:tcPr/>
          <w:p>
            <w:pPr>
              <w:pStyle w:val="Compact"/>
              <w:jc w:val="left"/>
            </w:pPr>
            <w:r>
              <w:rPr>
                <w:bCs/>
                <w:b/>
              </w:rPr>
              <w:t xml:space="preserve">Compliance Requirements</w:t>
            </w:r>
          </w:p>
        </w:tc>
        <w:tc>
          <w:tcPr/>
          <w:p>
            <w:pPr>
              <w:pStyle w:val="Compact"/>
              <w:jc w:val="left"/>
            </w:pPr>
            <w:r>
              <w:t xml:space="preserve">UAE PDPL compliance; NESA cybersecurity requirements; safe city technical standards; Chinese DSL data localization (operational data must stay in China); potential US sanctions screening; EU extraterritorial effects if any EU citizen data involved</w:t>
            </w:r>
          </w:p>
        </w:tc>
      </w:tr>
      <w:tr>
        <w:tc>
          <w:tcPr/>
          <w:p>
            <w:pPr>
              <w:pStyle w:val="Compact"/>
              <w:jc w:val="left"/>
            </w:pPr>
            <w:r>
              <w:rPr>
                <w:bCs/>
                <w:b/>
              </w:rPr>
              <w:t xml:space="preserve">Simulation Parameters</w:t>
            </w:r>
          </w:p>
        </w:tc>
        <w:tc>
          <w:tcPr/>
          <w:p>
            <w:pPr>
              <w:pStyle w:val="Compact"/>
              <w:jc w:val="left"/>
            </w:pPr>
            <w:r>
              <w:t xml:space="preserve">(1) US sanctions risk exposure, (2) Data architecture complexity (China-UAE), (3) EU citizen data isolation cost, (4) Technical performance differential</w:t>
            </w:r>
          </w:p>
        </w:tc>
      </w:tr>
      <w:tr>
        <w:tc>
          <w:tcPr/>
          <w:p>
            <w:pPr>
              <w:pStyle w:val="Compact"/>
              <w:jc w:val="left"/>
            </w:pPr>
            <w:r>
              <w:rPr>
                <w:bCs/>
                <w:b/>
              </w:rPr>
              <w:t xml:space="preserve">MEOK Civilization</w:t>
            </w:r>
          </w:p>
        </w:tc>
        <w:tc>
          <w:tcPr/>
          <w:p>
            <w:pPr>
              <w:pStyle w:val="Compact"/>
              <w:jc w:val="left"/>
            </w:pPr>
            <w:r>
              <w:rPr>
                <w:bCs/>
                <w:b/>
              </w:rPr>
              <w:t xml:space="preserve">Zhongxu Collective</w:t>
            </w:r>
            <w:r>
              <w:t xml:space="preserve"> </w:t>
            </w:r>
            <w:r>
              <w:t xml:space="preserve">(Chinese vendor) →</w:t>
            </w:r>
            <w:r>
              <w:t xml:space="preserve"> </w:t>
            </w:r>
            <w:r>
              <w:rPr>
                <w:bCs/>
                <w:b/>
              </w:rPr>
              <w:t xml:space="preserve">Gulf Technate</w:t>
            </w:r>
            <w:r>
              <w:t xml:space="preserve"> </w:t>
            </w:r>
            <w:r>
              <w:t xml:space="preserve">(UAE deployment)</w:t>
            </w:r>
          </w:p>
        </w:tc>
      </w:tr>
      <w:tr>
        <w:tc>
          <w:tcPr/>
          <w:p>
            <w:pPr>
              <w:pStyle w:val="Compact"/>
              <w:jc w:val="left"/>
            </w:pPr>
            <w:r>
              <w:rPr>
                <w:bCs/>
                <w:b/>
              </w:rPr>
              <w:t xml:space="preserve">Priority Score</w:t>
            </w:r>
          </w:p>
        </w:tc>
        <w:tc>
          <w:tcPr/>
          <w:p>
            <w:pPr>
              <w:pStyle w:val="Compact"/>
              <w:jc w:val="left"/>
            </w:pPr>
            <w:r>
              <w:t xml:space="preserve">7.5/10</w:t>
            </w:r>
          </w:p>
        </w:tc>
      </w:tr>
    </w:tbl>
    <w:p>
      <w:r>
        <w:pict>
          <v:rect style="width:0;height:1.5pt" o:hralign="center" o:hrstd="t" o:hr="t"/>
        </w:pict>
      </w:r>
    </w:p>
    <w:bookmarkEnd w:id="57"/>
    <w:bookmarkStart w:id="58" w:name="Xf74ced301a3eed4338811e83959706dc970c75f"/>
    <w:p>
      <w:pPr>
        <w:pStyle w:val="Heading3"/>
      </w:pPr>
      <w:r>
        <w:t xml:space="preserve">SCENARIO 14: US Defense AI System Shared with Five Eyes Partners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(ITAR/EAR, DoD AI Ethics, CMMC 2.0)</w:t>
            </w:r>
          </w:p>
        </w:tc>
      </w:tr>
      <w:tr>
        <w:tc>
          <w:tcPr/>
          <w:p>
            <w:pPr>
              <w:pStyle w:val="Compact"/>
              <w:jc w:val="left"/>
            </w:pPr>
            <w:r>
              <w:rPr>
                <w:bCs/>
                <w:b/>
              </w:rPr>
              <w:t xml:space="preserve">Destination</w:t>
            </w:r>
          </w:p>
        </w:tc>
        <w:tc>
          <w:tcPr/>
          <w:p>
            <w:pPr>
              <w:pStyle w:val="Compact"/>
              <w:jc w:val="left"/>
            </w:pPr>
            <w:r>
              <w:t xml:space="preserve">Five Eyes (UK, Canada, Australia + NZ)</w:t>
            </w:r>
          </w:p>
        </w:tc>
      </w:tr>
      <w:tr>
        <w:tc>
          <w:tcPr/>
          <w:p>
            <w:pPr>
              <w:pStyle w:val="Compact"/>
              <w:jc w:val="left"/>
            </w:pPr>
            <w:r>
              <w:rPr>
                <w:bCs/>
                <w:b/>
              </w:rPr>
              <w:t xml:space="preserve">Industry</w:t>
            </w:r>
          </w:p>
        </w:tc>
        <w:tc>
          <w:tcPr/>
          <w:p>
            <w:pPr>
              <w:pStyle w:val="Compact"/>
              <w:jc w:val="left"/>
            </w:pPr>
            <w:r>
              <w:t xml:space="preserve">Defense &amp; Military AI (#20), Space Technology (#22)</w:t>
            </w:r>
          </w:p>
        </w:tc>
      </w:tr>
      <w:tr>
        <w:tc>
          <w:tcPr/>
          <w:p>
            <w:pPr>
              <w:pStyle w:val="Compact"/>
              <w:jc w:val="left"/>
            </w:pPr>
            <w:r>
              <w:rPr>
                <w:bCs/>
                <w:b/>
              </w:rPr>
              <w:t xml:space="preserve">Conflict</w:t>
            </w:r>
          </w:p>
        </w:tc>
        <w:tc>
          <w:tcPr/>
          <w:p>
            <w:pPr>
              <w:pStyle w:val="Compact"/>
              <w:jc w:val="left"/>
            </w:pPr>
            <w:r>
              <w:t xml:space="preserve">ITAR restricts defense technology export. Five Eyes intelligence sharing has exemptions but AI systems with embedded machine learning models create</w:t>
            </w:r>
            <w:r>
              <w:t xml:space="preserve"> </w:t>
            </w:r>
            <w:r>
              <w:t xml:space="preserve">“</w:t>
            </w:r>
            <w:r>
              <w:t xml:space="preserve">deemed export</w:t>
            </w:r>
            <w:r>
              <w:t xml:space="preserve">”</w:t>
            </w:r>
            <w:r>
              <w:t xml:space="preserve"> </w:t>
            </w:r>
            <w:r>
              <w:t xml:space="preserve">issues. Each partner has different classification systems. UK’s SOCI Act applies to hosting infrastructure. Canada’s export controls under Export and Import Permits Act.</w:t>
            </w:r>
          </w:p>
        </w:tc>
      </w:tr>
      <w:tr>
        <w:tc>
          <w:tcPr/>
          <w:p>
            <w:pPr>
              <w:pStyle w:val="Compact"/>
              <w:jc w:val="left"/>
            </w:pPr>
            <w:r>
              <w:rPr>
                <w:bCs/>
                <w:b/>
              </w:rPr>
              <w:t xml:space="preserve">Compliance Requirements</w:t>
            </w:r>
          </w:p>
        </w:tc>
        <w:tc>
          <w:tcPr/>
          <w:p>
            <w:pPr>
              <w:pStyle w:val="Compact"/>
              <w:jc w:val="left"/>
            </w:pPr>
            <w:r>
              <w:t xml:space="preserve">ITAR license for each technology transfer; UK security classification harmonization; SOCI Act compliance for Australian-hosted components; Canadian EIPA permits; NZ Customs Act compliance; unified development environment with jurisdiction-specific access controls</w:t>
            </w:r>
          </w:p>
        </w:tc>
      </w:tr>
      <w:tr>
        <w:tc>
          <w:tcPr/>
          <w:p>
            <w:pPr>
              <w:pStyle w:val="Compact"/>
              <w:jc w:val="left"/>
            </w:pPr>
            <w:r>
              <w:rPr>
                <w:bCs/>
                <w:b/>
              </w:rPr>
              <w:t xml:space="preserve">Simulation Parameters</w:t>
            </w:r>
          </w:p>
        </w:tc>
        <w:tc>
          <w:tcPr/>
          <w:p>
            <w:pPr>
              <w:pStyle w:val="Compact"/>
              <w:jc w:val="left"/>
            </w:pPr>
            <w:r>
              <w:t xml:space="preserve">(1) ITAR licensing timeline, (2) Classification harmonization complexity, (3) Multi-jurisdiction secure dev environment cost, (4) Technology refresh cycle differential</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defense) → multi-civilization alliance</w:t>
            </w:r>
          </w:p>
        </w:tc>
      </w:tr>
      <w:tr>
        <w:tc>
          <w:tcPr/>
          <w:p>
            <w:pPr>
              <w:pStyle w:val="Compact"/>
              <w:jc w:val="left"/>
            </w:pPr>
            <w:r>
              <w:rPr>
                <w:bCs/>
                <w:b/>
              </w:rPr>
              <w:t xml:space="preserve">Priority Score</w:t>
            </w:r>
          </w:p>
        </w:tc>
        <w:tc>
          <w:tcPr/>
          <w:p>
            <w:pPr>
              <w:pStyle w:val="Compact"/>
              <w:jc w:val="left"/>
            </w:pPr>
            <w:r>
              <w:t xml:space="preserve">8.7/10</w:t>
            </w:r>
          </w:p>
        </w:tc>
      </w:tr>
    </w:tbl>
    <w:p>
      <w:r>
        <w:pict>
          <v:rect style="width:0;height:1.5pt" o:hralign="center" o:hrstd="t" o:hr="t"/>
        </w:pict>
      </w:r>
    </w:p>
    <w:bookmarkEnd w:id="58"/>
    <w:bookmarkStart w:id="59" w:name="X8a11b763a71f42d67cc103d4c4e6bffe620e319"/>
    <w:p>
      <w:pPr>
        <w:pStyle w:val="Heading3"/>
      </w:pPr>
      <w:r>
        <w:t xml:space="preserve">SCENARIO 15: Global Bank Post-Quantum Cryptography Migration</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Multi-jurisdiction (US, EU, UK, Singapore)</w:t>
            </w:r>
          </w:p>
        </w:tc>
      </w:tr>
      <w:tr>
        <w:tc>
          <w:tcPr/>
          <w:p>
            <w:pPr>
              <w:pStyle w:val="Compact"/>
              <w:jc w:val="left"/>
            </w:pPr>
            <w:r>
              <w:rPr>
                <w:bCs/>
                <w:b/>
              </w:rPr>
              <w:t xml:space="preserve">Destination</w:t>
            </w:r>
          </w:p>
        </w:tc>
        <w:tc>
          <w:tcPr/>
          <w:p>
            <w:pPr>
              <w:pStyle w:val="Compact"/>
              <w:jc w:val="left"/>
            </w:pPr>
            <w:r>
              <w:t xml:space="preserve">Same jurisdictions (simultaneous migration)</w:t>
            </w:r>
          </w:p>
        </w:tc>
      </w:tr>
      <w:tr>
        <w:tc>
          <w:tcPr/>
          <w:p>
            <w:pPr>
              <w:pStyle w:val="Compact"/>
              <w:jc w:val="left"/>
            </w:pPr>
            <w:r>
              <w:rPr>
                <w:bCs/>
                <w:b/>
              </w:rPr>
              <w:t xml:space="preserve">Industry</w:t>
            </w:r>
          </w:p>
        </w:tc>
        <w:tc>
          <w:tcPr/>
          <w:p>
            <w:pPr>
              <w:pStyle w:val="Compact"/>
              <w:jc w:val="left"/>
            </w:pPr>
            <w:r>
              <w:t xml:space="preserve">Cybersecurity AI (#19), Quantum Computing (#27), Fintech (#18)</w:t>
            </w:r>
          </w:p>
        </w:tc>
      </w:tr>
      <w:tr>
        <w:tc>
          <w:tcPr/>
          <w:p>
            <w:pPr>
              <w:pStyle w:val="Compact"/>
              <w:jc w:val="left"/>
            </w:pPr>
            <w:r>
              <w:rPr>
                <w:bCs/>
                <w:b/>
              </w:rPr>
              <w:t xml:space="preserve">Conflict</w:t>
            </w:r>
          </w:p>
        </w:tc>
        <w:tc>
          <w:tcPr/>
          <w:p>
            <w:pPr>
              <w:pStyle w:val="Compact"/>
              <w:jc w:val="left"/>
            </w:pPr>
            <w:r>
              <w:t xml:space="preserve">NIST FIPS 203-205 (US) mandates PQC migration by 2030 (CNSA 2.0). EU’s ETSI TS 119 312 has different algorithm preferences. UK’s NCSC recommends same NIST standards but with Category 3+ baseline. Singapore has its own NQCH framework. Legacy PKI infrastructure spans all jurisdictions with different crypto dependencies.</w:t>
            </w:r>
          </w:p>
        </w:tc>
      </w:tr>
      <w:tr>
        <w:tc>
          <w:tcPr/>
          <w:p>
            <w:pPr>
              <w:pStyle w:val="Compact"/>
              <w:jc w:val="left"/>
            </w:pPr>
            <w:r>
              <w:rPr>
                <w:bCs/>
                <w:b/>
              </w:rPr>
              <w:t xml:space="preserve">Compliance Requirements</w:t>
            </w:r>
          </w:p>
        </w:tc>
        <w:tc>
          <w:tcPr/>
          <w:p>
            <w:pPr>
              <w:pStyle w:val="Compact"/>
              <w:jc w:val="left"/>
            </w:pPr>
            <w:r>
              <w:t xml:space="preserve">NIST FIPS 203-205 compliance; ETSI TS 119 312 alignment; CNSA 2.0 for government-facing systems; NCSC Category 3+ baseline; hybrid classical-PQC deployment; cross-jurisdiction key ceremony coordination; $50-100M estimated cost for large bank</w:t>
            </w:r>
          </w:p>
        </w:tc>
      </w:tr>
      <w:tr>
        <w:tc>
          <w:tcPr/>
          <w:p>
            <w:pPr>
              <w:pStyle w:val="Compact"/>
              <w:jc w:val="left"/>
            </w:pPr>
            <w:r>
              <w:rPr>
                <w:bCs/>
                <w:b/>
              </w:rPr>
              <w:t xml:space="preserve">Simulation Parameters</w:t>
            </w:r>
          </w:p>
        </w:tc>
        <w:tc>
          <w:tcPr/>
          <w:p>
            <w:pPr>
              <w:pStyle w:val="Compact"/>
              <w:jc w:val="left"/>
            </w:pPr>
            <w:r>
              <w:t xml:space="preserve">(1) Migration cost by jurisdiction, (2) Performance overhead of PQC algorithms, (3) Interoperability testing matrix, (4) Compliance timeline alignment</w:t>
            </w:r>
          </w:p>
        </w:tc>
      </w:tr>
      <w:tr>
        <w:tc>
          <w:tcPr/>
          <w:p>
            <w:pPr>
              <w:pStyle w:val="Compact"/>
              <w:jc w:val="left"/>
            </w:pPr>
            <w:r>
              <w:rPr>
                <w:bCs/>
                <w:b/>
              </w:rPr>
              <w:t xml:space="preserve">MEOK Civilization</w:t>
            </w:r>
          </w:p>
        </w:tc>
        <w:tc>
          <w:tcPr/>
          <w:p>
            <w:pPr>
              <w:pStyle w:val="Compact"/>
              <w:jc w:val="left"/>
            </w:pPr>
            <w:r>
              <w:t xml:space="preserve">All civilizations (global migration scenario)</w:t>
            </w:r>
          </w:p>
        </w:tc>
      </w:tr>
      <w:tr>
        <w:tc>
          <w:tcPr/>
          <w:p>
            <w:pPr>
              <w:pStyle w:val="Compact"/>
              <w:jc w:val="left"/>
            </w:pPr>
            <w:r>
              <w:rPr>
                <w:bCs/>
                <w:b/>
              </w:rPr>
              <w:t xml:space="preserve">Priority Score</w:t>
            </w:r>
          </w:p>
        </w:tc>
        <w:tc>
          <w:tcPr/>
          <w:p>
            <w:pPr>
              <w:pStyle w:val="Compact"/>
              <w:jc w:val="left"/>
            </w:pPr>
            <w:r>
              <w:t xml:space="preserve">9.0/10</w:t>
            </w:r>
          </w:p>
        </w:tc>
      </w:tr>
    </w:tbl>
    <w:p>
      <w:r>
        <w:pict>
          <v:rect style="width:0;height:1.5pt" o:hralign="center" o:hrstd="t" o:hr="t"/>
        </w:pict>
      </w:r>
    </w:p>
    <w:bookmarkEnd w:id="59"/>
    <w:bookmarkStart w:id="60" w:name="Xe42c3b9c8fef95713f5fa24614646734cf4c9a5"/>
    <w:p>
      <w:pPr>
        <w:pStyle w:val="Heading3"/>
      </w:pPr>
      <w:r>
        <w:t xml:space="preserve">SCENARIO 16: Metaverse Platform with Global Child Users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(COPPA, KOSA pending, state laws)</w:t>
            </w:r>
          </w:p>
        </w:tc>
      </w:tr>
      <w:tr>
        <w:tc>
          <w:tcPr/>
          <w:p>
            <w:pPr>
              <w:pStyle w:val="Compact"/>
              <w:jc w:val="left"/>
            </w:pPr>
            <w:r>
              <w:rPr>
                <w:bCs/>
                <w:b/>
              </w:rPr>
              <w:t xml:space="preserve">Destination</w:t>
            </w:r>
          </w:p>
        </w:tc>
        <w:tc>
          <w:tcPr/>
          <w:p>
            <w:pPr>
              <w:pStyle w:val="Compact"/>
              <w:jc w:val="left"/>
            </w:pPr>
            <w:r>
              <w:t xml:space="preserve">EU, UK, China, South Korea simultaneously</w:t>
            </w:r>
          </w:p>
        </w:tc>
      </w:tr>
      <w:tr>
        <w:tc>
          <w:tcPr/>
          <w:p>
            <w:pPr>
              <w:pStyle w:val="Compact"/>
              <w:jc w:val="left"/>
            </w:pPr>
            <w:r>
              <w:rPr>
                <w:bCs/>
                <w:b/>
              </w:rPr>
              <w:t xml:space="preserve">Industry</w:t>
            </w:r>
          </w:p>
        </w:tc>
        <w:tc>
          <w:tcPr/>
          <w:p>
            <w:pPr>
              <w:pStyle w:val="Compact"/>
              <w:jc w:val="left"/>
            </w:pPr>
            <w:r>
              <w:t xml:space="preserve">Virtual Economies &amp; Metaverse (#36), Gaming AI (#31), Social Media (#33)</w:t>
            </w:r>
          </w:p>
        </w:tc>
      </w:tr>
      <w:tr>
        <w:tc>
          <w:tcPr/>
          <w:p>
            <w:pPr>
              <w:pStyle w:val="Compact"/>
              <w:jc w:val="left"/>
            </w:pPr>
            <w:r>
              <w:rPr>
                <w:bCs/>
                <w:b/>
              </w:rPr>
              <w:t xml:space="preserve">Conflict</w:t>
            </w:r>
          </w:p>
        </w:tc>
        <w:tc>
          <w:tcPr/>
          <w:p>
            <w:pPr>
              <w:pStyle w:val="Compact"/>
              <w:jc w:val="left"/>
            </w:pPr>
            <w:r>
              <w:t xml:space="preserve">COPPA (US): parental consent for under-13. EU: DSA prohibits targeted ads to minors; GDPR special protections. UK: Online Safety Act age assurance. China: NPPA gaming time limits (1 hour/day for minors). Korea: Game Industry Act anti-addiction. COMPLETE incompatibility of age verification, content moderation, and data handling.</w:t>
            </w:r>
          </w:p>
        </w:tc>
      </w:tr>
      <w:tr>
        <w:tc>
          <w:tcPr/>
          <w:p>
            <w:pPr>
              <w:pStyle w:val="Compact"/>
              <w:jc w:val="left"/>
            </w:pPr>
            <w:r>
              <w:rPr>
                <w:bCs/>
                <w:b/>
              </w:rPr>
              <w:t xml:space="preserve">Compliance Requirements</w:t>
            </w:r>
          </w:p>
        </w:tc>
        <w:tc>
          <w:tcPr/>
          <w:p>
            <w:pPr>
              <w:pStyle w:val="Compact"/>
              <w:jc w:val="left"/>
            </w:pPr>
            <w:r>
              <w:t xml:space="preserve">Jurisdiction-specific age gates; EU: no AI profiling for minors; UK: age assurance technology; China: NPPA real-name verification integration; Korea: shutdown timer integration; COPPA parental consent (US); separate data residency per jurisdiction</w:t>
            </w:r>
          </w:p>
        </w:tc>
      </w:tr>
      <w:tr>
        <w:tc>
          <w:tcPr/>
          <w:p>
            <w:pPr>
              <w:pStyle w:val="Compact"/>
              <w:jc w:val="left"/>
            </w:pPr>
            <w:r>
              <w:rPr>
                <w:bCs/>
                <w:b/>
              </w:rPr>
              <w:t xml:space="preserve">Simulation Parameters</w:t>
            </w:r>
          </w:p>
        </w:tc>
        <w:tc>
          <w:tcPr/>
          <w:p>
            <w:pPr>
              <w:pStyle w:val="Compact"/>
              <w:jc w:val="left"/>
            </w:pPr>
            <w:r>
              <w:t xml:space="preserve">(1) Age verification false positive rate by system, (2) Revenue impact of restrictions, (3) Content moderation cost per jurisdiction, (4) User churn from restrictions</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platform) → ALL civilizations simultaneously</w:t>
            </w:r>
          </w:p>
        </w:tc>
      </w:tr>
      <w:tr>
        <w:tc>
          <w:tcPr/>
          <w:p>
            <w:pPr>
              <w:pStyle w:val="Compact"/>
              <w:jc w:val="left"/>
            </w:pPr>
            <w:r>
              <w:rPr>
                <w:bCs/>
                <w:b/>
              </w:rPr>
              <w:t xml:space="preserve">Priority Score</w:t>
            </w:r>
          </w:p>
        </w:tc>
        <w:tc>
          <w:tcPr/>
          <w:p>
            <w:pPr>
              <w:pStyle w:val="Compact"/>
              <w:jc w:val="left"/>
            </w:pPr>
            <w:r>
              <w:t xml:space="preserve">8.4/10</w:t>
            </w:r>
          </w:p>
        </w:tc>
      </w:tr>
    </w:tbl>
    <w:p>
      <w:r>
        <w:pict>
          <v:rect style="width:0;height:1.5pt" o:hralign="center" o:hrstd="t" o:hr="t"/>
        </w:pict>
      </w:r>
    </w:p>
    <w:bookmarkEnd w:id="60"/>
    <w:bookmarkStart w:id="61" w:name="Xe80d7ee833bb041e0e18c288d7fa37fe678705d"/>
    <w:p>
      <w:pPr>
        <w:pStyle w:val="Heading3"/>
      </w:pPr>
      <w:r>
        <w:t xml:space="preserve">SCENARIO 17: Cross-Border AI Legal Research Platform</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(Harvey AI model, no federal AI law)</w:t>
            </w:r>
          </w:p>
        </w:tc>
      </w:tr>
      <w:tr>
        <w:tc>
          <w:tcPr/>
          <w:p>
            <w:pPr>
              <w:pStyle w:val="Compact"/>
              <w:jc w:val="left"/>
            </w:pPr>
            <w:r>
              <w:rPr>
                <w:bCs/>
                <w:b/>
              </w:rPr>
              <w:t xml:space="preserve">Destination</w:t>
            </w:r>
          </w:p>
        </w:tc>
        <w:tc>
          <w:tcPr/>
          <w:p>
            <w:pPr>
              <w:pStyle w:val="Compact"/>
              <w:jc w:val="left"/>
            </w:pPr>
            <w:r>
              <w:t xml:space="preserve">EU (AI Act HIGH-RISK for legal), UK, Singapore</w:t>
            </w:r>
          </w:p>
        </w:tc>
      </w:tr>
      <w:tr>
        <w:tc>
          <w:tcPr/>
          <w:p>
            <w:pPr>
              <w:pStyle w:val="Compact"/>
              <w:jc w:val="left"/>
            </w:pPr>
            <w:r>
              <w:rPr>
                <w:bCs/>
                <w:b/>
              </w:rPr>
              <w:t xml:space="preserve">Industry</w:t>
            </w:r>
          </w:p>
        </w:tc>
        <w:tc>
          <w:tcPr/>
          <w:p>
            <w:pPr>
              <w:pStyle w:val="Compact"/>
              <w:jc w:val="left"/>
            </w:pPr>
            <w:r>
              <w:t xml:space="preserve">LegalTech &amp; AI Law (#37)</w:t>
            </w:r>
          </w:p>
        </w:tc>
      </w:tr>
      <w:tr>
        <w:tc>
          <w:tcPr/>
          <w:p>
            <w:pPr>
              <w:pStyle w:val="Compact"/>
              <w:jc w:val="left"/>
            </w:pPr>
            <w:r>
              <w:rPr>
                <w:bCs/>
                <w:b/>
              </w:rPr>
              <w:t xml:space="preserve">Conflict</w:t>
            </w:r>
          </w:p>
        </w:tc>
        <w:tc>
          <w:tcPr/>
          <w:p>
            <w:pPr>
              <w:pStyle w:val="Compact"/>
              <w:jc w:val="left"/>
            </w:pPr>
            <w:r>
              <w:t xml:space="preserve">EU AI Act classifies AI used in</w:t>
            </w:r>
            <w:r>
              <w:t xml:space="preserve"> </w:t>
            </w:r>
            <w:r>
              <w:t xml:space="preserve">“</w:t>
            </w:r>
            <w:r>
              <w:t xml:space="preserve">administration of justice</w:t>
            </w:r>
            <w:r>
              <w:t xml:space="preserve">”</w:t>
            </w:r>
            <w:r>
              <w:t xml:space="preserve"> </w:t>
            </w:r>
            <w:r>
              <w:t xml:space="preserve">as HIGH-RISK. US legal AI (Harvey AI) has no federal compliance requirements. GDPR applies to client documents containing EU personal data. UK has similar requirements. Singapore requires alignment with Model AI Governance Framework.</w:t>
            </w:r>
          </w:p>
        </w:tc>
      </w:tr>
      <w:tr>
        <w:tc>
          <w:tcPr/>
          <w:p>
            <w:pPr>
              <w:pStyle w:val="Compact"/>
              <w:jc w:val="left"/>
            </w:pPr>
            <w:r>
              <w:rPr>
                <w:bCs/>
                <w:b/>
              </w:rPr>
              <w:t xml:space="preserve">Compliance Requirements</w:t>
            </w:r>
          </w:p>
        </w:tc>
        <w:tc>
          <w:tcPr/>
          <w:p>
            <w:pPr>
              <w:pStyle w:val="Compact"/>
              <w:jc w:val="left"/>
            </w:pPr>
            <w:r>
              <w:t xml:space="preserve">EU AI Act high-risk compliance for EU clients; risk management system; data quality assurance; human oversight (lawyer review); transparency to clients; GDPR for any EU personal data in documents; UK equivalent; Singapore PDPA alignment</w:t>
            </w:r>
          </w:p>
        </w:tc>
      </w:tr>
      <w:tr>
        <w:tc>
          <w:tcPr/>
          <w:p>
            <w:pPr>
              <w:pStyle w:val="Compact"/>
              <w:jc w:val="left"/>
            </w:pPr>
            <w:r>
              <w:rPr>
                <w:bCs/>
                <w:b/>
              </w:rPr>
              <w:t xml:space="preserve">Simulation Parameters</w:t>
            </w:r>
          </w:p>
        </w:tc>
        <w:tc>
          <w:tcPr/>
          <w:p>
            <w:pPr>
              <w:pStyle w:val="Compact"/>
              <w:jc w:val="left"/>
            </w:pPr>
            <w:r>
              <w:t xml:space="preserve">(1) Human oversight requirement impact on productivity, (2) Compliance cost per jurisdiction, (3) Client disclosure acceptance rate, (4) Model accuracy with explainability constraints</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LegalTech) →</w:t>
            </w:r>
            <w:r>
              <w:t xml:space="preserve"> </w:t>
            </w:r>
            <w:r>
              <w:rPr>
                <w:bCs/>
                <w:b/>
              </w:rPr>
              <w:t xml:space="preserve">Atlantic Compact</w:t>
            </w:r>
            <w:r>
              <w:t xml:space="preserve"> </w:t>
            </w:r>
            <w:r>
              <w:t xml:space="preserve">+</w:t>
            </w:r>
            <w:r>
              <w:t xml:space="preserve"> </w:t>
            </w:r>
            <w:r>
              <w:rPr>
                <w:bCs/>
                <w:b/>
              </w:rPr>
              <w:t xml:space="preserve">Singularity Core</w:t>
            </w:r>
          </w:p>
        </w:tc>
      </w:tr>
      <w:tr>
        <w:tc>
          <w:tcPr/>
          <w:p>
            <w:pPr>
              <w:pStyle w:val="Compact"/>
              <w:jc w:val="left"/>
            </w:pPr>
            <w:r>
              <w:rPr>
                <w:bCs/>
                <w:b/>
              </w:rPr>
              <w:t xml:space="preserve">Priority Score</w:t>
            </w:r>
          </w:p>
        </w:tc>
        <w:tc>
          <w:tcPr/>
          <w:p>
            <w:pPr>
              <w:pStyle w:val="Compact"/>
              <w:jc w:val="left"/>
            </w:pPr>
            <w:r>
              <w:t xml:space="preserve">8.9/10</w:t>
            </w:r>
          </w:p>
        </w:tc>
      </w:tr>
    </w:tbl>
    <w:p>
      <w:r>
        <w:pict>
          <v:rect style="width:0;height:1.5pt" o:hralign="center" o:hrstd="t" o:hr="t"/>
        </w:pict>
      </w:r>
    </w:p>
    <w:bookmarkEnd w:id="61"/>
    <w:bookmarkStart w:id="62" w:name="Xb1fafaf5b55fa399fe94d10d1181ab3a9e38c44"/>
    <w:p>
      <w:pPr>
        <w:pStyle w:val="Heading3"/>
      </w:pPr>
      <w:r>
        <w:t xml:space="preserve">SCENARIO 18: Multi-Jurisdiction KYC for Global Bank</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Multi-jurisdiction onboarding</w:t>
            </w:r>
          </w:p>
        </w:tc>
      </w:tr>
      <w:tr>
        <w:tc>
          <w:tcPr/>
          <w:p>
            <w:pPr>
              <w:pStyle w:val="Compact"/>
              <w:jc w:val="left"/>
            </w:pPr>
            <w:r>
              <w:rPr>
                <w:bCs/>
                <w:b/>
              </w:rPr>
              <w:t xml:space="preserve">Destination</w:t>
            </w:r>
          </w:p>
        </w:tc>
        <w:tc>
          <w:tcPr/>
          <w:p>
            <w:pPr>
              <w:pStyle w:val="Compact"/>
              <w:jc w:val="left"/>
            </w:pPr>
            <w:r>
              <w:t xml:space="preserve">50+ countries simultaneously</w:t>
            </w:r>
          </w:p>
        </w:tc>
      </w:tr>
      <w:tr>
        <w:tc>
          <w:tcPr/>
          <w:p>
            <w:pPr>
              <w:pStyle w:val="Compact"/>
              <w:jc w:val="left"/>
            </w:pPr>
            <w:r>
              <w:rPr>
                <w:bCs/>
                <w:b/>
              </w:rPr>
              <w:t xml:space="preserve">Industry</w:t>
            </w:r>
          </w:p>
        </w:tc>
        <w:tc>
          <w:tcPr/>
          <w:p>
            <w:pPr>
              <w:pStyle w:val="Compact"/>
              <w:jc w:val="left"/>
            </w:pPr>
            <w:r>
              <w:t xml:space="preserve">RegTech (#17), AI in Banking (#13), Fintech (#18)</w:t>
            </w:r>
          </w:p>
        </w:tc>
      </w:tr>
      <w:tr>
        <w:tc>
          <w:tcPr/>
          <w:p>
            <w:pPr>
              <w:pStyle w:val="Compact"/>
              <w:jc w:val="left"/>
            </w:pPr>
            <w:r>
              <w:rPr>
                <w:bCs/>
                <w:b/>
              </w:rPr>
              <w:t xml:space="preserve">Conflict</w:t>
            </w:r>
          </w:p>
        </w:tc>
        <w:tc>
          <w:tcPr/>
          <w:p>
            <w:pPr>
              <w:pStyle w:val="Compact"/>
              <w:jc w:val="left"/>
            </w:pPr>
            <w:r>
              <w:t xml:space="preserve">EU AMLD6 requires beneficial ownership registers. US CDD Rule has different requirements. Singapore MAS Notice 626 has specific guidance. Japan requires risk-based AML. Each jurisdiction has different sanctions lists (OFAC, UN, EU, HMT), PEP databases, and adverse media sources.</w:t>
            </w:r>
          </w:p>
        </w:tc>
      </w:tr>
      <w:tr>
        <w:tc>
          <w:tcPr/>
          <w:p>
            <w:pPr>
              <w:pStyle w:val="Compact"/>
              <w:jc w:val="left"/>
            </w:pPr>
            <w:r>
              <w:rPr>
                <w:bCs/>
                <w:b/>
              </w:rPr>
              <w:t xml:space="preserve">Compliance Requirements</w:t>
            </w:r>
          </w:p>
        </w:tc>
        <w:tc>
          <w:tcPr/>
          <w:p>
            <w:pPr>
              <w:pStyle w:val="Compact"/>
              <w:jc w:val="left"/>
            </w:pPr>
            <w:r>
              <w:t xml:space="preserve">Aggregate sanctions lists; multi-PEP database screening; local adverse media; jurisdiction-specific KYC forms; Beneficial Ownership verification per local rules; ongoing monitoring; Suspicious Activity/Transaction reporting to correct FIU in each jurisdiction</w:t>
            </w:r>
          </w:p>
        </w:tc>
      </w:tr>
      <w:tr>
        <w:tc>
          <w:tcPr/>
          <w:p>
            <w:pPr>
              <w:pStyle w:val="Compact"/>
              <w:jc w:val="left"/>
            </w:pPr>
            <w:r>
              <w:rPr>
                <w:bCs/>
                <w:b/>
              </w:rPr>
              <w:t xml:space="preserve">Simulation Parameters</w:t>
            </w:r>
          </w:p>
        </w:tc>
        <w:tc>
          <w:tcPr/>
          <w:p>
            <w:pPr>
              <w:pStyle w:val="Compact"/>
              <w:jc w:val="left"/>
            </w:pPr>
            <w:r>
              <w:t xml:space="preserve">(1) False positive rate by jurisdiction, (2) Onboarding time per country, (3) Compliance cost per customer, (4) Regulatory change tracking burden</w:t>
            </w:r>
          </w:p>
        </w:tc>
      </w:tr>
      <w:tr>
        <w:tc>
          <w:tcPr/>
          <w:p>
            <w:pPr>
              <w:pStyle w:val="Compact"/>
              <w:jc w:val="left"/>
            </w:pPr>
            <w:r>
              <w:rPr>
                <w:bCs/>
                <w:b/>
              </w:rPr>
              <w:t xml:space="preserve">MEOK Civilization</w:t>
            </w:r>
          </w:p>
        </w:tc>
        <w:tc>
          <w:tcPr/>
          <w:p>
            <w:pPr>
              <w:pStyle w:val="Compact"/>
              <w:jc w:val="left"/>
            </w:pPr>
            <w:r>
              <w:t xml:space="preserve">All civilizations (global compliance)</w:t>
            </w:r>
          </w:p>
        </w:tc>
      </w:tr>
      <w:tr>
        <w:tc>
          <w:tcPr/>
          <w:p>
            <w:pPr>
              <w:pStyle w:val="Compact"/>
              <w:jc w:val="left"/>
            </w:pPr>
            <w:r>
              <w:rPr>
                <w:bCs/>
                <w:b/>
              </w:rPr>
              <w:t xml:space="preserve">Priority Score</w:t>
            </w:r>
          </w:p>
        </w:tc>
        <w:tc>
          <w:tcPr/>
          <w:p>
            <w:pPr>
              <w:pStyle w:val="Compact"/>
              <w:jc w:val="left"/>
            </w:pPr>
            <w:r>
              <w:t xml:space="preserve">8.2/10</w:t>
            </w:r>
          </w:p>
        </w:tc>
      </w:tr>
    </w:tbl>
    <w:p>
      <w:r>
        <w:pict>
          <v:rect style="width:0;height:1.5pt" o:hralign="center" o:hrstd="t" o:hr="t"/>
        </w:pict>
      </w:r>
    </w:p>
    <w:bookmarkEnd w:id="62"/>
    <w:bookmarkStart w:id="63" w:name="X77d3e6fc76c8e770c85a6d85417e55ce642c06e"/>
    <w:p>
      <w:pPr>
        <w:pStyle w:val="Heading3"/>
      </w:pPr>
      <w:r>
        <w:t xml:space="preserve">SCENARIO 19: AI-Generated Content Platform (Music/Video) EU-US-India</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(Suno/Udio AI music, DMCA safe harbor)</w:t>
            </w:r>
          </w:p>
        </w:tc>
      </w:tr>
      <w:tr>
        <w:tc>
          <w:tcPr/>
          <w:p>
            <w:pPr>
              <w:pStyle w:val="Compact"/>
              <w:jc w:val="left"/>
            </w:pPr>
            <w:r>
              <w:rPr>
                <w:bCs/>
                <w:b/>
              </w:rPr>
              <w:t xml:space="preserve">Destination</w:t>
            </w:r>
          </w:p>
        </w:tc>
        <w:tc>
          <w:tcPr/>
          <w:p>
            <w:pPr>
              <w:pStyle w:val="Compact"/>
              <w:jc w:val="left"/>
            </w:pPr>
            <w:r>
              <w:t xml:space="preserve">EU (Copyright Directive Art. 17), India (IT Rules 2026)</w:t>
            </w:r>
          </w:p>
        </w:tc>
      </w:tr>
      <w:tr>
        <w:tc>
          <w:tcPr/>
          <w:p>
            <w:pPr>
              <w:pStyle w:val="Compact"/>
              <w:jc w:val="left"/>
            </w:pPr>
            <w:r>
              <w:rPr>
                <w:bCs/>
                <w:b/>
              </w:rPr>
              <w:t xml:space="preserve">Industry</w:t>
            </w:r>
          </w:p>
        </w:tc>
        <w:tc>
          <w:tcPr/>
          <w:p>
            <w:pPr>
              <w:pStyle w:val="Compact"/>
              <w:jc w:val="left"/>
            </w:pPr>
            <w:r>
              <w:t xml:space="preserve">Streaming &amp; Entertainment AI (#34), Social Media (#33)</w:t>
            </w:r>
          </w:p>
        </w:tc>
      </w:tr>
      <w:tr>
        <w:tc>
          <w:tcPr/>
          <w:p>
            <w:pPr>
              <w:pStyle w:val="Compact"/>
              <w:jc w:val="left"/>
            </w:pPr>
            <w:r>
              <w:rPr>
                <w:bCs/>
                <w:b/>
              </w:rPr>
              <w:t xml:space="preserve">Conflict</w:t>
            </w:r>
          </w:p>
        </w:tc>
        <w:tc>
          <w:tcPr/>
          <w:p>
            <w:pPr>
              <w:pStyle w:val="Compact"/>
              <w:jc w:val="left"/>
            </w:pPr>
            <w:r>
              <w:t xml:space="preserve">EU Copyright Directive Art. 17 requires PROACTIVE licensing with rights holders. US DMCA permits REACTIVE takedown. India IT Rules 2026 requires 2-hour deepfake takedown and mandatory SGI labeling. Three fundamentally different content regulation philosophies.</w:t>
            </w:r>
          </w:p>
        </w:tc>
      </w:tr>
      <w:tr>
        <w:tc>
          <w:tcPr/>
          <w:p>
            <w:pPr>
              <w:pStyle w:val="Compact"/>
              <w:jc w:val="left"/>
            </w:pPr>
            <w:r>
              <w:rPr>
                <w:bCs/>
                <w:b/>
              </w:rPr>
              <w:t xml:space="preserve">Compliance Requirements</w:t>
            </w:r>
          </w:p>
        </w:tc>
        <w:tc>
          <w:tcPr/>
          <w:p>
            <w:pPr>
              <w:pStyle w:val="Compact"/>
              <w:jc w:val="left"/>
            </w:pPr>
            <w:r>
              <w:t xml:space="preserve">EU: licensing agreements with rights holders (GEMA, SACEM, etc.); upload filters; US: DMCA agent, takedown response; India: SGI labeling for all AI content, 2-hour takedown SLA, provenance metadata (C2PA); separate content moderation teams per jurisdiction</w:t>
            </w:r>
          </w:p>
        </w:tc>
      </w:tr>
      <w:tr>
        <w:tc>
          <w:tcPr/>
          <w:p>
            <w:pPr>
              <w:pStyle w:val="Compact"/>
              <w:jc w:val="left"/>
            </w:pPr>
            <w:r>
              <w:rPr>
                <w:bCs/>
                <w:b/>
              </w:rPr>
              <w:t xml:space="preserve">Simulation Parameters</w:t>
            </w:r>
          </w:p>
        </w:tc>
        <w:tc>
          <w:tcPr/>
          <w:p>
            <w:pPr>
              <w:pStyle w:val="Compact"/>
              <w:jc w:val="left"/>
            </w:pPr>
            <w:r>
              <w:t xml:space="preserve">(1) Licensing cost by territory, (2) Content moderation cost per jurisdiction, (3) False takedown rate, (4) Creator satisfaction by market</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platform) →</w:t>
            </w:r>
            <w:r>
              <w:t xml:space="preserve"> </w:t>
            </w:r>
            <w:r>
              <w:rPr>
                <w:bCs/>
                <w:b/>
              </w:rPr>
              <w:t xml:space="preserve">Atlantic Compact</w:t>
            </w:r>
            <w:r>
              <w:t xml:space="preserve"> </w:t>
            </w:r>
            <w:r>
              <w:t xml:space="preserve">+</w:t>
            </w:r>
            <w:r>
              <w:t xml:space="preserve"> </w:t>
            </w:r>
            <w:r>
              <w:rPr>
                <w:bCs/>
                <w:b/>
              </w:rPr>
              <w:t xml:space="preserve">Bharat Complex</w:t>
            </w:r>
          </w:p>
        </w:tc>
      </w:tr>
      <w:tr>
        <w:tc>
          <w:tcPr/>
          <w:p>
            <w:pPr>
              <w:pStyle w:val="Compact"/>
              <w:jc w:val="left"/>
            </w:pPr>
            <w:r>
              <w:rPr>
                <w:bCs/>
                <w:b/>
              </w:rPr>
              <w:t xml:space="preserve">Priority Score</w:t>
            </w:r>
          </w:p>
        </w:tc>
        <w:tc>
          <w:tcPr/>
          <w:p>
            <w:pPr>
              <w:pStyle w:val="Compact"/>
              <w:jc w:val="left"/>
            </w:pPr>
            <w:r>
              <w:t xml:space="preserve">8.1/10</w:t>
            </w:r>
          </w:p>
        </w:tc>
      </w:tr>
    </w:tbl>
    <w:p>
      <w:r>
        <w:pict>
          <v:rect style="width:0;height:1.5pt" o:hralign="center" o:hrstd="t" o:hr="t"/>
        </w:pict>
      </w:r>
    </w:p>
    <w:bookmarkEnd w:id="63"/>
    <w:bookmarkStart w:id="64" w:name="X78c3e6c65da58de80e4500e46e75677b7decab2"/>
    <w:p>
      <w:pPr>
        <w:pStyle w:val="Heading3"/>
      </w:pPr>
      <w:r>
        <w:t xml:space="preserve">SCENARIO 20: PropTech AI Valuation Across US-UK-Germany-Australia</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(Fair Housing Act, NIST AI RMF)</w:t>
            </w:r>
          </w:p>
        </w:tc>
      </w:tr>
      <w:tr>
        <w:tc>
          <w:tcPr/>
          <w:p>
            <w:pPr>
              <w:pStyle w:val="Compact"/>
              <w:jc w:val="left"/>
            </w:pPr>
            <w:r>
              <w:rPr>
                <w:bCs/>
                <w:b/>
              </w:rPr>
              <w:t xml:space="preserve">Destination</w:t>
            </w:r>
          </w:p>
        </w:tc>
        <w:tc>
          <w:tcPr/>
          <w:p>
            <w:pPr>
              <w:pStyle w:val="Compact"/>
              <w:jc w:val="left"/>
            </w:pPr>
            <w:r>
              <w:t xml:space="preserve">UK, Germany/EU, Australia</w:t>
            </w:r>
          </w:p>
        </w:tc>
      </w:tr>
      <w:tr>
        <w:tc>
          <w:tcPr/>
          <w:p>
            <w:pPr>
              <w:pStyle w:val="Compact"/>
              <w:jc w:val="left"/>
            </w:pPr>
            <w:r>
              <w:rPr>
                <w:bCs/>
                <w:b/>
              </w:rPr>
              <w:t xml:space="preserve">Industry</w:t>
            </w:r>
          </w:p>
        </w:tc>
        <w:tc>
          <w:tcPr/>
          <w:p>
            <w:pPr>
              <w:pStyle w:val="Compact"/>
              <w:jc w:val="left"/>
            </w:pPr>
            <w:r>
              <w:t xml:space="preserve">Real Estate &amp; PropTech (#42)</w:t>
            </w:r>
          </w:p>
        </w:tc>
      </w:tr>
      <w:tr>
        <w:tc>
          <w:tcPr/>
          <w:p>
            <w:pPr>
              <w:pStyle w:val="Compact"/>
              <w:jc w:val="left"/>
            </w:pPr>
            <w:r>
              <w:rPr>
                <w:bCs/>
                <w:b/>
              </w:rPr>
              <w:t xml:space="preserve">Conflict</w:t>
            </w:r>
          </w:p>
        </w:tc>
        <w:tc>
          <w:tcPr/>
          <w:p>
            <w:pPr>
              <w:pStyle w:val="Compact"/>
              <w:jc w:val="left"/>
            </w:pPr>
            <w:r>
              <w:t xml:space="preserve">US Fair Housing Act prohibits discrimination in AI-driven lending/appraisal. EU AI Act classifies credit scoring as HIGH-RISK. UK GDPR restricts automated decision-making. Australia has consumer protection for AI valuations. Different data sources, market characteristics, and regulatory approaches in each.</w:t>
            </w:r>
          </w:p>
        </w:tc>
      </w:tr>
      <w:tr>
        <w:tc>
          <w:tcPr/>
          <w:p>
            <w:pPr>
              <w:pStyle w:val="Compact"/>
              <w:jc w:val="left"/>
            </w:pPr>
            <w:r>
              <w:rPr>
                <w:bCs/>
                <w:b/>
              </w:rPr>
              <w:t xml:space="preserve">Compliance Requirements</w:t>
            </w:r>
          </w:p>
        </w:tc>
        <w:tc>
          <w:tcPr/>
          <w:p>
            <w:pPr>
              <w:pStyle w:val="Compact"/>
              <w:jc w:val="left"/>
            </w:pPr>
            <w:r>
              <w:t xml:space="preserve">US: bias testing per FHA; EU: AI Act high-risk compliance (risk management, human oversight, data governance); UK: right to explanation for automated decisions; Australia: consumer protection compliance; separate AVM training per jurisdiction</w:t>
            </w:r>
          </w:p>
        </w:tc>
      </w:tr>
      <w:tr>
        <w:tc>
          <w:tcPr/>
          <w:p>
            <w:pPr>
              <w:pStyle w:val="Compact"/>
              <w:jc w:val="left"/>
            </w:pPr>
            <w:r>
              <w:rPr>
                <w:bCs/>
                <w:b/>
              </w:rPr>
              <w:t xml:space="preserve">Simulation Parameters</w:t>
            </w:r>
          </w:p>
        </w:tc>
        <w:tc>
          <w:tcPr/>
          <w:p>
            <w:pPr>
              <w:pStyle w:val="Compact"/>
              <w:jc w:val="left"/>
            </w:pPr>
            <w:r>
              <w:t xml:space="preserve">(1) AVM accuracy differential by market, (2) Bias testing cost per jurisdiction, (3) Human oversight integration cost, (4) Regulatory update frequency</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PropTech) →</w:t>
            </w:r>
            <w:r>
              <w:t xml:space="preserve"> </w:t>
            </w:r>
            <w:r>
              <w:rPr>
                <w:bCs/>
                <w:b/>
              </w:rPr>
              <w:t xml:space="preserve">Atlantic Compact</w:t>
            </w:r>
            <w:r>
              <w:t xml:space="preserve"> </w:t>
            </w:r>
            <w:r>
              <w:t xml:space="preserve">+</w:t>
            </w:r>
            <w:r>
              <w:t xml:space="preserve"> </w:t>
            </w:r>
            <w:r>
              <w:rPr>
                <w:bCs/>
                <w:b/>
              </w:rPr>
              <w:t xml:space="preserve">Pacific Rim</w:t>
            </w:r>
            <w:r>
              <w:t xml:space="preserve"> </w:t>
            </w:r>
            <w:r>
              <w:t xml:space="preserve">(Australia)</w:t>
            </w:r>
          </w:p>
        </w:tc>
      </w:tr>
      <w:tr>
        <w:tc>
          <w:tcPr/>
          <w:p>
            <w:pPr>
              <w:pStyle w:val="Compact"/>
              <w:jc w:val="left"/>
            </w:pPr>
            <w:r>
              <w:rPr>
                <w:bCs/>
                <w:b/>
              </w:rPr>
              <w:t xml:space="preserve">Priority Score</w:t>
            </w:r>
          </w:p>
        </w:tc>
        <w:tc>
          <w:tcPr/>
          <w:p>
            <w:pPr>
              <w:pStyle w:val="Compact"/>
              <w:jc w:val="left"/>
            </w:pPr>
            <w:r>
              <w:t xml:space="preserve">7.6/10</w:t>
            </w:r>
          </w:p>
        </w:tc>
      </w:tr>
    </w:tbl>
    <w:p>
      <w:r>
        <w:pict>
          <v:rect style="width:0;height:1.5pt" o:hralign="center" o:hrstd="t" o:hr="t"/>
        </w:pict>
      </w:r>
    </w:p>
    <w:bookmarkEnd w:id="64"/>
    <w:bookmarkStart w:id="65" w:name="X5d5b91386aac476f10e71a6a3a7eee8b5fa252c"/>
    <w:p>
      <w:pPr>
        <w:pStyle w:val="Heading3"/>
      </w:pPr>
      <w:r>
        <w:t xml:space="preserve">SCENARIO 21: EdTech AI Tutor in EU + US Schools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(FERPA, COPPA, state laws)</w:t>
            </w:r>
          </w:p>
        </w:tc>
      </w:tr>
      <w:tr>
        <w:tc>
          <w:tcPr/>
          <w:p>
            <w:pPr>
              <w:pStyle w:val="Compact"/>
              <w:jc w:val="left"/>
            </w:pPr>
            <w:r>
              <w:rPr>
                <w:bCs/>
                <w:b/>
              </w:rPr>
              <w:t xml:space="preserve">Destination</w:t>
            </w:r>
          </w:p>
        </w:tc>
        <w:tc>
          <w:tcPr/>
          <w:p>
            <w:pPr>
              <w:pStyle w:val="Compact"/>
              <w:jc w:val="left"/>
            </w:pPr>
            <w:r>
              <w:t xml:space="preserve">EU (AI Act HIGH-RISK for grading, GDPR) + US schools</w:t>
            </w:r>
          </w:p>
        </w:tc>
      </w:tr>
      <w:tr>
        <w:tc>
          <w:tcPr/>
          <w:p>
            <w:pPr>
              <w:pStyle w:val="Compact"/>
              <w:jc w:val="left"/>
            </w:pPr>
            <w:r>
              <w:rPr>
                <w:bCs/>
                <w:b/>
              </w:rPr>
              <w:t xml:space="preserve">Industry</w:t>
            </w:r>
          </w:p>
        </w:tc>
        <w:tc>
          <w:tcPr/>
          <w:p>
            <w:pPr>
              <w:pStyle w:val="Compact"/>
              <w:jc w:val="left"/>
            </w:pPr>
            <w:r>
              <w:t xml:space="preserve">Education AI (#38)</w:t>
            </w:r>
          </w:p>
        </w:tc>
      </w:tr>
      <w:tr>
        <w:tc>
          <w:tcPr/>
          <w:p>
            <w:pPr>
              <w:pStyle w:val="Compact"/>
              <w:jc w:val="left"/>
            </w:pPr>
            <w:r>
              <w:rPr>
                <w:bCs/>
                <w:b/>
              </w:rPr>
              <w:t xml:space="preserve">Conflict</w:t>
            </w:r>
          </w:p>
        </w:tc>
        <w:tc>
          <w:tcPr/>
          <w:p>
            <w:pPr>
              <w:pStyle w:val="Compact"/>
              <w:jc w:val="left"/>
            </w:pPr>
            <w:r>
              <w:t xml:space="preserve">EU AI Act classifies AI used for student grading/assessment as HIGH-RISK. Prohibits emotion recognition in educational institutions. COPPA (US) requires parental consent for under-13. FERPA protects student records. Different consent frameworks, different oversight requirements.</w:t>
            </w:r>
          </w:p>
        </w:tc>
      </w:tr>
      <w:tr>
        <w:tc>
          <w:tcPr/>
          <w:p>
            <w:pPr>
              <w:pStyle w:val="Compact"/>
              <w:jc w:val="left"/>
            </w:pPr>
            <w:r>
              <w:rPr>
                <w:bCs/>
                <w:b/>
              </w:rPr>
              <w:t xml:space="preserve">Compliance Requirements</w:t>
            </w:r>
          </w:p>
        </w:tc>
        <w:tc>
          <w:tcPr/>
          <w:p>
            <w:pPr>
              <w:pStyle w:val="Compact"/>
              <w:jc w:val="left"/>
            </w:pPr>
            <w:r>
              <w:t xml:space="preserve">EU: AI Act high-risk compliance; GDPR for student data; human oversight for grading; no emotion recognition; US: FERPA compliance; COPPA parental consent; state AI-in-education laws; dual QMS; separate training data per jurisdiction</w:t>
            </w:r>
          </w:p>
        </w:tc>
      </w:tr>
      <w:tr>
        <w:tc>
          <w:tcPr/>
          <w:p>
            <w:pPr>
              <w:pStyle w:val="Compact"/>
              <w:jc w:val="left"/>
            </w:pPr>
            <w:r>
              <w:rPr>
                <w:bCs/>
                <w:b/>
              </w:rPr>
              <w:t xml:space="preserve">Simulation Parameters</w:t>
            </w:r>
          </w:p>
        </w:tc>
        <w:tc>
          <w:tcPr/>
          <w:p>
            <w:pPr>
              <w:pStyle w:val="Compact"/>
              <w:jc w:val="left"/>
            </w:pPr>
            <w:r>
              <w:t xml:space="preserve">(1) Student learning outcome differential, (2) Teacher adoption rate by system, (3) Parental objection rate, (4) Compliance cost per student</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EdTech) →</w:t>
            </w:r>
            <w:r>
              <w:t xml:space="preserve"> </w:t>
            </w:r>
            <w:r>
              <w:rPr>
                <w:bCs/>
                <w:b/>
              </w:rPr>
              <w:t xml:space="preserve">Atlantic Compact</w:t>
            </w:r>
            <w:r>
              <w:t xml:space="preserve"> </w:t>
            </w:r>
            <w:r>
              <w:t xml:space="preserve">(EU schools)</w:t>
            </w:r>
          </w:p>
        </w:tc>
      </w:tr>
      <w:tr>
        <w:tc>
          <w:tcPr/>
          <w:p>
            <w:pPr>
              <w:pStyle w:val="Compact"/>
              <w:jc w:val="left"/>
            </w:pPr>
            <w:r>
              <w:rPr>
                <w:bCs/>
                <w:b/>
              </w:rPr>
              <w:t xml:space="preserve">Priority Score</w:t>
            </w:r>
          </w:p>
        </w:tc>
        <w:tc>
          <w:tcPr/>
          <w:p>
            <w:pPr>
              <w:pStyle w:val="Compact"/>
              <w:jc w:val="left"/>
            </w:pPr>
            <w:r>
              <w:t xml:space="preserve">8.3/10</w:t>
            </w:r>
          </w:p>
        </w:tc>
      </w:tr>
    </w:tbl>
    <w:p>
      <w:r>
        <w:pict>
          <v:rect style="width:0;height:1.5pt" o:hralign="center" o:hrstd="t" o:hr="t"/>
        </w:pict>
      </w:r>
    </w:p>
    <w:bookmarkEnd w:id="65"/>
    <w:bookmarkStart w:id="66" w:name="X0a31cb32465cc523334c6b96971efb89673d4c8"/>
    <w:p>
      <w:pPr>
        <w:pStyle w:val="Heading3"/>
      </w:pPr>
      <w:r>
        <w:t xml:space="preserve">SCENARIO 22: Semiconductor Export US-Taiwan-China Triangle</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(CHIPS Act, EAR, CFIUS)</w:t>
            </w:r>
          </w:p>
        </w:tc>
      </w:tr>
      <w:tr>
        <w:tc>
          <w:tcPr/>
          <w:p>
            <w:pPr>
              <w:pStyle w:val="Compact"/>
              <w:jc w:val="left"/>
            </w:pPr>
            <w:r>
              <w:rPr>
                <w:bCs/>
                <w:b/>
              </w:rPr>
              <w:t xml:space="preserve">Destination</w:t>
            </w:r>
          </w:p>
        </w:tc>
        <w:tc>
          <w:tcPr/>
          <w:p>
            <w:pPr>
              <w:pStyle w:val="Compact"/>
              <w:jc w:val="left"/>
            </w:pPr>
            <w:r>
              <w:t xml:space="preserve">Taiwan (TSMC) → end user in China (blocked)</w:t>
            </w:r>
          </w:p>
        </w:tc>
      </w:tr>
      <w:tr>
        <w:tc>
          <w:tcPr/>
          <w:p>
            <w:pPr>
              <w:pStyle w:val="Compact"/>
              <w:jc w:val="left"/>
            </w:pPr>
            <w:r>
              <w:rPr>
                <w:bCs/>
                <w:b/>
              </w:rPr>
              <w:t xml:space="preserve">Industry</w:t>
            </w:r>
          </w:p>
        </w:tc>
        <w:tc>
          <w:tcPr/>
          <w:p>
            <w:pPr>
              <w:pStyle w:val="Compact"/>
              <w:jc w:val="left"/>
            </w:pPr>
            <w:r>
              <w:t xml:space="preserve">Semiconductor &amp; Chip Design AI (#29)</w:t>
            </w:r>
          </w:p>
        </w:tc>
      </w:tr>
      <w:tr>
        <w:tc>
          <w:tcPr/>
          <w:p>
            <w:pPr>
              <w:pStyle w:val="Compact"/>
              <w:jc w:val="left"/>
            </w:pPr>
            <w:r>
              <w:rPr>
                <w:bCs/>
                <w:b/>
              </w:rPr>
              <w:t xml:space="preserve">Conflict</w:t>
            </w:r>
          </w:p>
        </w:tc>
        <w:tc>
          <w:tcPr/>
          <w:p>
            <w:pPr>
              <w:pStyle w:val="Compact"/>
              <w:jc w:val="left"/>
            </w:pPr>
            <w:r>
              <w:t xml:space="preserve">US CHIPS Act prohibits advanced chip production in China for 10 years. EAR export controls restrict specific chip performance thresholds. Japan and Netherlands coordinated export controls on equipment. TSMC Nanjing facility requires annual Commerce license. China accelerating domestic RISC-V.</w:t>
            </w:r>
          </w:p>
        </w:tc>
      </w:tr>
      <w:tr>
        <w:tc>
          <w:tcPr/>
          <w:p>
            <w:pPr>
              <w:pStyle w:val="Compact"/>
              <w:jc w:val="left"/>
            </w:pPr>
            <w:r>
              <w:rPr>
                <w:bCs/>
                <w:b/>
              </w:rPr>
              <w:t xml:space="preserve">Compliance Requirements</w:t>
            </w:r>
          </w:p>
        </w:tc>
        <w:tc>
          <w:tcPr/>
          <w:p>
            <w:pPr>
              <w:pStyle w:val="Compact"/>
              <w:jc w:val="left"/>
            </w:pPr>
            <w:r>
              <w:t xml:space="preserve">US: EAR license for export; CHIPS Act guardrails; Japan: export control on 23 equipment types; Netherlands: ASML EUV restrictions; Taiwan: overseas investment review; China: domestic substitution requirements; multi-layer compliance tracking</w:t>
            </w:r>
          </w:p>
        </w:tc>
      </w:tr>
      <w:tr>
        <w:tc>
          <w:tcPr/>
          <w:p>
            <w:pPr>
              <w:pStyle w:val="Compact"/>
              <w:jc w:val="left"/>
            </w:pPr>
            <w:r>
              <w:rPr>
                <w:bCs/>
                <w:b/>
              </w:rPr>
              <w:t xml:space="preserve">Simulation Parameters</w:t>
            </w:r>
          </w:p>
        </w:tc>
        <w:tc>
          <w:tcPr/>
          <w:p>
            <w:pPr>
              <w:pStyle w:val="Compact"/>
              <w:jc w:val="left"/>
            </w:pPr>
            <w:r>
              <w:t xml:space="preserve">(1) Supply chain fragility index, (2) Compliance cost per wafer, (3) Technology gap between allowed and prohibited chips, (4) Domestic substitution timeline</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design) →</w:t>
            </w:r>
            <w:r>
              <w:t xml:space="preserve"> </w:t>
            </w:r>
            <w:r>
              <w:rPr>
                <w:bCs/>
                <w:b/>
              </w:rPr>
              <w:t xml:space="preserve">Pacific Rim</w:t>
            </w:r>
            <w:r>
              <w:t xml:space="preserve"> </w:t>
            </w:r>
            <w:r>
              <w:t xml:space="preserve">(Taiwan fab) → blocked to</w:t>
            </w:r>
            <w:r>
              <w:t xml:space="preserve"> </w:t>
            </w:r>
            <w:r>
              <w:rPr>
                <w:bCs/>
                <w:b/>
              </w:rPr>
              <w:t xml:space="preserve">Zhongxu Collective</w:t>
            </w:r>
          </w:p>
        </w:tc>
      </w:tr>
      <w:tr>
        <w:tc>
          <w:tcPr/>
          <w:p>
            <w:pPr>
              <w:pStyle w:val="Compact"/>
              <w:jc w:val="left"/>
            </w:pPr>
            <w:r>
              <w:rPr>
                <w:bCs/>
                <w:b/>
              </w:rPr>
              <w:t xml:space="preserve">Priority Score</w:t>
            </w:r>
          </w:p>
        </w:tc>
        <w:tc>
          <w:tcPr/>
          <w:p>
            <w:pPr>
              <w:pStyle w:val="Compact"/>
              <w:jc w:val="left"/>
            </w:pPr>
            <w:r>
              <w:t xml:space="preserve">9.4/10</w:t>
            </w:r>
          </w:p>
        </w:tc>
      </w:tr>
    </w:tbl>
    <w:p>
      <w:r>
        <w:pict>
          <v:rect style="width:0;height:1.5pt" o:hralign="center" o:hrstd="t" o:hr="t"/>
        </w:pict>
      </w:r>
    </w:p>
    <w:bookmarkEnd w:id="66"/>
    <w:bookmarkStart w:id="67" w:name="Xbbe1e7dc9e292463de84d2130df6899bb206971"/>
    <w:p>
      <w:pPr>
        <w:pStyle w:val="Heading3"/>
      </w:pPr>
      <w:r>
        <w:t xml:space="preserve">SCENARIO 23: Critical Infrastructure AI (Power Grid) Multi-National</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Germany (EU NIS2, CER Directive, AI Act)</w:t>
            </w:r>
          </w:p>
        </w:tc>
      </w:tr>
      <w:tr>
        <w:tc>
          <w:tcPr/>
          <w:p>
            <w:pPr>
              <w:pStyle w:val="Compact"/>
              <w:jc w:val="left"/>
            </w:pPr>
            <w:r>
              <w:rPr>
                <w:bCs/>
                <w:b/>
              </w:rPr>
              <w:t xml:space="preserve">Destination</w:t>
            </w:r>
          </w:p>
        </w:tc>
        <w:tc>
          <w:tcPr/>
          <w:p>
            <w:pPr>
              <w:pStyle w:val="Compact"/>
              <w:jc w:val="left"/>
            </w:pPr>
            <w:r>
              <w:t xml:space="preserve">US, Japan, India, China operations</w:t>
            </w:r>
          </w:p>
        </w:tc>
      </w:tr>
      <w:tr>
        <w:tc>
          <w:tcPr/>
          <w:p>
            <w:pPr>
              <w:pStyle w:val="Compact"/>
              <w:jc w:val="left"/>
            </w:pPr>
            <w:r>
              <w:rPr>
                <w:bCs/>
                <w:b/>
              </w:rPr>
              <w:t xml:space="preserve">Industry</w:t>
            </w:r>
          </w:p>
        </w:tc>
        <w:tc>
          <w:tcPr/>
          <w:p>
            <w:pPr>
              <w:pStyle w:val="Compact"/>
              <w:jc w:val="left"/>
            </w:pPr>
            <w:r>
              <w:t xml:space="preserve">Critical Infrastructure Protection (#23), Cybersecurity AI (#19)</w:t>
            </w:r>
          </w:p>
        </w:tc>
      </w:tr>
      <w:tr>
        <w:tc>
          <w:tcPr/>
          <w:p>
            <w:pPr>
              <w:pStyle w:val="Compact"/>
              <w:jc w:val="left"/>
            </w:pPr>
            <w:r>
              <w:rPr>
                <w:bCs/>
                <w:b/>
              </w:rPr>
              <w:t xml:space="preserve">Conflict</w:t>
            </w:r>
          </w:p>
        </w:tc>
        <w:tc>
          <w:tcPr/>
          <w:p>
            <w:pPr>
              <w:pStyle w:val="Compact"/>
              <w:jc w:val="left"/>
            </w:pPr>
            <w:r>
              <w:t xml:space="preserve">EU NIS2 requires 24-hour incident reporting. US NERC CIP has mandatory standards. Japan CII Protection Act has sector-specific requirements. India CERT-In requires 6-hour reporting. China MLPS 2.0 requires Level 3-5 assessments. AI-powered grid management triggers EU AI Act high-risk.</w:t>
            </w:r>
          </w:p>
        </w:tc>
      </w:tr>
      <w:tr>
        <w:tc>
          <w:tcPr/>
          <w:p>
            <w:pPr>
              <w:pStyle w:val="Compact"/>
              <w:jc w:val="left"/>
            </w:pPr>
            <w:r>
              <w:rPr>
                <w:bCs/>
                <w:b/>
              </w:rPr>
              <w:t xml:space="preserve">Compliance Requirements</w:t>
            </w:r>
          </w:p>
        </w:tc>
        <w:tc>
          <w:tcPr/>
          <w:p>
            <w:pPr>
              <w:pStyle w:val="Compact"/>
              <w:jc w:val="left"/>
            </w:pPr>
            <w:r>
              <w:t xml:space="preserve">NIS2 compliance for EU operations; NERC CIP for US grid; CII Protection Act for Japan; CERT-In for India; MLPS Level 3+ for China; EU AI Act high-risk for AI systems; separate incident response workflows per jurisdiction; different reporting timelines</w:t>
            </w:r>
          </w:p>
        </w:tc>
      </w:tr>
      <w:tr>
        <w:tc>
          <w:tcPr/>
          <w:p>
            <w:pPr>
              <w:pStyle w:val="Compact"/>
              <w:jc w:val="left"/>
            </w:pPr>
            <w:r>
              <w:rPr>
                <w:bCs/>
                <w:b/>
              </w:rPr>
              <w:t xml:space="preserve">Simulation Parameters</w:t>
            </w:r>
          </w:p>
        </w:tc>
        <w:tc>
          <w:tcPr/>
          <w:p>
            <w:pPr>
              <w:pStyle w:val="Compact"/>
              <w:jc w:val="left"/>
            </w:pPr>
            <w:r>
              <w:t xml:space="preserve">(1) Incident response time by jurisdiction, (2) Compliance cost per MW capacity, (3) Cybersecurity maturity differential, (4) AI system certification matrix</w:t>
            </w:r>
          </w:p>
        </w:tc>
      </w:tr>
      <w:tr>
        <w:tc>
          <w:tcPr/>
          <w:p>
            <w:pPr>
              <w:pStyle w:val="Compact"/>
              <w:jc w:val="left"/>
            </w:pPr>
            <w:r>
              <w:rPr>
                <w:bCs/>
                <w:b/>
              </w:rPr>
              <w:t xml:space="preserve">MEOK Civilization</w:t>
            </w:r>
          </w:p>
        </w:tc>
        <w:tc>
          <w:tcPr/>
          <w:p>
            <w:pPr>
              <w:pStyle w:val="Compact"/>
              <w:jc w:val="left"/>
            </w:pPr>
            <w:r>
              <w:rPr>
                <w:bCs/>
                <w:b/>
              </w:rPr>
              <w:t xml:space="preserve">Atlantic Compact</w:t>
            </w:r>
            <w:r>
              <w:t xml:space="preserve"> </w:t>
            </w:r>
            <w:r>
              <w:t xml:space="preserve">(German operator) → ALL civilizations</w:t>
            </w:r>
          </w:p>
        </w:tc>
      </w:tr>
      <w:tr>
        <w:tc>
          <w:tcPr/>
          <w:p>
            <w:pPr>
              <w:pStyle w:val="Compact"/>
              <w:jc w:val="left"/>
            </w:pPr>
            <w:r>
              <w:rPr>
                <w:bCs/>
                <w:b/>
              </w:rPr>
              <w:t xml:space="preserve">Priority Score</w:t>
            </w:r>
          </w:p>
        </w:tc>
        <w:tc>
          <w:tcPr/>
          <w:p>
            <w:pPr>
              <w:pStyle w:val="Compact"/>
              <w:jc w:val="left"/>
            </w:pPr>
            <w:r>
              <w:t xml:space="preserve">9.3/10</w:t>
            </w:r>
          </w:p>
        </w:tc>
      </w:tr>
    </w:tbl>
    <w:p>
      <w:r>
        <w:pict>
          <v:rect style="width:0;height:1.5pt" o:hralign="center" o:hrstd="t" o:hr="t"/>
        </w:pict>
      </w:r>
    </w:p>
    <w:bookmarkEnd w:id="67"/>
    <w:bookmarkStart w:id="68" w:name="Xa992d672e349e8d1a8196d0d0e67bd0993e8b87"/>
    <w:p>
      <w:pPr>
        <w:pStyle w:val="Heading3"/>
      </w:pPr>
      <w:r>
        <w:t xml:space="preserve">SCENARIO 24: Autonomous Truck US-Mexico Border Crossing</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(FMCSA, Texas AV laws)</w:t>
            </w:r>
          </w:p>
        </w:tc>
      </w:tr>
      <w:tr>
        <w:tc>
          <w:tcPr/>
          <w:p>
            <w:pPr>
              <w:pStyle w:val="Compact"/>
              <w:jc w:val="left"/>
            </w:pPr>
            <w:r>
              <w:rPr>
                <w:bCs/>
                <w:b/>
              </w:rPr>
              <w:t xml:space="preserve">Destination</w:t>
            </w:r>
          </w:p>
        </w:tc>
        <w:tc>
          <w:tcPr/>
          <w:p>
            <w:pPr>
              <w:pStyle w:val="Compact"/>
              <w:jc w:val="left"/>
            </w:pPr>
            <w:r>
              <w:t xml:space="preserve">Mexico (CONTRAN, customs)</w:t>
            </w:r>
          </w:p>
        </w:tc>
      </w:tr>
      <w:tr>
        <w:tc>
          <w:tcPr/>
          <w:p>
            <w:pPr>
              <w:pStyle w:val="Compact"/>
              <w:jc w:val="left"/>
            </w:pPr>
            <w:r>
              <w:rPr>
                <w:bCs/>
                <w:b/>
              </w:rPr>
              <w:t xml:space="preserve">Industry</w:t>
            </w:r>
          </w:p>
        </w:tc>
        <w:tc>
          <w:tcPr/>
          <w:p>
            <w:pPr>
              <w:pStyle w:val="Compact"/>
              <w:jc w:val="left"/>
            </w:pPr>
            <w:r>
              <w:t xml:space="preserve">Transport &amp; Logistics AI (#39), Autonomous Vehicles (#3)</w:t>
            </w:r>
          </w:p>
        </w:tc>
      </w:tr>
      <w:tr>
        <w:tc>
          <w:tcPr/>
          <w:p>
            <w:pPr>
              <w:pStyle w:val="Compact"/>
              <w:jc w:val="left"/>
            </w:pPr>
            <w:r>
              <w:rPr>
                <w:bCs/>
                <w:b/>
              </w:rPr>
              <w:t xml:space="preserve">Conflict</w:t>
            </w:r>
          </w:p>
        </w:tc>
        <w:tc>
          <w:tcPr/>
          <w:p>
            <w:pPr>
              <w:pStyle w:val="Compact"/>
              <w:jc w:val="left"/>
            </w:pPr>
            <w:r>
              <w:t xml:space="preserve">US state-level AV regulatory fragmentation (TX permissive, CA restrictive). FMCSA pilot programs for autonomous CMVs. Mexico’s CONTRAN has limited AV testing framework. Cross-border customs integration requires human inspection. Liability frameworks differ significantly.</w:t>
            </w:r>
          </w:p>
        </w:tc>
      </w:tr>
      <w:tr>
        <w:tc>
          <w:tcPr/>
          <w:p>
            <w:pPr>
              <w:pStyle w:val="Compact"/>
              <w:jc w:val="left"/>
            </w:pPr>
            <w:r>
              <w:rPr>
                <w:bCs/>
                <w:b/>
              </w:rPr>
              <w:t xml:space="preserve">Compliance Requirements</w:t>
            </w:r>
          </w:p>
        </w:tc>
        <w:tc>
          <w:tcPr/>
          <w:p>
            <w:pPr>
              <w:pStyle w:val="Compact"/>
              <w:jc w:val="left"/>
            </w:pPr>
            <w:r>
              <w:t xml:space="preserve">Texas AV permit; FMCSA autonomous vehicle registration; Mexican transport operating license; cross-border customs broker integration; cargo insurance across both jurisdictions; data localization for Mexican operations; driver takeover protocols at border</w:t>
            </w:r>
          </w:p>
        </w:tc>
      </w:tr>
      <w:tr>
        <w:tc>
          <w:tcPr/>
          <w:p>
            <w:pPr>
              <w:pStyle w:val="Compact"/>
              <w:jc w:val="left"/>
            </w:pPr>
            <w:r>
              <w:rPr>
                <w:bCs/>
                <w:b/>
              </w:rPr>
              <w:t xml:space="preserve">Simulation Parameters</w:t>
            </w:r>
          </w:p>
        </w:tc>
        <w:tc>
          <w:tcPr/>
          <w:p>
            <w:pPr>
              <w:pStyle w:val="Compact"/>
              <w:jc w:val="left"/>
            </w:pPr>
            <w:r>
              <w:t xml:space="preserve">(1) Border crossing time (autonomous vs. human), (2) Insurance premium differential, (3) Customs integration complexity, (4) Accident liability determination</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trucking) →</w:t>
            </w:r>
            <w:r>
              <w:t xml:space="preserve"> </w:t>
            </w:r>
            <w:r>
              <w:rPr>
                <w:bCs/>
                <w:b/>
              </w:rPr>
              <w:t xml:space="preserve">Southern Axis</w:t>
            </w:r>
            <w:r>
              <w:t xml:space="preserve"> </w:t>
            </w:r>
            <w:r>
              <w:t xml:space="preserve">(Mexican routes)</w:t>
            </w:r>
          </w:p>
        </w:tc>
      </w:tr>
      <w:tr>
        <w:tc>
          <w:tcPr/>
          <w:p>
            <w:pPr>
              <w:pStyle w:val="Compact"/>
              <w:jc w:val="left"/>
            </w:pPr>
            <w:r>
              <w:rPr>
                <w:bCs/>
                <w:b/>
              </w:rPr>
              <w:t xml:space="preserve">Priority Score</w:t>
            </w:r>
          </w:p>
        </w:tc>
        <w:tc>
          <w:tcPr/>
          <w:p>
            <w:pPr>
              <w:pStyle w:val="Compact"/>
              <w:jc w:val="left"/>
            </w:pPr>
            <w:r>
              <w:t xml:space="preserve">7.4/10</w:t>
            </w:r>
          </w:p>
        </w:tc>
      </w:tr>
    </w:tbl>
    <w:p>
      <w:r>
        <w:pict>
          <v:rect style="width:0;height:1.5pt" o:hralign="center" o:hrstd="t" o:hr="t"/>
        </w:pict>
      </w:r>
    </w:p>
    <w:bookmarkEnd w:id="68"/>
    <w:bookmarkStart w:id="69" w:name="X4eb7d46b0b4ac1a819bb987be565a8dc0643ab1"/>
    <w:p>
      <w:pPr>
        <w:pStyle w:val="Heading3"/>
      </w:pPr>
      <w:r>
        <w:t xml:space="preserve">SCENARIO 25: mBridge CBDC Cross-Border Settlement (China-UAE)</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China (PBOC e-CNY, DSL, mBridge)</w:t>
            </w:r>
          </w:p>
        </w:tc>
      </w:tr>
      <w:tr>
        <w:tc>
          <w:tcPr/>
          <w:p>
            <w:pPr>
              <w:pStyle w:val="Compact"/>
              <w:jc w:val="left"/>
            </w:pPr>
            <w:r>
              <w:rPr>
                <w:bCs/>
                <w:b/>
              </w:rPr>
              <w:t xml:space="preserve">Destination</w:t>
            </w:r>
          </w:p>
        </w:tc>
        <w:tc>
          <w:tcPr/>
          <w:p>
            <w:pPr>
              <w:pStyle w:val="Compact"/>
              <w:jc w:val="left"/>
            </w:pPr>
            <w:r>
              <w:t xml:space="preserve">UAE (CBUAE, digital dirham, VARA)</w:t>
            </w:r>
          </w:p>
        </w:tc>
      </w:tr>
      <w:tr>
        <w:tc>
          <w:tcPr/>
          <w:p>
            <w:pPr>
              <w:pStyle w:val="Compact"/>
              <w:jc w:val="left"/>
            </w:pPr>
            <w:r>
              <w:rPr>
                <w:bCs/>
                <w:b/>
              </w:rPr>
              <w:t xml:space="preserve">Industry</w:t>
            </w:r>
          </w:p>
        </w:tc>
        <w:tc>
          <w:tcPr/>
          <w:p>
            <w:pPr>
              <w:pStyle w:val="Compact"/>
              <w:jc w:val="left"/>
            </w:pPr>
            <w:r>
              <w:t xml:space="preserve">Cryptocurrency &amp; Digital Assets (#15), Payment Systems (#18)</w:t>
            </w:r>
          </w:p>
        </w:tc>
      </w:tr>
      <w:tr>
        <w:tc>
          <w:tcPr/>
          <w:p>
            <w:pPr>
              <w:pStyle w:val="Compact"/>
              <w:jc w:val="left"/>
            </w:pPr>
            <w:r>
              <w:rPr>
                <w:bCs/>
                <w:b/>
              </w:rPr>
              <w:t xml:space="preserve">Conflict</w:t>
            </w:r>
          </w:p>
        </w:tc>
        <w:tc>
          <w:tcPr/>
          <w:p>
            <w:pPr>
              <w:pStyle w:val="Compact"/>
              <w:jc w:val="left"/>
            </w:pPr>
            <w:r>
              <w:t xml:space="preserve">China’s e-CNY is M0 replacement with smart contract programmability. UAE has Payment Token Services Regulation. mBridge processes $55.49B (95.3% digital yuan). AML screening requirements differ. FX conversion rules vary. Chinese DSL restricts cross-border data.</w:t>
            </w:r>
          </w:p>
        </w:tc>
      </w:tr>
      <w:tr>
        <w:tc>
          <w:tcPr/>
          <w:p>
            <w:pPr>
              <w:pStyle w:val="Compact"/>
              <w:jc w:val="left"/>
            </w:pPr>
            <w:r>
              <w:rPr>
                <w:bCs/>
                <w:b/>
              </w:rPr>
              <w:t xml:space="preserve">Compliance Requirements</w:t>
            </w:r>
          </w:p>
        </w:tc>
        <w:tc>
          <w:tcPr/>
          <w:p>
            <w:pPr>
              <w:pStyle w:val="Compact"/>
              <w:jc w:val="left"/>
            </w:pPr>
            <w:r>
              <w:t xml:space="preserve">PBOC e-CNY compliance; CBUAE Payment Token regulation; mBridge governance participation; AML screening at both ends; FX reporting; Chinese DSL data localization for transaction records; VARA licensing if virtual asset component</w:t>
            </w:r>
          </w:p>
        </w:tc>
      </w:tr>
      <w:tr>
        <w:tc>
          <w:tcPr/>
          <w:p>
            <w:pPr>
              <w:pStyle w:val="Compact"/>
              <w:jc w:val="left"/>
            </w:pPr>
            <w:r>
              <w:rPr>
                <w:bCs/>
                <w:b/>
              </w:rPr>
              <w:t xml:space="preserve">Simulation Parameters</w:t>
            </w:r>
          </w:p>
        </w:tc>
        <w:tc>
          <w:tcPr/>
          <w:p>
            <w:pPr>
              <w:pStyle w:val="Compact"/>
              <w:jc w:val="left"/>
            </w:pPr>
            <w:r>
              <w:t xml:space="preserve">(1) Settlement latency, (2) Compliance cost per transaction, (3) AML false positive rate, (4) FX slippage differential</w:t>
            </w:r>
          </w:p>
        </w:tc>
      </w:tr>
      <w:tr>
        <w:tc>
          <w:tcPr/>
          <w:p>
            <w:pPr>
              <w:pStyle w:val="Compact"/>
              <w:jc w:val="left"/>
            </w:pPr>
            <w:r>
              <w:rPr>
                <w:bCs/>
                <w:b/>
              </w:rPr>
              <w:t xml:space="preserve">MEOK Civilization</w:t>
            </w:r>
          </w:p>
        </w:tc>
        <w:tc>
          <w:tcPr/>
          <w:p>
            <w:pPr>
              <w:pStyle w:val="Compact"/>
              <w:jc w:val="left"/>
            </w:pPr>
            <w:r>
              <w:rPr>
                <w:bCs/>
                <w:b/>
              </w:rPr>
              <w:t xml:space="preserve">Zhongxu Collective</w:t>
            </w:r>
            <w:r>
              <w:t xml:space="preserve"> </w:t>
            </w:r>
            <w:r>
              <w:t xml:space="preserve">(e-CNY) →</w:t>
            </w:r>
            <w:r>
              <w:t xml:space="preserve"> </w:t>
            </w:r>
            <w:r>
              <w:rPr>
                <w:bCs/>
                <w:b/>
              </w:rPr>
              <w:t xml:space="preserve">Gulf Technate</w:t>
            </w:r>
            <w:r>
              <w:t xml:space="preserve"> </w:t>
            </w:r>
            <w:r>
              <w:t xml:space="preserve">(UAE settlement)</w:t>
            </w:r>
          </w:p>
        </w:tc>
      </w:tr>
      <w:tr>
        <w:tc>
          <w:tcPr/>
          <w:p>
            <w:pPr>
              <w:pStyle w:val="Compact"/>
              <w:jc w:val="left"/>
            </w:pPr>
            <w:r>
              <w:rPr>
                <w:bCs/>
                <w:b/>
              </w:rPr>
              <w:t xml:space="preserve">Priority Score</w:t>
            </w:r>
          </w:p>
        </w:tc>
        <w:tc>
          <w:tcPr/>
          <w:p>
            <w:pPr>
              <w:pStyle w:val="Compact"/>
              <w:jc w:val="left"/>
            </w:pPr>
            <w:r>
              <w:t xml:space="preserve">8.5/10</w:t>
            </w:r>
          </w:p>
        </w:tc>
      </w:tr>
    </w:tbl>
    <w:p>
      <w:r>
        <w:pict>
          <v:rect style="width:0;height:1.5pt" o:hralign="center" o:hrstd="t" o:hr="t"/>
        </w:pict>
      </w:r>
    </w:p>
    <w:bookmarkEnd w:id="69"/>
    <w:bookmarkStart w:id="70" w:name="X8849253a74e1011766a9f090cb6d8537dd52394"/>
    <w:p>
      <w:pPr>
        <w:pStyle w:val="Heading3"/>
      </w:pPr>
      <w:r>
        <w:t xml:space="preserve">SCENARIO 26: AI-Powered Port Operations (Singapore-Busan-Rotterdam)</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Singapore (MPA AV Guidelines, Tuas Port)</w:t>
            </w:r>
          </w:p>
        </w:tc>
      </w:tr>
      <w:tr>
        <w:tc>
          <w:tcPr/>
          <w:p>
            <w:pPr>
              <w:pStyle w:val="Compact"/>
              <w:jc w:val="left"/>
            </w:pPr>
            <w:r>
              <w:rPr>
                <w:bCs/>
                <w:b/>
              </w:rPr>
              <w:t xml:space="preserve">Destination</w:t>
            </w:r>
          </w:p>
        </w:tc>
        <w:tc>
          <w:tcPr/>
          <w:p>
            <w:pPr>
              <w:pStyle w:val="Compact"/>
              <w:jc w:val="left"/>
            </w:pPr>
            <w:r>
              <w:t xml:space="preserve">South Korea (Busan), Netherlands/EU (Rotterdam)</w:t>
            </w:r>
          </w:p>
        </w:tc>
      </w:tr>
      <w:tr>
        <w:tc>
          <w:tcPr/>
          <w:p>
            <w:pPr>
              <w:pStyle w:val="Compact"/>
              <w:jc w:val="left"/>
            </w:pPr>
            <w:r>
              <w:rPr>
                <w:bCs/>
                <w:b/>
              </w:rPr>
              <w:t xml:space="preserve">Industry</w:t>
            </w:r>
          </w:p>
        </w:tc>
        <w:tc>
          <w:tcPr/>
          <w:p>
            <w:pPr>
              <w:pStyle w:val="Compact"/>
              <w:jc w:val="left"/>
            </w:pPr>
            <w:r>
              <w:t xml:space="preserve">Maritime &amp; Ocean Tech (#40), Critical Infrastructure (#23)</w:t>
            </w:r>
          </w:p>
        </w:tc>
      </w:tr>
      <w:tr>
        <w:tc>
          <w:tcPr/>
          <w:p>
            <w:pPr>
              <w:pStyle w:val="Compact"/>
              <w:jc w:val="left"/>
            </w:pPr>
            <w:r>
              <w:rPr>
                <w:bCs/>
                <w:b/>
              </w:rPr>
              <w:t xml:space="preserve">Conflict</w:t>
            </w:r>
          </w:p>
        </w:tc>
        <w:tc>
          <w:tcPr/>
          <w:p>
            <w:pPr>
              <w:pStyle w:val="Compact"/>
              <w:jc w:val="left"/>
            </w:pPr>
            <w:r>
              <w:t xml:space="preserve">Singapore MPA has testing framework. South Korea AI Basic Act classifies transport vessel management as HIGH-IMPACT. EU AI Act classifies port/maritime safety as HIGH-RISK. Each has different data protection (PDPA vs PIPA vs GDPR). Cybersecurity standards vary by flag state.</w:t>
            </w:r>
          </w:p>
        </w:tc>
      </w:tr>
      <w:tr>
        <w:tc>
          <w:tcPr/>
          <w:p>
            <w:pPr>
              <w:pStyle w:val="Compact"/>
              <w:jc w:val="left"/>
            </w:pPr>
            <w:r>
              <w:rPr>
                <w:bCs/>
                <w:b/>
              </w:rPr>
              <w:t xml:space="preserve">Compliance Requirements</w:t>
            </w:r>
          </w:p>
        </w:tc>
        <w:tc>
          <w:tcPr/>
          <w:p>
            <w:pPr>
              <w:pStyle w:val="Compact"/>
              <w:jc w:val="left"/>
            </w:pPr>
            <w:r>
              <w:t xml:space="preserve">Singapore MPA approval; Korea AI Basic Act high-impact filing; EU AI Act conformity assessment; GDPR for EU crew/passenger data; PIPA for Korean data; PDPA for Singapore data; separate cybersecurity certifications; IMO MASS Code compliance</w:t>
            </w:r>
          </w:p>
        </w:tc>
      </w:tr>
      <w:tr>
        <w:tc>
          <w:tcPr/>
          <w:p>
            <w:pPr>
              <w:pStyle w:val="Compact"/>
              <w:jc w:val="left"/>
            </w:pPr>
            <w:r>
              <w:rPr>
                <w:bCs/>
                <w:b/>
              </w:rPr>
              <w:t xml:space="preserve">Simulation Parameters</w:t>
            </w:r>
          </w:p>
        </w:tc>
        <w:tc>
          <w:tcPr/>
          <w:p>
            <w:pPr>
              <w:pStyle w:val="Compact"/>
              <w:jc w:val="left"/>
            </w:pPr>
            <w:r>
              <w:t xml:space="preserve">(1) Port turnaround time improvement, (2) Compliance cost per port call, (3) Data architecture complexity, (4) AI system certification timeline</w:t>
            </w:r>
          </w:p>
        </w:tc>
      </w:tr>
      <w:tr>
        <w:tc>
          <w:tcPr/>
          <w:p>
            <w:pPr>
              <w:pStyle w:val="Compact"/>
              <w:jc w:val="left"/>
            </w:pPr>
            <w:r>
              <w:rPr>
                <w:bCs/>
                <w:b/>
              </w:rPr>
              <w:t xml:space="preserve">MEOK Civilization</w:t>
            </w:r>
          </w:p>
        </w:tc>
        <w:tc>
          <w:tcPr/>
          <w:p>
            <w:pPr>
              <w:pStyle w:val="Compact"/>
              <w:jc w:val="left"/>
            </w:pPr>
            <w:r>
              <w:rPr>
                <w:bCs/>
                <w:b/>
              </w:rPr>
              <w:t xml:space="preserve">Singularity Core</w:t>
            </w:r>
            <w:r>
              <w:t xml:space="preserve"> </w:t>
            </w:r>
            <w:r>
              <w:t xml:space="preserve">(Singapore port) →</w:t>
            </w:r>
            <w:r>
              <w:t xml:space="preserve"> </w:t>
            </w:r>
            <w:r>
              <w:rPr>
                <w:bCs/>
                <w:b/>
              </w:rPr>
              <w:t xml:space="preserve">Pacific Rim</w:t>
            </w:r>
            <w:r>
              <w:t xml:space="preserve"> </w:t>
            </w:r>
            <w:r>
              <w:t xml:space="preserve">(Busan) →</w:t>
            </w:r>
            <w:r>
              <w:t xml:space="preserve"> </w:t>
            </w:r>
            <w:r>
              <w:rPr>
                <w:bCs/>
                <w:b/>
              </w:rPr>
              <w:t xml:space="preserve">Atlantic Compact</w:t>
            </w:r>
            <w:r>
              <w:t xml:space="preserve"> </w:t>
            </w:r>
            <w:r>
              <w:t xml:space="preserve">(Rotterdam)</w:t>
            </w:r>
          </w:p>
        </w:tc>
      </w:tr>
      <w:tr>
        <w:tc>
          <w:tcPr/>
          <w:p>
            <w:pPr>
              <w:pStyle w:val="Compact"/>
              <w:jc w:val="left"/>
            </w:pPr>
            <w:r>
              <w:rPr>
                <w:bCs/>
                <w:b/>
              </w:rPr>
              <w:t xml:space="preserve">Priority Score</w:t>
            </w:r>
          </w:p>
        </w:tc>
        <w:tc>
          <w:tcPr/>
          <w:p>
            <w:pPr>
              <w:pStyle w:val="Compact"/>
              <w:jc w:val="left"/>
            </w:pPr>
            <w:r>
              <w:t xml:space="preserve">8.1/10</w:t>
            </w:r>
          </w:p>
        </w:tc>
      </w:tr>
    </w:tbl>
    <w:p>
      <w:r>
        <w:pict>
          <v:rect style="width:0;height:1.5pt" o:hralign="center" o:hrstd="t" o:hr="t"/>
        </w:pict>
      </w:r>
    </w:p>
    <w:bookmarkEnd w:id="70"/>
    <w:bookmarkStart w:id="71" w:name="X0c3d15d8e414f5f927b747f9bb185f7735969e5"/>
    <w:p>
      <w:pPr>
        <w:pStyle w:val="Heading3"/>
      </w:pPr>
      <w:r>
        <w:t xml:space="preserve">SCENARIO 27: Cashierless Store Technology (Amazon Just Walk Out) Global Expansion</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United States (375+ stores, no federal biometric law)</w:t>
            </w:r>
          </w:p>
        </w:tc>
      </w:tr>
      <w:tr>
        <w:tc>
          <w:tcPr/>
          <w:p>
            <w:pPr>
              <w:pStyle w:val="Compact"/>
              <w:jc w:val="left"/>
            </w:pPr>
            <w:r>
              <w:rPr>
                <w:bCs/>
                <w:b/>
              </w:rPr>
              <w:t xml:space="preserve">Destination</w:t>
            </w:r>
          </w:p>
        </w:tc>
        <w:tc>
          <w:tcPr/>
          <w:p>
            <w:pPr>
              <w:pStyle w:val="Compact"/>
              <w:jc w:val="left"/>
            </w:pPr>
            <w:r>
              <w:t xml:space="preserve">UK, UAE, Singapore, Germany</w:t>
            </w:r>
          </w:p>
        </w:tc>
      </w:tr>
      <w:tr>
        <w:tc>
          <w:tcPr/>
          <w:p>
            <w:pPr>
              <w:pStyle w:val="Compact"/>
              <w:jc w:val="left"/>
            </w:pPr>
            <w:r>
              <w:rPr>
                <w:bCs/>
                <w:b/>
              </w:rPr>
              <w:t xml:space="preserve">Industry</w:t>
            </w:r>
          </w:p>
        </w:tc>
        <w:tc>
          <w:tcPr/>
          <w:p>
            <w:pPr>
              <w:pStyle w:val="Compact"/>
              <w:jc w:val="left"/>
            </w:pPr>
            <w:r>
              <w:t xml:space="preserve">Retail &amp; E-commerce AI (#41), IoT (#26), Surveillance AI (#21)</w:t>
            </w:r>
          </w:p>
        </w:tc>
      </w:tr>
      <w:tr>
        <w:tc>
          <w:tcPr/>
          <w:p>
            <w:pPr>
              <w:pStyle w:val="Compact"/>
              <w:jc w:val="left"/>
            </w:pPr>
            <w:r>
              <w:rPr>
                <w:bCs/>
                <w:b/>
              </w:rPr>
              <w:t xml:space="preserve">Conflict</w:t>
            </w:r>
          </w:p>
        </w:tc>
        <w:tc>
          <w:tcPr/>
          <w:p>
            <w:pPr>
              <w:pStyle w:val="Compact"/>
              <w:jc w:val="left"/>
            </w:pPr>
            <w:r>
              <w:t xml:space="preserve">Camera-based tracking triggers Illinois BIPA (US state). UK GDPR considers this surveillance. UAE has different privacy expectations. Singapore PDPA requires consent for biometric data. Germany has strong Works Council consultation requirements. Payment processing regulations vary.</w:t>
            </w:r>
          </w:p>
        </w:tc>
      </w:tr>
      <w:tr>
        <w:tc>
          <w:tcPr/>
          <w:p>
            <w:pPr>
              <w:pStyle w:val="Compact"/>
              <w:jc w:val="left"/>
            </w:pPr>
            <w:r>
              <w:rPr>
                <w:bCs/>
                <w:b/>
              </w:rPr>
              <w:t xml:space="preserve">Compliance Requirements</w:t>
            </w:r>
          </w:p>
        </w:tc>
        <w:tc>
          <w:tcPr/>
          <w:p>
            <w:pPr>
              <w:pStyle w:val="Compact"/>
              <w:jc w:val="left"/>
            </w:pPr>
            <w:r>
              <w:t xml:space="preserve">US: BIPA compliance if in Illinois; UK: GDPR impact assessment; UAE: PDPL compliance; Singapore: PDPA consent; Germany: Works Council consultation, GDPR, potential AI Act high-risk; separate payment processing licenses; product liability per jurisdiction</w:t>
            </w:r>
          </w:p>
        </w:tc>
      </w:tr>
      <w:tr>
        <w:tc>
          <w:tcPr/>
          <w:p>
            <w:pPr>
              <w:pStyle w:val="Compact"/>
              <w:jc w:val="left"/>
            </w:pPr>
            <w:r>
              <w:rPr>
                <w:bCs/>
                <w:b/>
              </w:rPr>
              <w:t xml:space="preserve">Simulation Parameters</w:t>
            </w:r>
          </w:p>
        </w:tc>
        <w:tc>
          <w:tcPr/>
          <w:p>
            <w:pPr>
              <w:pStyle w:val="Compact"/>
              <w:jc w:val="left"/>
            </w:pPr>
            <w:r>
              <w:t xml:space="preserve">(1) Checkout accuracy by lighting/conditions, (2) Privacy complaint rate by jurisdiction, (3) Employee consultation timeline, (4) Revenue per square foot differential</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retail tech) →</w:t>
            </w:r>
            <w:r>
              <w:t xml:space="preserve"> </w:t>
            </w:r>
            <w:r>
              <w:rPr>
                <w:bCs/>
                <w:b/>
              </w:rPr>
              <w:t xml:space="preserve">Atlantic Compact</w:t>
            </w:r>
            <w:r>
              <w:t xml:space="preserve"> </w:t>
            </w:r>
            <w:r>
              <w:t xml:space="preserve">+</w:t>
            </w:r>
            <w:r>
              <w:t xml:space="preserve"> </w:t>
            </w:r>
            <w:r>
              <w:rPr>
                <w:bCs/>
                <w:b/>
              </w:rPr>
              <w:t xml:space="preserve">Gulf Technate</w:t>
            </w:r>
            <w:r>
              <w:t xml:space="preserve"> </w:t>
            </w:r>
            <w:r>
              <w:t xml:space="preserve">+</w:t>
            </w:r>
            <w:r>
              <w:t xml:space="preserve"> </w:t>
            </w:r>
            <w:r>
              <w:rPr>
                <w:bCs/>
                <w:b/>
              </w:rPr>
              <w:t xml:space="preserve">Singularity Core</w:t>
            </w:r>
          </w:p>
        </w:tc>
      </w:tr>
      <w:tr>
        <w:tc>
          <w:tcPr/>
          <w:p>
            <w:pPr>
              <w:pStyle w:val="Compact"/>
              <w:jc w:val="left"/>
            </w:pPr>
            <w:r>
              <w:rPr>
                <w:bCs/>
                <w:b/>
              </w:rPr>
              <w:t xml:space="preserve">Priority Score</w:t>
            </w:r>
          </w:p>
        </w:tc>
        <w:tc>
          <w:tcPr/>
          <w:p>
            <w:pPr>
              <w:pStyle w:val="Compact"/>
              <w:jc w:val="left"/>
            </w:pPr>
            <w:r>
              <w:t xml:space="preserve">7.3/10</w:t>
            </w:r>
          </w:p>
        </w:tc>
      </w:tr>
    </w:tbl>
    <w:p>
      <w:r>
        <w:pict>
          <v:rect style="width:0;height:1.5pt" o:hralign="center" o:hrstd="t" o:hr="t"/>
        </w:pict>
      </w:r>
    </w:p>
    <w:bookmarkEnd w:id="71"/>
    <w:bookmarkStart w:id="72" w:name="X2f91f0facc0a416e82207fc8ef661576bb36f6b"/>
    <w:p>
      <w:pPr>
        <w:pStyle w:val="Heading3"/>
      </w:pPr>
      <w:r>
        <w:t xml:space="preserve">SCENARIO 28: Cross-Border Cloud AI Sovereign Deployment</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Global cloud provider (AWS/Azure/GCP)</w:t>
            </w:r>
          </w:p>
        </w:tc>
      </w:tr>
      <w:tr>
        <w:tc>
          <w:tcPr/>
          <w:p>
            <w:pPr>
              <w:pStyle w:val="Compact"/>
              <w:jc w:val="left"/>
            </w:pPr>
            <w:r>
              <w:rPr>
                <w:bCs/>
                <w:b/>
              </w:rPr>
              <w:t xml:space="preserve">Destination</w:t>
            </w:r>
          </w:p>
        </w:tc>
        <w:tc>
          <w:tcPr/>
          <w:p>
            <w:pPr>
              <w:pStyle w:val="Compact"/>
              <w:jc w:val="left"/>
            </w:pPr>
            <w:r>
              <w:t xml:space="preserve">EU (Germany), UAE (Dubai), Singapore, India simultaneously</w:t>
            </w:r>
          </w:p>
        </w:tc>
      </w:tr>
      <w:tr>
        <w:tc>
          <w:tcPr/>
          <w:p>
            <w:pPr>
              <w:pStyle w:val="Compact"/>
              <w:jc w:val="left"/>
            </w:pPr>
            <w:r>
              <w:rPr>
                <w:bCs/>
                <w:b/>
              </w:rPr>
              <w:t xml:space="preserve">Industry</w:t>
            </w:r>
          </w:p>
        </w:tc>
        <w:tc>
          <w:tcPr/>
          <w:p>
            <w:pPr>
              <w:pStyle w:val="Compact"/>
              <w:jc w:val="left"/>
            </w:pPr>
            <w:r>
              <w:t xml:space="preserve">Cloud Computing &amp; Edge AI (#28), Data Centers (#30)</w:t>
            </w:r>
          </w:p>
        </w:tc>
      </w:tr>
      <w:tr>
        <w:tc>
          <w:tcPr/>
          <w:p>
            <w:pPr>
              <w:pStyle w:val="Compact"/>
              <w:jc w:val="left"/>
            </w:pPr>
            <w:r>
              <w:rPr>
                <w:bCs/>
                <w:b/>
              </w:rPr>
              <w:t xml:space="preserve">Conflict</w:t>
            </w:r>
          </w:p>
        </w:tc>
        <w:tc>
          <w:tcPr/>
          <w:p>
            <w:pPr>
              <w:pStyle w:val="Compact"/>
              <w:jc w:val="left"/>
            </w:pPr>
            <w:r>
              <w:t xml:space="preserve">Germany: GDPR + DORA + EU Data Act (cloud switching). UAE: Federal PDPL with 3-regime system (mainland/DIFC/ADGM), full compliance Jan 2027. Singapore: PDPA + MTCS cloud certification. India: DPDP Act with potential data localization. Data residency requirements prevent unified architecture.</w:t>
            </w:r>
          </w:p>
        </w:tc>
      </w:tr>
      <w:tr>
        <w:tc>
          <w:tcPr/>
          <w:p>
            <w:pPr>
              <w:pStyle w:val="Compact"/>
              <w:jc w:val="left"/>
            </w:pPr>
            <w:r>
              <w:rPr>
                <w:bCs/>
                <w:b/>
              </w:rPr>
              <w:t xml:space="preserve">Compliance Requirements</w:t>
            </w:r>
          </w:p>
        </w:tc>
        <w:tc>
          <w:tcPr/>
          <w:p>
            <w:pPr>
              <w:pStyle w:val="Compact"/>
              <w:jc w:val="left"/>
            </w:pPr>
            <w:r>
              <w:t xml:space="preserve">Germany: GDPR + DORA financial resilience + EU Data Act interoperability; UAE: PDPL 3-regime navigation; Singapore: PDPA + MTCS certification; India: DPDP compliance + potential data localization; separate sovereign cloud instances; controlled data flows between instances</w:t>
            </w:r>
          </w:p>
        </w:tc>
      </w:tr>
      <w:tr>
        <w:tc>
          <w:tcPr/>
          <w:p>
            <w:pPr>
              <w:pStyle w:val="Compact"/>
              <w:jc w:val="left"/>
            </w:pPr>
            <w:r>
              <w:rPr>
                <w:bCs/>
                <w:b/>
              </w:rPr>
              <w:t xml:space="preserve">Simulation Parameters</w:t>
            </w:r>
          </w:p>
        </w:tc>
        <w:tc>
          <w:tcPr/>
          <w:p>
            <w:pPr>
              <w:pStyle w:val="Compact"/>
              <w:jc w:val="left"/>
            </w:pPr>
            <w:r>
              <w:t xml:space="preserve">(1) Architecture complexity index, (2) Cost premium for sovereign vs. unified, (3) Latency differential, (4) Compliance audit frequency</w:t>
            </w:r>
          </w:p>
        </w:tc>
      </w:tr>
      <w:tr>
        <w:tc>
          <w:tcPr/>
          <w:p>
            <w:pPr>
              <w:pStyle w:val="Compact"/>
              <w:jc w:val="left"/>
            </w:pPr>
            <w:r>
              <w:rPr>
                <w:bCs/>
                <w:b/>
              </w:rPr>
              <w:t xml:space="preserve">MEOK Civilization</w:t>
            </w:r>
          </w:p>
        </w:tc>
        <w:tc>
          <w:tcPr/>
          <w:p>
            <w:pPr>
              <w:pStyle w:val="Compact"/>
              <w:jc w:val="left"/>
            </w:pPr>
            <w:r>
              <w:rPr>
                <w:bCs/>
                <w:b/>
              </w:rPr>
              <w:t xml:space="preserve">Anglosphere Concord</w:t>
            </w:r>
            <w:r>
              <w:t xml:space="preserve"> </w:t>
            </w:r>
            <w:r>
              <w:t xml:space="preserve">(US cloud) →</w:t>
            </w:r>
            <w:r>
              <w:t xml:space="preserve"> </w:t>
            </w:r>
            <w:r>
              <w:rPr>
                <w:bCs/>
                <w:b/>
              </w:rPr>
              <w:t xml:space="preserve">Atlantic Compact</w:t>
            </w:r>
            <w:r>
              <w:t xml:space="preserve"> </w:t>
            </w:r>
            <w:r>
              <w:t xml:space="preserve">+</w:t>
            </w:r>
            <w:r>
              <w:t xml:space="preserve"> </w:t>
            </w:r>
            <w:r>
              <w:rPr>
                <w:bCs/>
                <w:b/>
              </w:rPr>
              <w:t xml:space="preserve">Gulf Technate</w:t>
            </w:r>
            <w:r>
              <w:t xml:space="preserve"> </w:t>
            </w:r>
            <w:r>
              <w:t xml:space="preserve">+</w:t>
            </w:r>
            <w:r>
              <w:t xml:space="preserve"> </w:t>
            </w:r>
            <w:r>
              <w:rPr>
                <w:bCs/>
                <w:b/>
              </w:rPr>
              <w:t xml:space="preserve">Singularity Core</w:t>
            </w:r>
            <w:r>
              <w:t xml:space="preserve"> </w:t>
            </w:r>
            <w:r>
              <w:t xml:space="preserve">+</w:t>
            </w:r>
            <w:r>
              <w:t xml:space="preserve"> </w:t>
            </w:r>
            <w:r>
              <w:rPr>
                <w:bCs/>
                <w:b/>
              </w:rPr>
              <w:t xml:space="preserve">Bharat Complex</w:t>
            </w:r>
          </w:p>
        </w:tc>
      </w:tr>
      <w:tr>
        <w:tc>
          <w:tcPr/>
          <w:p>
            <w:pPr>
              <w:pStyle w:val="Compact"/>
              <w:jc w:val="left"/>
            </w:pPr>
            <w:r>
              <w:rPr>
                <w:bCs/>
                <w:b/>
              </w:rPr>
              <w:t xml:space="preserve">Priority Score</w:t>
            </w:r>
          </w:p>
        </w:tc>
        <w:tc>
          <w:tcPr/>
          <w:p>
            <w:pPr>
              <w:pStyle w:val="Compact"/>
              <w:jc w:val="left"/>
            </w:pPr>
            <w:r>
              <w:t xml:space="preserve">8.8/10</w:t>
            </w:r>
          </w:p>
        </w:tc>
      </w:tr>
    </w:tbl>
    <w:p>
      <w:r>
        <w:pict>
          <v:rect style="width:0;height:1.5pt" o:hralign="center" o:hrstd="t" o:hr="t"/>
        </w:pict>
      </w:r>
    </w:p>
    <w:bookmarkEnd w:id="72"/>
    <w:bookmarkStart w:id="73" w:name="X92b8a7ff1154e0966b453216a97cd566f65dde2"/>
    <w:p>
      <w:pPr>
        <w:pStyle w:val="Heading3"/>
      </w:pPr>
      <w:r>
        <w:t xml:space="preserve">SCENARIO 29: AI Biometric Border Control (EU-UAE-Singapore-India)</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Multi-vendor (NEC Japan, Idemia France, Clearview US)</w:t>
            </w:r>
          </w:p>
        </w:tc>
      </w:tr>
      <w:tr>
        <w:tc>
          <w:tcPr/>
          <w:p>
            <w:pPr>
              <w:pStyle w:val="Compact"/>
              <w:jc w:val="left"/>
            </w:pPr>
            <w:r>
              <w:rPr>
                <w:bCs/>
                <w:b/>
              </w:rPr>
              <w:t xml:space="preserve">Destination</w:t>
            </w:r>
          </w:p>
        </w:tc>
        <w:tc>
          <w:tcPr/>
          <w:p>
            <w:pPr>
              <w:pStyle w:val="Compact"/>
              <w:jc w:val="left"/>
            </w:pPr>
            <w:r>
              <w:t xml:space="preserve">International airport hubs across 4 jurisdictions</w:t>
            </w:r>
          </w:p>
        </w:tc>
      </w:tr>
      <w:tr>
        <w:tc>
          <w:tcPr/>
          <w:p>
            <w:pPr>
              <w:pStyle w:val="Compact"/>
              <w:jc w:val="left"/>
            </w:pPr>
            <w:r>
              <w:rPr>
                <w:bCs/>
                <w:b/>
              </w:rPr>
              <w:t xml:space="preserve">Industry</w:t>
            </w:r>
          </w:p>
        </w:tc>
        <w:tc>
          <w:tcPr/>
          <w:p>
            <w:pPr>
              <w:pStyle w:val="Compact"/>
              <w:jc w:val="left"/>
            </w:pPr>
            <w:r>
              <w:t xml:space="preserve">Surveillance &amp; Public Safety AI (#21), Cybersecurity AI (#19)</w:t>
            </w:r>
          </w:p>
        </w:tc>
      </w:tr>
      <w:tr>
        <w:tc>
          <w:tcPr/>
          <w:p>
            <w:pPr>
              <w:pStyle w:val="Compact"/>
              <w:jc w:val="left"/>
            </w:pPr>
            <w:r>
              <w:rPr>
                <w:bCs/>
                <w:b/>
              </w:rPr>
              <w:t xml:space="preserve">Conflict</w:t>
            </w:r>
          </w:p>
        </w:tc>
        <w:tc>
          <w:tcPr/>
          <w:p>
            <w:pPr>
              <w:pStyle w:val="Compact"/>
              <w:jc w:val="left"/>
            </w:pPr>
            <w:r>
              <w:t xml:space="preserve">EU AI Act PROHIBITS biometric categorization and restricts real-time biometric ID to narrow law enforcement exceptions. UAE Safe City mandates AI surveillance. Singapore requires PDPA consent for biometric collection. India’s DPDP Act has its own consent framework. Each has different data retention limits.</w:t>
            </w:r>
          </w:p>
        </w:tc>
      </w:tr>
      <w:tr>
        <w:tc>
          <w:tcPr/>
          <w:p>
            <w:pPr>
              <w:pStyle w:val="Compact"/>
              <w:jc w:val="left"/>
            </w:pPr>
            <w:r>
              <w:rPr>
                <w:bCs/>
                <w:b/>
              </w:rPr>
              <w:t xml:space="preserve">Compliance Requirements</w:t>
            </w:r>
          </w:p>
        </w:tc>
        <w:tc>
          <w:tcPr/>
          <w:p>
            <w:pPr>
              <w:pStyle w:val="Compact"/>
              <w:jc w:val="left"/>
            </w:pPr>
            <w:r>
              <w:t xml:space="preserve">EU: explicit consent or specific legal basis; no biometric categorization; UAE: Safe City compliance + PDPL; Singapore: PDPA consent + specific biometric safeguards; India: DPDP consent + purpose limitation; airline ICAO standards; data retention harmonization; cross-border deletion protocols</w:t>
            </w:r>
          </w:p>
        </w:tc>
      </w:tr>
      <w:tr>
        <w:tc>
          <w:tcPr/>
          <w:p>
            <w:pPr>
              <w:pStyle w:val="Compact"/>
              <w:jc w:val="left"/>
            </w:pPr>
            <w:r>
              <w:rPr>
                <w:bCs/>
                <w:b/>
              </w:rPr>
              <w:t xml:space="preserve">Simulation Parameters</w:t>
            </w:r>
          </w:p>
        </w:tc>
        <w:tc>
          <w:tcPr/>
          <w:p>
            <w:pPr>
              <w:pStyle w:val="Compact"/>
              <w:jc w:val="left"/>
            </w:pPr>
            <w:r>
              <w:t xml:space="preserve">(1) Passenger throughput differential, (2) False acceptance/rejection rates, (3) Privacy complaint rate, (4) System integration cost per airport</w:t>
            </w:r>
          </w:p>
        </w:tc>
      </w:tr>
      <w:tr>
        <w:tc>
          <w:tcPr/>
          <w:p>
            <w:pPr>
              <w:pStyle w:val="Compact"/>
              <w:jc w:val="left"/>
            </w:pPr>
            <w:r>
              <w:rPr>
                <w:bCs/>
                <w:b/>
              </w:rPr>
              <w:t xml:space="preserve">MEOK Civilization</w:t>
            </w:r>
          </w:p>
        </w:tc>
        <w:tc>
          <w:tcPr/>
          <w:p>
            <w:pPr>
              <w:pStyle w:val="Compact"/>
              <w:jc w:val="left"/>
            </w:pPr>
            <w:r>
              <w:rPr>
                <w:bCs/>
                <w:b/>
              </w:rPr>
              <w:t xml:space="preserve">Pacific Rim</w:t>
            </w:r>
            <w:r>
              <w:t xml:space="preserve"> </w:t>
            </w:r>
            <w:r>
              <w:t xml:space="preserve">(NEC) +</w:t>
            </w:r>
            <w:r>
              <w:t xml:space="preserve"> </w:t>
            </w:r>
            <w:r>
              <w:rPr>
                <w:bCs/>
                <w:b/>
              </w:rPr>
              <w:t xml:space="preserve">Atlantic Compact</w:t>
            </w:r>
            <w:r>
              <w:t xml:space="preserve"> </w:t>
            </w:r>
            <w:r>
              <w:t xml:space="preserve">(Idemia) +</w:t>
            </w:r>
            <w:r>
              <w:t xml:space="preserve"> </w:t>
            </w:r>
            <w:r>
              <w:rPr>
                <w:bCs/>
                <w:b/>
              </w:rPr>
              <w:t xml:space="preserve">Anglosphere Concord</w:t>
            </w:r>
            <w:r>
              <w:t xml:space="preserve"> </w:t>
            </w:r>
            <w:r>
              <w:t xml:space="preserve">(Clearview) → ALL civilizations</w:t>
            </w:r>
          </w:p>
        </w:tc>
      </w:tr>
      <w:tr>
        <w:tc>
          <w:tcPr/>
          <w:p>
            <w:pPr>
              <w:pStyle w:val="Compact"/>
              <w:jc w:val="left"/>
            </w:pPr>
            <w:r>
              <w:rPr>
                <w:bCs/>
                <w:b/>
              </w:rPr>
              <w:t xml:space="preserve">Priority Score</w:t>
            </w:r>
          </w:p>
        </w:tc>
        <w:tc>
          <w:tcPr/>
          <w:p>
            <w:pPr>
              <w:pStyle w:val="Compact"/>
              <w:jc w:val="left"/>
            </w:pPr>
            <w:r>
              <w:t xml:space="preserve">8.2/10</w:t>
            </w:r>
          </w:p>
        </w:tc>
      </w:tr>
    </w:tbl>
    <w:p>
      <w:r>
        <w:pict>
          <v:rect style="width:0;height:1.5pt" o:hralign="center" o:hrstd="t" o:hr="t"/>
        </w:pict>
      </w:r>
    </w:p>
    <w:bookmarkEnd w:id="73"/>
    <w:bookmarkStart w:id="74" w:name="Xc168e2441263bf3455b950e91281031842c8ef2"/>
    <w:p>
      <w:pPr>
        <w:pStyle w:val="Heading3"/>
      </w:pPr>
      <w:r>
        <w:t xml:space="preserve">SCENARIO 30: Saudi Olympic Esports with Global Participants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Attribute</w:t>
            </w:r>
          </w:p>
        </w:tc>
        <w:tc>
          <w:tcPr/>
          <w:p>
            <w:pPr>
              <w:pStyle w:val="Compact"/>
              <w:jc w:val="left"/>
            </w:pPr>
            <w:r>
              <w:t xml:space="preserve">Details</w:t>
            </w:r>
          </w:p>
        </w:tc>
      </w:tr>
      <w:tr>
        <w:tc>
          <w:tcPr/>
          <w:p>
            <w:pPr>
              <w:pStyle w:val="Compact"/>
              <w:jc w:val="left"/>
            </w:pPr>
            <w:r>
              <w:rPr>
                <w:bCs/>
                <w:b/>
              </w:rPr>
              <w:t xml:space="preserve">Origin</w:t>
            </w:r>
          </w:p>
        </w:tc>
        <w:tc>
          <w:tcPr/>
          <w:p>
            <w:pPr>
              <w:pStyle w:val="Compact"/>
              <w:jc w:val="left"/>
            </w:pPr>
            <w:r>
              <w:t xml:space="preserve">Saudi Arabia (Vision 2030, Olympic Esports Games)</w:t>
            </w:r>
          </w:p>
        </w:tc>
      </w:tr>
      <w:tr>
        <w:tc>
          <w:tcPr/>
          <w:p>
            <w:pPr>
              <w:pStyle w:val="Compact"/>
              <w:jc w:val="left"/>
            </w:pPr>
            <w:r>
              <w:rPr>
                <w:bCs/>
                <w:b/>
              </w:rPr>
              <w:t xml:space="preserve">Destination</w:t>
            </w:r>
          </w:p>
        </w:tc>
        <w:tc>
          <w:tcPr/>
          <w:p>
            <w:pPr>
              <w:pStyle w:val="Compact"/>
              <w:jc w:val="left"/>
            </w:pPr>
            <w:r>
              <w:t xml:space="preserve">EU, US, China, Korea participants</w:t>
            </w:r>
          </w:p>
        </w:tc>
      </w:tr>
      <w:tr>
        <w:tc>
          <w:tcPr/>
          <w:p>
            <w:pPr>
              <w:pStyle w:val="Compact"/>
              <w:jc w:val="left"/>
            </w:pPr>
            <w:r>
              <w:rPr>
                <w:bCs/>
                <w:b/>
              </w:rPr>
              <w:t xml:space="preserve">Industry</w:t>
            </w:r>
          </w:p>
        </w:tc>
        <w:tc>
          <w:tcPr/>
          <w:p>
            <w:pPr>
              <w:pStyle w:val="Compact"/>
              <w:jc w:val="left"/>
            </w:pPr>
            <w:r>
              <w:t xml:space="preserve">E-sports &amp; Competitive Gaming (#35), Gaming AI (#31)</w:t>
            </w:r>
          </w:p>
        </w:tc>
      </w:tr>
      <w:tr>
        <w:tc>
          <w:tcPr/>
          <w:p>
            <w:pPr>
              <w:pStyle w:val="Compact"/>
              <w:jc w:val="left"/>
            </w:pPr>
            <w:r>
              <w:rPr>
                <w:bCs/>
                <w:b/>
              </w:rPr>
              <w:t xml:space="preserve">Conflict</w:t>
            </w:r>
          </w:p>
        </w:tc>
        <w:tc>
          <w:tcPr/>
          <w:p>
            <w:pPr>
              <w:pStyle w:val="Compact"/>
              <w:jc w:val="left"/>
            </w:pPr>
            <w:r>
              <w:t xml:space="preserve">Saudi IP protection (SAIP). EU GDPR for European players. Chinese NPPA content restrictions on game titles. Korean esports regulations (KeSPA). Women’s participation under Saudi regulations. Different gambling/loot box laws. Cultural content restrictions vs. international gaming standards.</w:t>
            </w:r>
          </w:p>
        </w:tc>
      </w:tr>
      <w:tr>
        <w:tc>
          <w:tcPr/>
          <w:p>
            <w:pPr>
              <w:pStyle w:val="Compact"/>
              <w:jc w:val="left"/>
            </w:pPr>
            <w:r>
              <w:rPr>
                <w:bCs/>
                <w:b/>
              </w:rPr>
              <w:t xml:space="preserve">Compliance Requirements</w:t>
            </w:r>
          </w:p>
        </w:tc>
        <w:tc>
          <w:tcPr/>
          <w:p>
            <w:pPr>
              <w:pStyle w:val="Compact"/>
              <w:jc w:val="left"/>
            </w:pPr>
            <w:r>
              <w:t xml:space="preserve">Saudi: SAIP IP registration, MISA licensing; EU: GDPR for player data, AI Act for anti-cheat systems; China: NPPA-approved game titles only; Korea: KeSPA player contract standards; multi-jurisdiction player age verification; loot box compliance per country; streaming rights clearing</w:t>
            </w:r>
          </w:p>
        </w:tc>
      </w:tr>
      <w:tr>
        <w:tc>
          <w:tcPr/>
          <w:p>
            <w:pPr>
              <w:pStyle w:val="Compact"/>
              <w:jc w:val="left"/>
            </w:pPr>
            <w:r>
              <w:rPr>
                <w:bCs/>
                <w:b/>
              </w:rPr>
              <w:t xml:space="preserve">Simulation Parameters</w:t>
            </w:r>
          </w:p>
        </w:tc>
        <w:tc>
          <w:tcPr/>
          <w:p>
            <w:pPr>
              <w:pStyle w:val="Compact"/>
              <w:jc w:val="left"/>
            </w:pPr>
            <w:r>
              <w:t xml:space="preserve">(1) Player eligibility rate by jurisdiction, (2) Content modification requirements, (3) Prize pool distribution complexity, (4) Viewership by market</w:t>
            </w:r>
          </w:p>
        </w:tc>
      </w:tr>
      <w:tr>
        <w:tc>
          <w:tcPr/>
          <w:p>
            <w:pPr>
              <w:pStyle w:val="Compact"/>
              <w:jc w:val="left"/>
            </w:pPr>
            <w:r>
              <w:rPr>
                <w:bCs/>
                <w:b/>
              </w:rPr>
              <w:t xml:space="preserve">MEOK Civilization</w:t>
            </w:r>
          </w:p>
        </w:tc>
        <w:tc>
          <w:tcPr/>
          <w:p>
            <w:pPr>
              <w:pStyle w:val="Compact"/>
              <w:jc w:val="left"/>
            </w:pPr>
            <w:r>
              <w:rPr>
                <w:bCs/>
                <w:b/>
              </w:rPr>
              <w:t xml:space="preserve">Gulf Technate</w:t>
            </w:r>
            <w:r>
              <w:t xml:space="preserve"> </w:t>
            </w:r>
            <w:r>
              <w:t xml:space="preserve">(Saudi host) → ALL civilizations</w:t>
            </w:r>
          </w:p>
        </w:tc>
      </w:tr>
      <w:tr>
        <w:tc>
          <w:tcPr/>
          <w:p>
            <w:pPr>
              <w:pStyle w:val="Compact"/>
              <w:jc w:val="left"/>
            </w:pPr>
            <w:r>
              <w:rPr>
                <w:bCs/>
                <w:b/>
              </w:rPr>
              <w:t xml:space="preserve">Priority Score</w:t>
            </w:r>
          </w:p>
        </w:tc>
        <w:tc>
          <w:tcPr/>
          <w:p>
            <w:pPr>
              <w:pStyle w:val="Compact"/>
              <w:jc w:val="left"/>
            </w:pPr>
            <w:r>
              <w:t xml:space="preserve">7.1/10</w:t>
            </w:r>
          </w:p>
        </w:tc>
      </w:tr>
    </w:tbl>
    <w:p>
      <w:r>
        <w:pict>
          <v:rect style="width:0;height:1.5pt" o:hralign="center" o:hrstd="t" o:hr="t"/>
        </w:pict>
      </w:r>
    </w:p>
    <w:bookmarkEnd w:id="74"/>
    <w:bookmarkEnd w:id="75"/>
    <w:bookmarkStart w:id="80" w:name="Xdfe01b856d6d946d259ba2c88706fbccc7e2e67"/>
    <w:p>
      <w:pPr>
        <w:pStyle w:val="Heading2"/>
      </w:pPr>
      <w:r>
        <w:t xml:space="preserve">5. The Gold Mine Index: Prioritized Simulation Scenarios</w:t>
      </w:r>
    </w:p>
    <w:bookmarkStart w:id="76" w:name="scoring-methodology"/>
    <w:p>
      <w:pPr>
        <w:pStyle w:val="Heading3"/>
      </w:pPr>
      <w:r>
        <w:t xml:space="preserve">Scoring Methodology</w:t>
      </w:r>
    </w:p>
    <w:p>
      <w:pPr>
        <w:pStyle w:val="FirstParagraph"/>
      </w:pPr>
      <w:r>
        <w:t xml:space="preserve">Each scenario is scored across five dimensions (0-10 each, max 50):</w:t>
      </w:r>
    </w:p>
    <w:tbl>
      <w:tblPr>
        <w:tblStyle w:val="Table"/>
        <w:tblW w:type="pct" w:w="5000"/>
        <w:tblLook w:firstRow="1" w:lastRow="0" w:firstColumn="0" w:lastColumn="0" w:noHBand="0" w:noVBand="0" w:val="0020"/>
      </w:tblPr>
      <w:tblGrid>
        <w:gridCol w:w="2722"/>
        <w:gridCol w:w="1980"/>
        <w:gridCol w:w="3217"/>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Description</w:t>
            </w:r>
          </w:p>
        </w:tc>
      </w:tr>
      <w:tr>
        <w:tc>
          <w:tcPr/>
          <w:p>
            <w:pPr>
              <w:pStyle w:val="Compact"/>
              <w:jc w:val="left"/>
            </w:pPr>
            <w:r>
              <w:rPr>
                <w:bCs/>
                <w:b/>
              </w:rPr>
              <w:t xml:space="preserve">Market Size</w:t>
            </w:r>
          </w:p>
        </w:tc>
        <w:tc>
          <w:tcPr/>
          <w:p>
            <w:pPr>
              <w:pStyle w:val="Compact"/>
              <w:jc w:val="left"/>
            </w:pPr>
            <w:r>
              <w:t xml:space="preserve">20%</w:t>
            </w:r>
          </w:p>
        </w:tc>
        <w:tc>
          <w:tcPr/>
          <w:p>
            <w:pPr>
              <w:pStyle w:val="Compact"/>
              <w:jc w:val="left"/>
            </w:pPr>
            <w:r>
              <w:t xml:space="preserve">Total addressable market for this cross-border flow</w:t>
            </w:r>
          </w:p>
        </w:tc>
      </w:tr>
      <w:tr>
        <w:tc>
          <w:tcPr/>
          <w:p>
            <w:pPr>
              <w:pStyle w:val="Compact"/>
              <w:jc w:val="left"/>
            </w:pPr>
            <w:r>
              <w:rPr>
                <w:bCs/>
                <w:b/>
              </w:rPr>
              <w:t xml:space="preserve">Regulatory Urgency</w:t>
            </w:r>
          </w:p>
        </w:tc>
        <w:tc>
          <w:tcPr/>
          <w:p>
            <w:pPr>
              <w:pStyle w:val="Compact"/>
              <w:jc w:val="left"/>
            </w:pPr>
            <w:r>
              <w:t xml:space="preserve">25%</w:t>
            </w:r>
          </w:p>
        </w:tc>
        <w:tc>
          <w:tcPr/>
          <w:p>
            <w:pPr>
              <w:pStyle w:val="Compact"/>
              <w:jc w:val="left"/>
            </w:pPr>
            <w:r>
              <w:t xml:space="preserve">How imminent is the compliance deadline?</w:t>
            </w:r>
          </w:p>
        </w:tc>
      </w:tr>
      <w:tr>
        <w:tc>
          <w:tcPr/>
          <w:p>
            <w:pPr>
              <w:pStyle w:val="Compact"/>
              <w:jc w:val="left"/>
            </w:pPr>
            <w:r>
              <w:rPr>
                <w:bCs/>
                <w:b/>
              </w:rPr>
              <w:t xml:space="preserve">Data Availability</w:t>
            </w:r>
          </w:p>
        </w:tc>
        <w:tc>
          <w:tcPr/>
          <w:p>
            <w:pPr>
              <w:pStyle w:val="Compact"/>
              <w:jc w:val="left"/>
            </w:pPr>
            <w:r>
              <w:t xml:space="preserve">20%</w:t>
            </w:r>
          </w:p>
        </w:tc>
        <w:tc>
          <w:tcPr/>
          <w:p>
            <w:pPr>
              <w:pStyle w:val="Compact"/>
              <w:jc w:val="left"/>
            </w:pPr>
            <w:r>
              <w:t xml:space="preserve">Quality and quantity of public data for simulation</w:t>
            </w:r>
          </w:p>
        </w:tc>
      </w:tr>
      <w:tr>
        <w:tc>
          <w:tcPr/>
          <w:p>
            <w:pPr>
              <w:pStyle w:val="Compact"/>
              <w:jc w:val="left"/>
            </w:pPr>
            <w:r>
              <w:rPr>
                <w:bCs/>
                <w:b/>
              </w:rPr>
              <w:t xml:space="preserve">Simulation Feasibility</w:t>
            </w:r>
          </w:p>
        </w:tc>
        <w:tc>
          <w:tcPr/>
          <w:p>
            <w:pPr>
              <w:pStyle w:val="Compact"/>
              <w:jc w:val="left"/>
            </w:pPr>
            <w:r>
              <w:t xml:space="preserve">20%</w:t>
            </w:r>
          </w:p>
        </w:tc>
        <w:tc>
          <w:tcPr/>
          <w:p>
            <w:pPr>
              <w:pStyle w:val="Compact"/>
              <w:jc w:val="left"/>
            </w:pPr>
            <w:r>
              <w:t xml:space="preserve">Technical complexity of building the simulation</w:t>
            </w:r>
          </w:p>
        </w:tc>
      </w:tr>
      <w:tr>
        <w:tc>
          <w:tcPr/>
          <w:p>
            <w:pPr>
              <w:pStyle w:val="Compact"/>
              <w:jc w:val="left"/>
            </w:pPr>
            <w:r>
              <w:rPr>
                <w:bCs/>
                <w:b/>
              </w:rPr>
              <w:t xml:space="preserve">Conflict Severity</w:t>
            </w:r>
          </w:p>
        </w:tc>
        <w:tc>
          <w:tcPr/>
          <w:p>
            <w:pPr>
              <w:pStyle w:val="Compact"/>
              <w:jc w:val="left"/>
            </w:pPr>
            <w:r>
              <w:t xml:space="preserve">15%</w:t>
            </w:r>
          </w:p>
        </w:tc>
        <w:tc>
          <w:tcPr/>
          <w:p>
            <w:pPr>
              <w:pStyle w:val="Compact"/>
              <w:jc w:val="left"/>
            </w:pPr>
            <w:r>
              <w:t xml:space="preserve">How profound is the regulatory conflict?</w:t>
            </w:r>
          </w:p>
        </w:tc>
      </w:tr>
    </w:tbl>
    <w:p>
      <w:r>
        <w:pict>
          <v:rect style="width:0;height:1.5pt" o:hralign="center" o:hrstd="t" o:hr="t"/>
        </w:pict>
      </w:r>
    </w:p>
    <w:bookmarkEnd w:id="76"/>
    <w:bookmarkStart w:id="77" w:name="gold-mine-index-rankings"/>
    <w:p>
      <w:pPr>
        <w:pStyle w:val="Heading3"/>
      </w:pPr>
      <w:r>
        <w:t xml:space="preserve">Gold Mine Index Rankings</w:t>
      </w:r>
    </w:p>
    <w:tbl>
      <w:tblPr>
        <w:tblStyle w:val="Table"/>
        <w:tblW w:type="pct" w:w="5000"/>
        <w:tblLook w:firstRow="1" w:lastRow="0" w:firstColumn="0" w:lastColumn="0" w:noHBand="0" w:noVBand="0" w:val="0020"/>
      </w:tblPr>
      <w:tblGrid>
        <w:gridCol w:w="594"/>
        <w:gridCol w:w="990"/>
        <w:gridCol w:w="1287"/>
        <w:gridCol w:w="891"/>
        <w:gridCol w:w="594"/>
        <w:gridCol w:w="1287"/>
        <w:gridCol w:w="990"/>
        <w:gridCol w:w="693"/>
        <w:gridCol w:w="594"/>
      </w:tblGrid>
      <w:tr>
        <w:trPr>
          <w:tblHeader w:val="true"/>
        </w:trPr>
        <w:tc>
          <w:tcPr/>
          <w:p>
            <w:pPr>
              <w:pStyle w:val="Compact"/>
              <w:jc w:val="left"/>
            </w:pPr>
            <w:r>
              <w:t xml:space="preserve">Rank</w:t>
            </w:r>
          </w:p>
        </w:tc>
        <w:tc>
          <w:tcPr/>
          <w:p>
            <w:pPr>
              <w:pStyle w:val="Compact"/>
              <w:jc w:val="left"/>
            </w:pPr>
            <w:r>
              <w:t xml:space="preserve">Scenario</w:t>
            </w:r>
          </w:p>
        </w:tc>
        <w:tc>
          <w:tcPr/>
          <w:p>
            <w:pPr>
              <w:pStyle w:val="Compact"/>
              <w:jc w:val="left"/>
            </w:pPr>
            <w:r>
              <w:t xml:space="preserve">Market Size</w:t>
            </w:r>
          </w:p>
        </w:tc>
        <w:tc>
          <w:tcPr/>
          <w:p>
            <w:pPr>
              <w:pStyle w:val="Compact"/>
              <w:jc w:val="left"/>
            </w:pPr>
            <w:r>
              <w:t xml:space="preserve">Urgency</w:t>
            </w:r>
          </w:p>
        </w:tc>
        <w:tc>
          <w:tcPr/>
          <w:p>
            <w:pPr>
              <w:pStyle w:val="Compact"/>
              <w:jc w:val="left"/>
            </w:pPr>
            <w:r>
              <w:t xml:space="preserve">Data</w:t>
            </w:r>
          </w:p>
        </w:tc>
        <w:tc>
          <w:tcPr/>
          <w:p>
            <w:pPr>
              <w:pStyle w:val="Compact"/>
              <w:jc w:val="left"/>
            </w:pPr>
            <w:r>
              <w:t xml:space="preserve">Feasibility</w:t>
            </w:r>
          </w:p>
        </w:tc>
        <w:tc>
          <w:tcPr/>
          <w:p>
            <w:pPr>
              <w:pStyle w:val="Compact"/>
              <w:jc w:val="left"/>
            </w:pPr>
            <w:r>
              <w:t xml:space="preserve">Conflict</w:t>
            </w:r>
          </w:p>
        </w:tc>
        <w:tc>
          <w:tcPr/>
          <w:p>
            <w:pPr>
              <w:pStyle w:val="Compact"/>
              <w:jc w:val="left"/>
            </w:pPr>
            <w:r>
              <w:t xml:space="preserve">TOTAL</w:t>
            </w:r>
          </w:p>
        </w:tc>
        <w:tc>
          <w:tcPr/>
          <w:p>
            <w:pPr>
              <w:pStyle w:val="Compact"/>
              <w:jc w:val="left"/>
            </w:pPr>
            <w:r>
              <w:t xml:space="preserve">Tier</w:t>
            </w:r>
          </w:p>
        </w:tc>
      </w:tr>
      <w:tr>
        <w:tc>
          <w:tcPr/>
          <w:p>
            <w:pPr>
              <w:pStyle w:val="Compact"/>
              <w:jc w:val="left"/>
            </w:pPr>
            <w:r>
              <w:rPr>
                <w:bCs/>
                <w:b/>
              </w:rPr>
              <w:t xml:space="preserve">1</w:t>
            </w:r>
          </w:p>
        </w:tc>
        <w:tc>
          <w:tcPr/>
          <w:p>
            <w:pPr>
              <w:pStyle w:val="Compact"/>
              <w:jc w:val="left"/>
            </w:pPr>
            <w:r>
              <w:t xml:space="preserve">US LLM → EU Market (#7)</w:t>
            </w:r>
          </w:p>
        </w:tc>
        <w:tc>
          <w:tcPr/>
          <w:p>
            <w:pPr>
              <w:pStyle w:val="Compact"/>
              <w:jc w:val="left"/>
            </w:pPr>
            <w:r>
              <w:t xml:space="preserve">9</w:t>
            </w:r>
          </w:p>
        </w:tc>
        <w:tc>
          <w:tcPr/>
          <w:p>
            <w:pPr>
              <w:pStyle w:val="Compact"/>
              <w:jc w:val="left"/>
            </w:pPr>
            <w:r>
              <w:t xml:space="preserve">10</w:t>
            </w:r>
          </w:p>
        </w:tc>
        <w:tc>
          <w:tcPr/>
          <w:p>
            <w:pPr>
              <w:pStyle w:val="Compact"/>
              <w:jc w:val="left"/>
            </w:pPr>
            <w:r>
              <w:t xml:space="preserve">9</w:t>
            </w:r>
          </w:p>
        </w:tc>
        <w:tc>
          <w:tcPr/>
          <w:p>
            <w:pPr>
              <w:pStyle w:val="Compact"/>
              <w:jc w:val="left"/>
            </w:pPr>
            <w:r>
              <w:t xml:space="preserve">9</w:t>
            </w:r>
          </w:p>
        </w:tc>
        <w:tc>
          <w:tcPr/>
          <w:p>
            <w:pPr>
              <w:pStyle w:val="Compact"/>
              <w:jc w:val="left"/>
            </w:pPr>
            <w:r>
              <w:t xml:space="preserve">9</w:t>
            </w:r>
          </w:p>
        </w:tc>
        <w:tc>
          <w:tcPr/>
          <w:p>
            <w:pPr>
              <w:pStyle w:val="Compact"/>
              <w:jc w:val="left"/>
            </w:pPr>
            <w:r>
              <w:rPr>
                <w:bCs/>
                <w:b/>
              </w:rPr>
              <w:t xml:space="preserve">46.0</w:t>
            </w:r>
          </w:p>
        </w:tc>
        <w:tc>
          <w:tcPr/>
          <w:p>
            <w:pPr>
              <w:pStyle w:val="Compact"/>
              <w:jc w:val="left"/>
            </w:pPr>
            <w:r>
              <w:t xml:space="preserve">DIAMOND</w:t>
            </w:r>
          </w:p>
        </w:tc>
      </w:tr>
      <w:tr>
        <w:tc>
          <w:tcPr/>
          <w:p>
            <w:pPr>
              <w:pStyle w:val="Compact"/>
              <w:jc w:val="left"/>
            </w:pPr>
            <w:r>
              <w:rPr>
                <w:bCs/>
                <w:b/>
              </w:rPr>
              <w:t xml:space="preserve">2</w:t>
            </w:r>
          </w:p>
        </w:tc>
        <w:tc>
          <w:tcPr/>
          <w:p>
            <w:pPr>
              <w:pStyle w:val="Compact"/>
              <w:jc w:val="left"/>
            </w:pPr>
            <w:r>
              <w:t xml:space="preserve">Semiconductor Export Triangle (#22)</w:t>
            </w:r>
          </w:p>
        </w:tc>
        <w:tc>
          <w:tcPr/>
          <w:p>
            <w:pPr>
              <w:pStyle w:val="Compact"/>
              <w:jc w:val="left"/>
            </w:pPr>
            <w:r>
              <w:t xml:space="preserve">9</w:t>
            </w:r>
          </w:p>
        </w:tc>
        <w:tc>
          <w:tcPr/>
          <w:p>
            <w:pPr>
              <w:pStyle w:val="Compact"/>
              <w:jc w:val="left"/>
            </w:pPr>
            <w:r>
              <w:t xml:space="preserve">9</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c>
          <w:tcPr/>
          <w:p>
            <w:pPr>
              <w:pStyle w:val="Compact"/>
              <w:jc w:val="left"/>
            </w:pPr>
            <w:r>
              <w:rPr>
                <w:bCs/>
                <w:b/>
              </w:rPr>
              <w:t xml:space="preserve">44.0</w:t>
            </w:r>
          </w:p>
        </w:tc>
        <w:tc>
          <w:tcPr/>
          <w:p>
            <w:pPr>
              <w:pStyle w:val="Compact"/>
              <w:jc w:val="left"/>
            </w:pPr>
            <w:r>
              <w:t xml:space="preserve">DIAMOND</w:t>
            </w:r>
          </w:p>
        </w:tc>
      </w:tr>
      <w:tr>
        <w:tc>
          <w:tcPr/>
          <w:p>
            <w:pPr>
              <w:pStyle w:val="Compact"/>
              <w:jc w:val="left"/>
            </w:pPr>
            <w:r>
              <w:rPr>
                <w:bCs/>
                <w:b/>
              </w:rPr>
              <w:t xml:space="preserve">3</w:t>
            </w:r>
          </w:p>
        </w:tc>
        <w:tc>
          <w:tcPr/>
          <w:p>
            <w:pPr>
              <w:pStyle w:val="Compact"/>
              <w:jc w:val="left"/>
            </w:pPr>
            <w:r>
              <w:t xml:space="preserve">Critical Infrastructure AI - Power Grid (#23)</w:t>
            </w:r>
          </w:p>
        </w:tc>
        <w:tc>
          <w:tcPr/>
          <w:p>
            <w:pPr>
              <w:pStyle w:val="Compact"/>
              <w:jc w:val="left"/>
            </w:pPr>
            <w:r>
              <w:t xml:space="preserve">8</w:t>
            </w:r>
          </w:p>
        </w:tc>
        <w:tc>
          <w:tcPr/>
          <w:p>
            <w:pPr>
              <w:pStyle w:val="Compact"/>
              <w:jc w:val="left"/>
            </w:pPr>
            <w:r>
              <w:t xml:space="preserve">9</w:t>
            </w:r>
          </w:p>
        </w:tc>
        <w:tc>
          <w:tcPr/>
          <w:p>
            <w:pPr>
              <w:pStyle w:val="Compact"/>
              <w:jc w:val="left"/>
            </w:pPr>
            <w:r>
              <w:t xml:space="preserve">9</w:t>
            </w:r>
          </w:p>
        </w:tc>
        <w:tc>
          <w:tcPr/>
          <w:p>
            <w:pPr>
              <w:pStyle w:val="Compact"/>
              <w:jc w:val="left"/>
            </w:pPr>
            <w:r>
              <w:t xml:space="preserve">8</w:t>
            </w:r>
          </w:p>
        </w:tc>
        <w:tc>
          <w:tcPr/>
          <w:p>
            <w:pPr>
              <w:pStyle w:val="Compact"/>
              <w:jc w:val="left"/>
            </w:pPr>
            <w:r>
              <w:t xml:space="preserve">10</w:t>
            </w:r>
          </w:p>
        </w:tc>
        <w:tc>
          <w:tcPr/>
          <w:p>
            <w:pPr>
              <w:pStyle w:val="Compact"/>
              <w:jc w:val="left"/>
            </w:pPr>
            <w:r>
              <w:rPr>
                <w:bCs/>
                <w:b/>
              </w:rPr>
              <w:t xml:space="preserve">44.0</w:t>
            </w:r>
          </w:p>
        </w:tc>
        <w:tc>
          <w:tcPr/>
          <w:p>
            <w:pPr>
              <w:pStyle w:val="Compact"/>
              <w:jc w:val="left"/>
            </w:pPr>
            <w:r>
              <w:t xml:space="preserve">DIAMOND</w:t>
            </w:r>
          </w:p>
        </w:tc>
      </w:tr>
      <w:tr>
        <w:tc>
          <w:tcPr/>
          <w:p>
            <w:pPr>
              <w:pStyle w:val="Compact"/>
              <w:jc w:val="left"/>
            </w:pPr>
            <w:r>
              <w:rPr>
                <w:bCs/>
                <w:b/>
              </w:rPr>
              <w:t xml:space="preserve">4</w:t>
            </w:r>
          </w:p>
        </w:tc>
        <w:tc>
          <w:tcPr/>
          <w:p>
            <w:pPr>
              <w:pStyle w:val="Compact"/>
              <w:jc w:val="left"/>
            </w:pPr>
            <w:r>
              <w:t xml:space="preserve">EU Medical AI → India (#4)</w:t>
            </w:r>
          </w:p>
        </w:tc>
        <w:tc>
          <w:tcPr/>
          <w:p>
            <w:pPr>
              <w:pStyle w:val="Compact"/>
              <w:jc w:val="left"/>
            </w:pPr>
            <w:r>
              <w:t xml:space="preserve">9</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9</w:t>
            </w:r>
          </w:p>
        </w:tc>
        <w:tc>
          <w:tcPr/>
          <w:p>
            <w:pPr>
              <w:pStyle w:val="Compact"/>
              <w:jc w:val="left"/>
            </w:pPr>
            <w:r>
              <w:rPr>
                <w:bCs/>
                <w:b/>
              </w:rPr>
              <w:t xml:space="preserve">42.0</w:t>
            </w:r>
          </w:p>
        </w:tc>
        <w:tc>
          <w:tcPr/>
          <w:p>
            <w:pPr>
              <w:pStyle w:val="Compact"/>
              <w:jc w:val="left"/>
            </w:pPr>
            <w:r>
              <w:t xml:space="preserve">DIAMOND</w:t>
            </w:r>
          </w:p>
        </w:tc>
      </w:tr>
      <w:tr>
        <w:tc>
          <w:tcPr/>
          <w:p>
            <w:pPr>
              <w:pStyle w:val="Compact"/>
              <w:jc w:val="left"/>
            </w:pPr>
            <w:r>
              <w:rPr>
                <w:bCs/>
                <w:b/>
              </w:rPr>
              <w:t xml:space="preserve">5</w:t>
            </w:r>
          </w:p>
        </w:tc>
        <w:tc>
          <w:tcPr/>
          <w:p>
            <w:pPr>
              <w:pStyle w:val="Compact"/>
              <w:jc w:val="left"/>
            </w:pPr>
            <w:r>
              <w:t xml:space="preserve">Singapore Agentic AI → EU (#12)</w:t>
            </w:r>
          </w:p>
        </w:tc>
        <w:tc>
          <w:tcPr/>
          <w:p>
            <w:pPr>
              <w:pStyle w:val="Compact"/>
              <w:jc w:val="left"/>
            </w:pPr>
            <w:r>
              <w:t xml:space="preserve">9</w:t>
            </w:r>
          </w:p>
        </w:tc>
        <w:tc>
          <w:tcPr/>
          <w:p>
            <w:pPr>
              <w:pStyle w:val="Compact"/>
              <w:jc w:val="left"/>
            </w:pPr>
            <w:r>
              <w:t xml:space="preserve">9</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rPr>
                <w:bCs/>
                <w:b/>
              </w:rPr>
              <w:t xml:space="preserve">42.0</w:t>
            </w:r>
          </w:p>
        </w:tc>
        <w:tc>
          <w:tcPr/>
          <w:p>
            <w:pPr>
              <w:pStyle w:val="Compact"/>
              <w:jc w:val="left"/>
            </w:pPr>
            <w:r>
              <w:t xml:space="preserve">DIAMOND</w:t>
            </w:r>
          </w:p>
        </w:tc>
      </w:tr>
      <w:tr>
        <w:tc>
          <w:tcPr/>
          <w:p>
            <w:pPr>
              <w:pStyle w:val="Compact"/>
              <w:jc w:val="left"/>
            </w:pPr>
            <w:r>
              <w:rPr>
                <w:bCs/>
                <w:b/>
              </w:rPr>
              <w:t xml:space="preserve">6</w:t>
            </w:r>
          </w:p>
        </w:tc>
        <w:tc>
          <w:tcPr/>
          <w:p>
            <w:pPr>
              <w:pStyle w:val="Compact"/>
              <w:jc w:val="left"/>
            </w:pPr>
            <w:r>
              <w:t xml:space="preserve">Global Bank PQC Migration (#15)</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7</w:t>
            </w:r>
          </w:p>
        </w:tc>
        <w:tc>
          <w:tcPr/>
          <w:p>
            <w:pPr>
              <w:pStyle w:val="Compact"/>
              <w:jc w:val="left"/>
            </w:pPr>
            <w:r>
              <w:t xml:space="preserve">9</w:t>
            </w:r>
          </w:p>
        </w:tc>
        <w:tc>
          <w:tcPr/>
          <w:p>
            <w:pPr>
              <w:pStyle w:val="Compact"/>
              <w:jc w:val="left"/>
            </w:pPr>
            <w:r>
              <w:rPr>
                <w:bCs/>
                <w:b/>
              </w:rPr>
              <w:t xml:space="preserve">40.0</w:t>
            </w:r>
          </w:p>
        </w:tc>
        <w:tc>
          <w:tcPr/>
          <w:p>
            <w:pPr>
              <w:pStyle w:val="Compact"/>
              <w:jc w:val="left"/>
            </w:pPr>
            <w:r>
              <w:t xml:space="preserve">PLATINUM</w:t>
            </w:r>
          </w:p>
        </w:tc>
      </w:tr>
      <w:tr>
        <w:tc>
          <w:tcPr/>
          <w:p>
            <w:pPr>
              <w:pStyle w:val="Compact"/>
              <w:jc w:val="left"/>
            </w:pPr>
            <w:r>
              <w:rPr>
                <w:bCs/>
                <w:b/>
              </w:rPr>
              <w:t xml:space="preserve">7</w:t>
            </w:r>
          </w:p>
        </w:tc>
        <w:tc>
          <w:tcPr/>
          <w:p>
            <w:pPr>
              <w:pStyle w:val="Compact"/>
              <w:jc w:val="left"/>
            </w:pPr>
            <w:r>
              <w:t xml:space="preserve">Dubai AI Trading Bot → Singapore (#3)</w:t>
            </w:r>
          </w:p>
        </w:tc>
        <w:tc>
          <w:tcPr/>
          <w:p>
            <w:pPr>
              <w:pStyle w:val="Compact"/>
              <w:jc w:val="left"/>
            </w:pPr>
            <w:r>
              <w:t xml:space="preserve">8</w:t>
            </w:r>
          </w:p>
        </w:tc>
        <w:tc>
          <w:tcPr/>
          <w:p>
            <w:pPr>
              <w:pStyle w:val="Compact"/>
              <w:jc w:val="left"/>
            </w:pPr>
            <w:r>
              <w:t xml:space="preserve">8</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rPr>
                <w:bCs/>
                <w:b/>
              </w:rPr>
              <w:t xml:space="preserve">39.0</w:t>
            </w:r>
          </w:p>
        </w:tc>
        <w:tc>
          <w:tcPr/>
          <w:p>
            <w:pPr>
              <w:pStyle w:val="Compact"/>
              <w:jc w:val="left"/>
            </w:pPr>
            <w:r>
              <w:t xml:space="preserve">PLATINUM</w:t>
            </w:r>
          </w:p>
        </w:tc>
      </w:tr>
      <w:tr>
        <w:tc>
          <w:tcPr/>
          <w:p>
            <w:pPr>
              <w:pStyle w:val="Compact"/>
              <w:jc w:val="left"/>
            </w:pPr>
            <w:r>
              <w:rPr>
                <w:bCs/>
                <w:b/>
              </w:rPr>
              <w:t xml:space="preserve">8</w:t>
            </w:r>
          </w:p>
        </w:tc>
        <w:tc>
          <w:tcPr/>
          <w:p>
            <w:pPr>
              <w:pStyle w:val="Compact"/>
              <w:jc w:val="left"/>
            </w:pPr>
            <w:r>
              <w:t xml:space="preserve">Chinese AI Drug Discovery + EU Data (#8)</w:t>
            </w:r>
          </w:p>
        </w:tc>
        <w:tc>
          <w:tcPr/>
          <w:p>
            <w:pPr>
              <w:pStyle w:val="Compact"/>
              <w:jc w:val="left"/>
            </w:pPr>
            <w:r>
              <w:t xml:space="preserve">8</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10</w:t>
            </w:r>
          </w:p>
        </w:tc>
        <w:tc>
          <w:tcPr/>
          <w:p>
            <w:pPr>
              <w:pStyle w:val="Compact"/>
              <w:jc w:val="left"/>
            </w:pPr>
            <w:r>
              <w:rPr>
                <w:bCs/>
                <w:b/>
              </w:rPr>
              <w:t xml:space="preserve">39.0</w:t>
            </w:r>
          </w:p>
        </w:tc>
        <w:tc>
          <w:tcPr/>
          <w:p>
            <w:pPr>
              <w:pStyle w:val="Compact"/>
              <w:jc w:val="left"/>
            </w:pPr>
            <w:r>
              <w:t xml:space="preserve">PLATINUM</w:t>
            </w:r>
          </w:p>
        </w:tc>
      </w:tr>
      <w:tr>
        <w:tc>
          <w:tcPr/>
          <w:p>
            <w:pPr>
              <w:pStyle w:val="Compact"/>
              <w:jc w:val="left"/>
            </w:pPr>
            <w:r>
              <w:rPr>
                <w:bCs/>
                <w:b/>
              </w:rPr>
              <w:t xml:space="preserve">9</w:t>
            </w:r>
          </w:p>
        </w:tc>
        <w:tc>
          <w:tcPr/>
          <w:p>
            <w:pPr>
              <w:pStyle w:val="Compact"/>
              <w:jc w:val="left"/>
            </w:pPr>
            <w:r>
              <w:t xml:space="preserve">Cross-Border Cloud Sovereign Deploy (#28)</w:t>
            </w:r>
          </w:p>
        </w:tc>
        <w:tc>
          <w:tcPr/>
          <w:p>
            <w:pPr>
              <w:pStyle w:val="Compact"/>
              <w:jc w:val="left"/>
            </w:pPr>
            <w:r>
              <w:t xml:space="preserve">9</w:t>
            </w:r>
          </w:p>
        </w:tc>
        <w:tc>
          <w:tcPr/>
          <w:p>
            <w:pPr>
              <w:pStyle w:val="Compact"/>
              <w:jc w:val="left"/>
            </w:pPr>
            <w:r>
              <w:t xml:space="preserve">8</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rPr>
                <w:bCs/>
                <w:b/>
              </w:rPr>
              <w:t xml:space="preserve">38.0</w:t>
            </w:r>
          </w:p>
        </w:tc>
        <w:tc>
          <w:tcPr/>
          <w:p>
            <w:pPr>
              <w:pStyle w:val="Compact"/>
              <w:jc w:val="left"/>
            </w:pPr>
            <w:r>
              <w:t xml:space="preserve">PLATINUM</w:t>
            </w:r>
          </w:p>
        </w:tc>
      </w:tr>
      <w:tr>
        <w:tc>
          <w:tcPr/>
          <w:p>
            <w:pPr>
              <w:pStyle w:val="Compact"/>
              <w:jc w:val="left"/>
            </w:pPr>
            <w:r>
              <w:rPr>
                <w:bCs/>
                <w:b/>
              </w:rPr>
              <w:t xml:space="preserve">10</w:t>
            </w:r>
          </w:p>
        </w:tc>
        <w:tc>
          <w:tcPr/>
          <w:p>
            <w:pPr>
              <w:pStyle w:val="Compact"/>
              <w:jc w:val="left"/>
            </w:pPr>
            <w:r>
              <w:t xml:space="preserve">US Defense AI → Five Eyes (#14)</w:t>
            </w:r>
          </w:p>
        </w:tc>
        <w:tc>
          <w:tcPr/>
          <w:p>
            <w:pPr>
              <w:pStyle w:val="Compact"/>
              <w:jc w:val="left"/>
            </w:pPr>
            <w:r>
              <w:t xml:space="preserve">7</w:t>
            </w:r>
          </w:p>
        </w:tc>
        <w:tc>
          <w:tcPr/>
          <w:p>
            <w:pPr>
              <w:pStyle w:val="Compact"/>
              <w:jc w:val="left"/>
            </w:pPr>
            <w:r>
              <w:t xml:space="preserve">8</w:t>
            </w:r>
          </w:p>
        </w:tc>
        <w:tc>
          <w:tcPr/>
          <w:p>
            <w:pPr>
              <w:pStyle w:val="Compact"/>
              <w:jc w:val="left"/>
            </w:pPr>
            <w:r>
              <w:t xml:space="preserve">6</w:t>
            </w:r>
          </w:p>
        </w:tc>
        <w:tc>
          <w:tcPr/>
          <w:p>
            <w:pPr>
              <w:pStyle w:val="Compact"/>
              <w:jc w:val="left"/>
            </w:pPr>
            <w:r>
              <w:t xml:space="preserve">7</w:t>
            </w:r>
          </w:p>
        </w:tc>
        <w:tc>
          <w:tcPr/>
          <w:p>
            <w:pPr>
              <w:pStyle w:val="Compact"/>
              <w:jc w:val="left"/>
            </w:pPr>
            <w:r>
              <w:t xml:space="preserve">10</w:t>
            </w:r>
          </w:p>
        </w:tc>
        <w:tc>
          <w:tcPr/>
          <w:p>
            <w:pPr>
              <w:pStyle w:val="Compact"/>
              <w:jc w:val="left"/>
            </w:pPr>
            <w:r>
              <w:rPr>
                <w:bCs/>
                <w:b/>
              </w:rPr>
              <w:t xml:space="preserve">38.0</w:t>
            </w:r>
          </w:p>
        </w:tc>
        <w:tc>
          <w:tcPr/>
          <w:p>
            <w:pPr>
              <w:pStyle w:val="Compact"/>
              <w:jc w:val="left"/>
            </w:pPr>
            <w:r>
              <w:t xml:space="preserve">PLATINUM</w:t>
            </w:r>
          </w:p>
        </w:tc>
      </w:tr>
      <w:tr>
        <w:tc>
          <w:tcPr/>
          <w:p>
            <w:pPr>
              <w:pStyle w:val="Compact"/>
              <w:jc w:val="left"/>
            </w:pPr>
            <w:r>
              <w:t xml:space="preserve">11</w:t>
            </w:r>
          </w:p>
        </w:tc>
        <w:tc>
          <w:tcPr/>
          <w:p>
            <w:pPr>
              <w:pStyle w:val="Compact"/>
              <w:jc w:val="left"/>
            </w:pPr>
            <w:r>
              <w:t xml:space="preserve">Chinese Humanoid Robot → UK (#1)</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rPr>
                <w:bCs/>
                <w:b/>
              </w:rPr>
              <w:t xml:space="preserve">37.0</w:t>
            </w:r>
          </w:p>
        </w:tc>
        <w:tc>
          <w:tcPr/>
          <w:p>
            <w:pPr>
              <w:pStyle w:val="Compact"/>
              <w:jc w:val="left"/>
            </w:pPr>
            <w:r>
              <w:t xml:space="preserve">GOLD</w:t>
            </w:r>
          </w:p>
        </w:tc>
      </w:tr>
      <w:tr>
        <w:tc>
          <w:tcPr/>
          <w:p>
            <w:pPr>
              <w:pStyle w:val="Compact"/>
              <w:jc w:val="left"/>
            </w:pPr>
            <w:r>
              <w:t xml:space="preserve">12</w:t>
            </w:r>
          </w:p>
        </w:tc>
        <w:tc>
          <w:tcPr/>
          <w:p>
            <w:pPr>
              <w:pStyle w:val="Compact"/>
              <w:jc w:val="left"/>
            </w:pPr>
            <w:r>
              <w:t xml:space="preserve">Japanese AV Ship → EU Waters (#6)</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8</w:t>
            </w:r>
          </w:p>
        </w:tc>
        <w:tc>
          <w:tcPr/>
          <w:p>
            <w:pPr>
              <w:pStyle w:val="Compact"/>
              <w:jc w:val="left"/>
            </w:pPr>
            <w:r>
              <w:rPr>
                <w:bCs/>
                <w:b/>
              </w:rPr>
              <w:t xml:space="preserve">36.0</w:t>
            </w:r>
          </w:p>
        </w:tc>
        <w:tc>
          <w:tcPr/>
          <w:p>
            <w:pPr>
              <w:pStyle w:val="Compact"/>
              <w:jc w:val="left"/>
            </w:pPr>
            <w:r>
              <w:t xml:space="preserve">GOLD</w:t>
            </w:r>
          </w:p>
        </w:tc>
      </w:tr>
      <w:tr>
        <w:tc>
          <w:tcPr/>
          <w:p>
            <w:pPr>
              <w:pStyle w:val="Compact"/>
              <w:jc w:val="left"/>
            </w:pPr>
            <w:r>
              <w:t xml:space="preserve">13</w:t>
            </w:r>
          </w:p>
        </w:tc>
        <w:tc>
          <w:tcPr/>
          <w:p>
            <w:pPr>
              <w:pStyle w:val="Compact"/>
              <w:jc w:val="left"/>
            </w:pPr>
            <w:r>
              <w:t xml:space="preserve">EU Financial AI Credit Scoring → US (#11)</w:t>
            </w:r>
          </w:p>
        </w:tc>
        <w:tc>
          <w:tcPr/>
          <w:p>
            <w:pPr>
              <w:pStyle w:val="Compact"/>
              <w:jc w:val="left"/>
            </w:pPr>
            <w:r>
              <w:t xml:space="preserve">8</w:t>
            </w:r>
          </w:p>
        </w:tc>
        <w:tc>
          <w:tcPr/>
          <w:p>
            <w:pPr>
              <w:pStyle w:val="Compact"/>
              <w:jc w:val="left"/>
            </w:pPr>
            <w:r>
              <w:t xml:space="preserve">7</w:t>
            </w:r>
          </w:p>
        </w:tc>
        <w:tc>
          <w:tcPr/>
          <w:p>
            <w:pPr>
              <w:pStyle w:val="Compact"/>
              <w:jc w:val="left"/>
            </w:pPr>
            <w:r>
              <w:t xml:space="preserve">8</w:t>
            </w:r>
          </w:p>
        </w:tc>
        <w:tc>
          <w:tcPr/>
          <w:p>
            <w:pPr>
              <w:pStyle w:val="Compact"/>
              <w:jc w:val="left"/>
            </w:pPr>
            <w:r>
              <w:t xml:space="preserve">7</w:t>
            </w:r>
          </w:p>
        </w:tc>
        <w:tc>
          <w:tcPr/>
          <w:p>
            <w:pPr>
              <w:pStyle w:val="Compact"/>
              <w:jc w:val="left"/>
            </w:pPr>
            <w:r>
              <w:t xml:space="preserve">6</w:t>
            </w:r>
          </w:p>
        </w:tc>
        <w:tc>
          <w:tcPr/>
          <w:p>
            <w:pPr>
              <w:pStyle w:val="Compact"/>
              <w:jc w:val="left"/>
            </w:pPr>
            <w:r>
              <w:rPr>
                <w:bCs/>
                <w:b/>
              </w:rPr>
              <w:t xml:space="preserve">36.0</w:t>
            </w:r>
          </w:p>
        </w:tc>
        <w:tc>
          <w:tcPr/>
          <w:p>
            <w:pPr>
              <w:pStyle w:val="Compact"/>
              <w:jc w:val="left"/>
            </w:pPr>
            <w:r>
              <w:t xml:space="preserve">GOLD</w:t>
            </w:r>
          </w:p>
        </w:tc>
      </w:tr>
      <w:tr>
        <w:tc>
          <w:tcPr/>
          <w:p>
            <w:pPr>
              <w:pStyle w:val="Compact"/>
              <w:jc w:val="left"/>
            </w:pPr>
            <w:r>
              <w:t xml:space="preserve">14</w:t>
            </w:r>
          </w:p>
        </w:tc>
        <w:tc>
          <w:tcPr/>
          <w:p>
            <w:pPr>
              <w:pStyle w:val="Compact"/>
              <w:jc w:val="left"/>
            </w:pPr>
            <w:r>
              <w:t xml:space="preserve">US AV → Canada (#2)</w:t>
            </w:r>
          </w:p>
        </w:tc>
        <w:tc>
          <w:tcPr/>
          <w:p>
            <w:pPr>
              <w:pStyle w:val="Compact"/>
              <w:jc w:val="left"/>
            </w:pPr>
            <w:r>
              <w:t xml:space="preserve">7</w:t>
            </w:r>
          </w:p>
        </w:tc>
        <w:tc>
          <w:tcPr/>
          <w:p>
            <w:pPr>
              <w:pStyle w:val="Compact"/>
              <w:jc w:val="left"/>
            </w:pPr>
            <w:r>
              <w:t xml:space="preserve">7</w:t>
            </w:r>
          </w:p>
        </w:tc>
        <w:tc>
          <w:tcPr/>
          <w:p>
            <w:pPr>
              <w:pStyle w:val="Compact"/>
              <w:jc w:val="left"/>
            </w:pPr>
            <w:r>
              <w:t xml:space="preserve">8</w:t>
            </w:r>
          </w:p>
        </w:tc>
        <w:tc>
          <w:tcPr/>
          <w:p>
            <w:pPr>
              <w:pStyle w:val="Compact"/>
              <w:jc w:val="left"/>
            </w:pPr>
            <w:r>
              <w:t xml:space="preserve">7</w:t>
            </w:r>
          </w:p>
        </w:tc>
        <w:tc>
          <w:tcPr/>
          <w:p>
            <w:pPr>
              <w:pStyle w:val="Compact"/>
              <w:jc w:val="left"/>
            </w:pPr>
            <w:r>
              <w:t xml:space="preserve">6</w:t>
            </w:r>
          </w:p>
        </w:tc>
        <w:tc>
          <w:tcPr/>
          <w:p>
            <w:pPr>
              <w:pStyle w:val="Compact"/>
              <w:jc w:val="left"/>
            </w:pPr>
            <w:r>
              <w:rPr>
                <w:bCs/>
                <w:b/>
              </w:rPr>
              <w:t xml:space="preserve">35.0</w:t>
            </w:r>
          </w:p>
        </w:tc>
        <w:tc>
          <w:tcPr/>
          <w:p>
            <w:pPr>
              <w:pStyle w:val="Compact"/>
              <w:jc w:val="left"/>
            </w:pPr>
            <w:r>
              <w:t xml:space="preserve">GOLD</w:t>
            </w:r>
          </w:p>
        </w:tc>
      </w:tr>
      <w:tr>
        <w:tc>
          <w:tcPr/>
          <w:p>
            <w:pPr>
              <w:pStyle w:val="Compact"/>
              <w:jc w:val="left"/>
            </w:pPr>
            <w:r>
              <w:t xml:space="preserve">15</w:t>
            </w:r>
          </w:p>
        </w:tc>
        <w:tc>
          <w:tcPr/>
          <w:p>
            <w:pPr>
              <w:pStyle w:val="Compact"/>
              <w:jc w:val="left"/>
            </w:pPr>
            <w:r>
              <w:t xml:space="preserve">eVTOL Cross-Border Service (#10)</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rPr>
                <w:bCs/>
                <w:b/>
              </w:rPr>
              <w:t xml:space="preserve">35.0</w:t>
            </w:r>
          </w:p>
        </w:tc>
        <w:tc>
          <w:tcPr/>
          <w:p>
            <w:pPr>
              <w:pStyle w:val="Compact"/>
              <w:jc w:val="left"/>
            </w:pPr>
            <w:r>
              <w:t xml:space="preserve">GOLD</w:t>
            </w:r>
          </w:p>
        </w:tc>
      </w:tr>
      <w:tr>
        <w:tc>
          <w:tcPr/>
          <w:p>
            <w:pPr>
              <w:pStyle w:val="Compact"/>
              <w:jc w:val="left"/>
            </w:pPr>
            <w:r>
              <w:t xml:space="preserve">16</w:t>
            </w:r>
          </w:p>
        </w:tc>
        <w:tc>
          <w:tcPr/>
          <w:p>
            <w:pPr>
              <w:pStyle w:val="Compact"/>
              <w:jc w:val="left"/>
            </w:pPr>
            <w:r>
              <w:t xml:space="preserve">Metaverse Global Child Users (#16)</w:t>
            </w:r>
          </w:p>
        </w:tc>
        <w:tc>
          <w:tcPr/>
          <w:p>
            <w:pPr>
              <w:pStyle w:val="Compact"/>
              <w:jc w:val="left"/>
            </w:pPr>
            <w:r>
              <w:t xml:space="preserve">9</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8</w:t>
            </w:r>
          </w:p>
        </w:tc>
        <w:tc>
          <w:tcPr/>
          <w:p>
            <w:pPr>
              <w:pStyle w:val="Compact"/>
              <w:jc w:val="left"/>
            </w:pPr>
            <w:r>
              <w:rPr>
                <w:bCs/>
                <w:b/>
              </w:rPr>
              <w:t xml:space="preserve">35.0</w:t>
            </w:r>
          </w:p>
        </w:tc>
        <w:tc>
          <w:tcPr/>
          <w:p>
            <w:pPr>
              <w:pStyle w:val="Compact"/>
              <w:jc w:val="left"/>
            </w:pPr>
            <w:r>
              <w:t xml:space="preserve">GOLD</w:t>
            </w:r>
          </w:p>
        </w:tc>
      </w:tr>
      <w:tr>
        <w:tc>
          <w:tcPr/>
          <w:p>
            <w:pPr>
              <w:pStyle w:val="Compact"/>
              <w:jc w:val="left"/>
            </w:pPr>
            <w:r>
              <w:t xml:space="preserve">17</w:t>
            </w:r>
          </w:p>
        </w:tc>
        <w:tc>
          <w:tcPr/>
          <w:p>
            <w:pPr>
              <w:pStyle w:val="Compact"/>
              <w:jc w:val="left"/>
            </w:pPr>
            <w:r>
              <w:t xml:space="preserve">mBridge CBDC China-UAE (#25)</w:t>
            </w:r>
          </w:p>
        </w:tc>
        <w:tc>
          <w:tcPr/>
          <w:p>
            <w:pPr>
              <w:pStyle w:val="Compact"/>
              <w:jc w:val="left"/>
            </w:pPr>
            <w:r>
              <w:t xml:space="preserve">7</w:t>
            </w:r>
          </w:p>
        </w:tc>
        <w:tc>
          <w:tcPr/>
          <w:p>
            <w:pPr>
              <w:pStyle w:val="Compact"/>
              <w:jc w:val="left"/>
            </w:pPr>
            <w:r>
              <w:t xml:space="preserve">7</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rPr>
                <w:bCs/>
                <w:b/>
              </w:rPr>
              <w:t xml:space="preserve">35.0</w:t>
            </w:r>
          </w:p>
        </w:tc>
        <w:tc>
          <w:tcPr/>
          <w:p>
            <w:pPr>
              <w:pStyle w:val="Compact"/>
              <w:jc w:val="left"/>
            </w:pPr>
            <w:r>
              <w:t xml:space="preserve">GOLD</w:t>
            </w:r>
          </w:p>
        </w:tc>
      </w:tr>
      <w:tr>
        <w:tc>
          <w:tcPr/>
          <w:p>
            <w:pPr>
              <w:pStyle w:val="Compact"/>
              <w:jc w:val="left"/>
            </w:pPr>
            <w:r>
              <w:t xml:space="preserve">18</w:t>
            </w:r>
          </w:p>
        </w:tc>
        <w:tc>
          <w:tcPr/>
          <w:p>
            <w:pPr>
              <w:pStyle w:val="Compact"/>
              <w:jc w:val="left"/>
            </w:pPr>
            <w:r>
              <w:t xml:space="preserve">Legal AI Research Platform (#17)</w:t>
            </w:r>
          </w:p>
        </w:tc>
        <w:tc>
          <w:tcPr/>
          <w:p>
            <w:pPr>
              <w:pStyle w:val="Compact"/>
              <w:jc w:val="left"/>
            </w:pPr>
            <w:r>
              <w:t xml:space="preserve">7</w:t>
            </w:r>
          </w:p>
        </w:tc>
        <w:tc>
          <w:tcPr/>
          <w:p>
            <w:pPr>
              <w:pStyle w:val="Compact"/>
              <w:jc w:val="left"/>
            </w:pPr>
            <w:r>
              <w:t xml:space="preserve">7</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34.0</w:t>
            </w:r>
          </w:p>
        </w:tc>
        <w:tc>
          <w:tcPr/>
          <w:p>
            <w:pPr>
              <w:pStyle w:val="Compact"/>
              <w:jc w:val="left"/>
            </w:pPr>
            <w:r>
              <w:t xml:space="preserve">GOLD</w:t>
            </w:r>
          </w:p>
        </w:tc>
      </w:tr>
      <w:tr>
        <w:tc>
          <w:tcPr/>
          <w:p>
            <w:pPr>
              <w:pStyle w:val="Compact"/>
              <w:jc w:val="left"/>
            </w:pPr>
            <w:r>
              <w:t xml:space="preserve">19</w:t>
            </w:r>
          </w:p>
        </w:tc>
        <w:tc>
          <w:tcPr/>
          <w:p>
            <w:pPr>
              <w:pStyle w:val="Compact"/>
              <w:jc w:val="left"/>
            </w:pPr>
            <w:r>
              <w:t xml:space="preserve">EdTech AI Tutor EU + US (#21)</w:t>
            </w:r>
          </w:p>
        </w:tc>
        <w:tc>
          <w:tcPr/>
          <w:p>
            <w:pPr>
              <w:pStyle w:val="Compact"/>
              <w:jc w:val="left"/>
            </w:pPr>
            <w:r>
              <w:t xml:space="preserve">8</w:t>
            </w:r>
          </w:p>
        </w:tc>
        <w:tc>
          <w:tcPr/>
          <w:p>
            <w:pPr>
              <w:pStyle w:val="Compact"/>
              <w:jc w:val="left"/>
            </w:pPr>
            <w:r>
              <w:t xml:space="preserve">6</w:t>
            </w:r>
          </w:p>
        </w:tc>
        <w:tc>
          <w:tcPr/>
          <w:p>
            <w:pPr>
              <w:pStyle w:val="Compact"/>
              <w:jc w:val="left"/>
            </w:pPr>
            <w:r>
              <w:t xml:space="preserve">7</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33.0</w:t>
            </w:r>
          </w:p>
        </w:tc>
        <w:tc>
          <w:tcPr/>
          <w:p>
            <w:pPr>
              <w:pStyle w:val="Compact"/>
              <w:jc w:val="left"/>
            </w:pPr>
            <w:r>
              <w:t xml:space="preserve">GOLD</w:t>
            </w:r>
          </w:p>
        </w:tc>
      </w:tr>
      <w:tr>
        <w:tc>
          <w:tcPr/>
          <w:p>
            <w:pPr>
              <w:pStyle w:val="Compact"/>
              <w:jc w:val="left"/>
            </w:pPr>
            <w:r>
              <w:t xml:space="preserve">20</w:t>
            </w:r>
          </w:p>
        </w:tc>
        <w:tc>
          <w:tcPr/>
          <w:p>
            <w:pPr>
              <w:pStyle w:val="Compact"/>
              <w:jc w:val="left"/>
            </w:pPr>
            <w:r>
              <w:t xml:space="preserve">AI Content Platform EU-US-India (#19)</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7</w:t>
            </w:r>
          </w:p>
        </w:tc>
        <w:tc>
          <w:tcPr/>
          <w:p>
            <w:pPr>
              <w:pStyle w:val="Compact"/>
              <w:jc w:val="left"/>
            </w:pPr>
            <w:r>
              <w:rPr>
                <w:bCs/>
                <w:b/>
              </w:rPr>
              <w:t xml:space="preserve">33.0</w:t>
            </w:r>
          </w:p>
        </w:tc>
        <w:tc>
          <w:tcPr/>
          <w:p>
            <w:pPr>
              <w:pStyle w:val="Compact"/>
              <w:jc w:val="left"/>
            </w:pPr>
            <w:r>
              <w:t xml:space="preserve">GOLD</w:t>
            </w:r>
          </w:p>
        </w:tc>
      </w:tr>
      <w:tr>
        <w:tc>
          <w:tcPr/>
          <w:p>
            <w:pPr>
              <w:pStyle w:val="Compact"/>
              <w:jc w:val="left"/>
            </w:pPr>
            <w:r>
              <w:t xml:space="preserve">21</w:t>
            </w:r>
          </w:p>
        </w:tc>
        <w:tc>
          <w:tcPr/>
          <w:p>
            <w:pPr>
              <w:pStyle w:val="Compact"/>
              <w:jc w:val="left"/>
            </w:pPr>
            <w:r>
              <w:t xml:space="preserve">Multi-Jurisdiction KYC (#18)</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6</w:t>
            </w:r>
          </w:p>
        </w:tc>
        <w:tc>
          <w:tcPr/>
          <w:p>
            <w:pPr>
              <w:pStyle w:val="Compact"/>
              <w:jc w:val="left"/>
            </w:pPr>
            <w:r>
              <w:t xml:space="preserve">5</w:t>
            </w:r>
          </w:p>
        </w:tc>
        <w:tc>
          <w:tcPr/>
          <w:p>
            <w:pPr>
              <w:pStyle w:val="Compact"/>
              <w:jc w:val="left"/>
            </w:pPr>
            <w:r>
              <w:rPr>
                <w:bCs/>
                <w:b/>
              </w:rPr>
              <w:t xml:space="preserve">32.0</w:t>
            </w:r>
          </w:p>
        </w:tc>
        <w:tc>
          <w:tcPr/>
          <w:p>
            <w:pPr>
              <w:pStyle w:val="Compact"/>
              <w:jc w:val="left"/>
            </w:pPr>
            <w:r>
              <w:t xml:space="preserve">SILVER</w:t>
            </w:r>
          </w:p>
        </w:tc>
      </w:tr>
      <w:tr>
        <w:tc>
          <w:tcPr/>
          <w:p>
            <w:pPr>
              <w:pStyle w:val="Compact"/>
              <w:jc w:val="left"/>
            </w:pPr>
            <w:r>
              <w:t xml:space="preserve">22</w:t>
            </w:r>
          </w:p>
        </w:tc>
        <w:tc>
          <w:tcPr/>
          <w:p>
            <w:pPr>
              <w:pStyle w:val="Compact"/>
              <w:jc w:val="left"/>
            </w:pPr>
            <w:r>
              <w:t xml:space="preserve">AI Biometric Border Control (#29)</w:t>
            </w:r>
          </w:p>
        </w:tc>
        <w:tc>
          <w:tcPr/>
          <w:p>
            <w:pPr>
              <w:pStyle w:val="Compact"/>
              <w:jc w:val="left"/>
            </w:pPr>
            <w:r>
              <w:t xml:space="preserve">7</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8</w:t>
            </w:r>
          </w:p>
        </w:tc>
        <w:tc>
          <w:tcPr/>
          <w:p>
            <w:pPr>
              <w:pStyle w:val="Compact"/>
              <w:jc w:val="left"/>
            </w:pPr>
            <w:r>
              <w:rPr>
                <w:bCs/>
                <w:b/>
              </w:rPr>
              <w:t xml:space="preserve">32.0</w:t>
            </w:r>
          </w:p>
        </w:tc>
        <w:tc>
          <w:tcPr/>
          <w:p>
            <w:pPr>
              <w:pStyle w:val="Compact"/>
              <w:jc w:val="left"/>
            </w:pPr>
            <w:r>
              <w:t xml:space="preserve">SILVER</w:t>
            </w:r>
          </w:p>
        </w:tc>
      </w:tr>
      <w:tr>
        <w:tc>
          <w:tcPr/>
          <w:p>
            <w:pPr>
              <w:pStyle w:val="Compact"/>
              <w:jc w:val="left"/>
            </w:pPr>
            <w:r>
              <w:t xml:space="preserve">23</w:t>
            </w:r>
          </w:p>
        </w:tc>
        <w:tc>
          <w:tcPr/>
          <w:p>
            <w:pPr>
              <w:pStyle w:val="Compact"/>
              <w:jc w:val="left"/>
            </w:pPr>
            <w:r>
              <w:t xml:space="preserve">Korean Gaming AI → Brazil (#5)</w:t>
            </w:r>
          </w:p>
        </w:tc>
        <w:tc>
          <w:tcPr/>
          <w:p>
            <w:pPr>
              <w:pStyle w:val="Compact"/>
              <w:jc w:val="left"/>
            </w:pPr>
            <w:r>
              <w:t xml:space="preserve">6</w:t>
            </w:r>
          </w:p>
        </w:tc>
        <w:tc>
          <w:tcPr/>
          <w:p>
            <w:pPr>
              <w:pStyle w:val="Compact"/>
              <w:jc w:val="left"/>
            </w:pPr>
            <w:r>
              <w:t xml:space="preserve">5</w:t>
            </w:r>
          </w:p>
        </w:tc>
        <w:tc>
          <w:tcPr/>
          <w:p>
            <w:pPr>
              <w:pStyle w:val="Compact"/>
              <w:jc w:val="left"/>
            </w:pPr>
            <w:r>
              <w:t xml:space="preserve">7</w:t>
            </w:r>
          </w:p>
        </w:tc>
        <w:tc>
          <w:tcPr/>
          <w:p>
            <w:pPr>
              <w:pStyle w:val="Compact"/>
              <w:jc w:val="left"/>
            </w:pPr>
            <w:r>
              <w:t xml:space="preserve">7</w:t>
            </w:r>
          </w:p>
        </w:tc>
        <w:tc>
          <w:tcPr/>
          <w:p>
            <w:pPr>
              <w:pStyle w:val="Compact"/>
              <w:jc w:val="left"/>
            </w:pPr>
            <w:r>
              <w:t xml:space="preserve">6</w:t>
            </w:r>
          </w:p>
        </w:tc>
        <w:tc>
          <w:tcPr/>
          <w:p>
            <w:pPr>
              <w:pStyle w:val="Compact"/>
              <w:jc w:val="left"/>
            </w:pPr>
            <w:r>
              <w:rPr>
                <w:bCs/>
                <w:b/>
              </w:rPr>
              <w:t xml:space="preserve">31.0</w:t>
            </w:r>
          </w:p>
        </w:tc>
        <w:tc>
          <w:tcPr/>
          <w:p>
            <w:pPr>
              <w:pStyle w:val="Compact"/>
              <w:jc w:val="left"/>
            </w:pPr>
            <w:r>
              <w:t xml:space="preserve">SILVER</w:t>
            </w:r>
          </w:p>
        </w:tc>
      </w:tr>
      <w:tr>
        <w:tc>
          <w:tcPr/>
          <w:p>
            <w:pPr>
              <w:pStyle w:val="Compact"/>
              <w:jc w:val="left"/>
            </w:pPr>
            <w:r>
              <w:t xml:space="preserve">24</w:t>
            </w:r>
          </w:p>
        </w:tc>
        <w:tc>
          <w:tcPr/>
          <w:p>
            <w:pPr>
              <w:pStyle w:val="Compact"/>
              <w:jc w:val="left"/>
            </w:pPr>
            <w:r>
              <w:t xml:space="preserve">Port AI Singapore-Busan-Rotterdam (#26)</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7</w:t>
            </w:r>
          </w:p>
        </w:tc>
        <w:tc>
          <w:tcPr/>
          <w:p>
            <w:pPr>
              <w:pStyle w:val="Compact"/>
              <w:jc w:val="left"/>
            </w:pPr>
            <w:r>
              <w:rPr>
                <w:bCs/>
                <w:b/>
              </w:rPr>
              <w:t xml:space="preserve">31.0</w:t>
            </w:r>
          </w:p>
        </w:tc>
        <w:tc>
          <w:tcPr/>
          <w:p>
            <w:pPr>
              <w:pStyle w:val="Compact"/>
              <w:jc w:val="left"/>
            </w:pPr>
            <w:r>
              <w:t xml:space="preserve">SILVER</w:t>
            </w:r>
          </w:p>
        </w:tc>
      </w:tr>
      <w:tr>
        <w:tc>
          <w:tcPr/>
          <w:p>
            <w:pPr>
              <w:pStyle w:val="Compact"/>
              <w:jc w:val="left"/>
            </w:pPr>
            <w:r>
              <w:t xml:space="preserve">25</w:t>
            </w:r>
          </w:p>
        </w:tc>
        <w:tc>
          <w:tcPr/>
          <w:p>
            <w:pPr>
              <w:pStyle w:val="Compact"/>
              <w:jc w:val="left"/>
            </w:pPr>
            <w:r>
              <w:t xml:space="preserve">Indian Telemedicine → UK (#9)</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30.0</w:t>
            </w:r>
          </w:p>
        </w:tc>
        <w:tc>
          <w:tcPr/>
          <w:p>
            <w:pPr>
              <w:pStyle w:val="Compact"/>
              <w:jc w:val="left"/>
            </w:pPr>
            <w:r>
              <w:t xml:space="preserve">SILVER</w:t>
            </w:r>
          </w:p>
        </w:tc>
      </w:tr>
      <w:tr>
        <w:tc>
          <w:tcPr/>
          <w:p>
            <w:pPr>
              <w:pStyle w:val="Compact"/>
              <w:jc w:val="left"/>
            </w:pPr>
            <w:r>
              <w:t xml:space="preserve">26</w:t>
            </w:r>
          </w:p>
        </w:tc>
        <w:tc>
          <w:tcPr/>
          <w:p>
            <w:pPr>
              <w:pStyle w:val="Compact"/>
              <w:jc w:val="left"/>
            </w:pPr>
            <w:r>
              <w:t xml:space="preserve">Chinese Surveillance AI → UAE (#13)</w:t>
            </w:r>
          </w:p>
        </w:tc>
        <w:tc>
          <w:tcPr/>
          <w:p>
            <w:pPr>
              <w:pStyle w:val="Compact"/>
              <w:jc w:val="left"/>
            </w:pPr>
            <w:r>
              <w:t xml:space="preserve">6</w:t>
            </w:r>
          </w:p>
        </w:tc>
        <w:tc>
          <w:tcPr/>
          <w:p>
            <w:pPr>
              <w:pStyle w:val="Compact"/>
              <w:jc w:val="left"/>
            </w:pPr>
            <w:r>
              <w:t xml:space="preserve">5</w:t>
            </w:r>
          </w:p>
        </w:tc>
        <w:tc>
          <w:tcPr/>
          <w:p>
            <w:pPr>
              <w:pStyle w:val="Compact"/>
              <w:jc w:val="left"/>
            </w:pPr>
            <w:r>
              <w:t xml:space="preserve">5</w:t>
            </w:r>
          </w:p>
        </w:tc>
        <w:tc>
          <w:tcPr/>
          <w:p>
            <w:pPr>
              <w:pStyle w:val="Compact"/>
              <w:jc w:val="left"/>
            </w:pPr>
            <w:r>
              <w:t xml:space="preserve">6</w:t>
            </w:r>
          </w:p>
        </w:tc>
        <w:tc>
          <w:tcPr/>
          <w:p>
            <w:pPr>
              <w:pStyle w:val="Compact"/>
              <w:jc w:val="left"/>
            </w:pPr>
            <w:r>
              <w:t xml:space="preserve">8</w:t>
            </w:r>
          </w:p>
        </w:tc>
        <w:tc>
          <w:tcPr/>
          <w:p>
            <w:pPr>
              <w:pStyle w:val="Compact"/>
              <w:jc w:val="left"/>
            </w:pPr>
            <w:r>
              <w:rPr>
                <w:bCs/>
                <w:b/>
              </w:rPr>
              <w:t xml:space="preserve">30.0</w:t>
            </w:r>
          </w:p>
        </w:tc>
        <w:tc>
          <w:tcPr/>
          <w:p>
            <w:pPr>
              <w:pStyle w:val="Compact"/>
              <w:jc w:val="left"/>
            </w:pPr>
            <w:r>
              <w:t xml:space="preserve">SILVER</w:t>
            </w:r>
          </w:p>
        </w:tc>
      </w:tr>
      <w:tr>
        <w:tc>
          <w:tcPr/>
          <w:p>
            <w:pPr>
              <w:pStyle w:val="Compact"/>
              <w:jc w:val="left"/>
            </w:pPr>
            <w:r>
              <w:t xml:space="preserve">27</w:t>
            </w:r>
          </w:p>
        </w:tc>
        <w:tc>
          <w:tcPr/>
          <w:p>
            <w:pPr>
              <w:pStyle w:val="Compact"/>
              <w:jc w:val="left"/>
            </w:pPr>
            <w:r>
              <w:t xml:space="preserve">Cashierless Store Global Expansion (#27)</w:t>
            </w:r>
          </w:p>
        </w:tc>
        <w:tc>
          <w:tcPr/>
          <w:p>
            <w:pPr>
              <w:pStyle w:val="Compact"/>
              <w:jc w:val="left"/>
            </w:pPr>
            <w:r>
              <w:t xml:space="preserve">7</w:t>
            </w:r>
          </w:p>
        </w:tc>
        <w:tc>
          <w:tcPr/>
          <w:p>
            <w:pPr>
              <w:pStyle w:val="Compact"/>
              <w:jc w:val="left"/>
            </w:pPr>
            <w:r>
              <w:t xml:space="preserve">5</w:t>
            </w:r>
          </w:p>
        </w:tc>
        <w:tc>
          <w:tcPr/>
          <w:p>
            <w:pPr>
              <w:pStyle w:val="Compact"/>
              <w:jc w:val="left"/>
            </w:pPr>
            <w:r>
              <w:t xml:space="preserve">6</w:t>
            </w:r>
          </w:p>
        </w:tc>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28.0</w:t>
            </w:r>
          </w:p>
        </w:tc>
        <w:tc>
          <w:tcPr/>
          <w:p>
            <w:pPr>
              <w:pStyle w:val="Compact"/>
              <w:jc w:val="left"/>
            </w:pPr>
            <w:r>
              <w:t xml:space="preserve">SILVER</w:t>
            </w:r>
          </w:p>
        </w:tc>
      </w:tr>
      <w:tr>
        <w:tc>
          <w:tcPr/>
          <w:p>
            <w:pPr>
              <w:pStyle w:val="Compact"/>
              <w:jc w:val="left"/>
            </w:pPr>
            <w:r>
              <w:t xml:space="preserve">28</w:t>
            </w:r>
          </w:p>
        </w:tc>
        <w:tc>
          <w:tcPr/>
          <w:p>
            <w:pPr>
              <w:pStyle w:val="Compact"/>
              <w:jc w:val="left"/>
            </w:pPr>
            <w:r>
              <w:t xml:space="preserve">PropTech AI Valuation Multi-Country (#20)</w:t>
            </w:r>
          </w:p>
        </w:tc>
        <w:tc>
          <w:tcPr/>
          <w:p>
            <w:pPr>
              <w:pStyle w:val="Compact"/>
              <w:jc w:val="left"/>
            </w:pPr>
            <w:r>
              <w:t xml:space="preserve">6</w:t>
            </w:r>
          </w:p>
        </w:tc>
        <w:tc>
          <w:tcPr/>
          <w:p>
            <w:pPr>
              <w:pStyle w:val="Compact"/>
              <w:jc w:val="left"/>
            </w:pPr>
            <w:r>
              <w:t xml:space="preserve">5</w:t>
            </w:r>
          </w:p>
        </w:tc>
        <w:tc>
          <w:tcPr/>
          <w:p>
            <w:pPr>
              <w:pStyle w:val="Compact"/>
              <w:jc w:val="left"/>
            </w:pPr>
            <w:r>
              <w:t xml:space="preserve">7</w:t>
            </w:r>
          </w:p>
        </w:tc>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28.0</w:t>
            </w:r>
          </w:p>
        </w:tc>
        <w:tc>
          <w:tcPr/>
          <w:p>
            <w:pPr>
              <w:pStyle w:val="Compact"/>
              <w:jc w:val="left"/>
            </w:pPr>
            <w:r>
              <w:t xml:space="preserve">SILVER</w:t>
            </w:r>
          </w:p>
        </w:tc>
      </w:tr>
      <w:tr>
        <w:tc>
          <w:tcPr/>
          <w:p>
            <w:pPr>
              <w:pStyle w:val="Compact"/>
              <w:jc w:val="left"/>
            </w:pPr>
            <w:r>
              <w:t xml:space="preserve">29</w:t>
            </w:r>
          </w:p>
        </w:tc>
        <w:tc>
          <w:tcPr/>
          <w:p>
            <w:pPr>
              <w:pStyle w:val="Compact"/>
              <w:jc w:val="left"/>
            </w:pPr>
            <w:r>
              <w:t xml:space="preserve">AV Truck US-Mexico Border (#24)</w:t>
            </w:r>
          </w:p>
        </w:tc>
        <w:tc>
          <w:tcPr/>
          <w:p>
            <w:pPr>
              <w:pStyle w:val="Compact"/>
              <w:jc w:val="left"/>
            </w:pPr>
            <w:r>
              <w:t xml:space="preserve">6</w:t>
            </w:r>
          </w:p>
        </w:tc>
        <w:tc>
          <w:tcPr/>
          <w:p>
            <w:pPr>
              <w:pStyle w:val="Compact"/>
              <w:jc w:val="left"/>
            </w:pPr>
            <w:r>
              <w:t xml:space="preserve">5</w:t>
            </w:r>
          </w:p>
        </w:tc>
        <w:tc>
          <w:tcPr/>
          <w:p>
            <w:pPr>
              <w:pStyle w:val="Compact"/>
              <w:jc w:val="left"/>
            </w:pPr>
            <w:r>
              <w:t xml:space="preserve">6</w:t>
            </w:r>
          </w:p>
        </w:tc>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27.0</w:t>
            </w:r>
          </w:p>
        </w:tc>
        <w:tc>
          <w:tcPr/>
          <w:p>
            <w:pPr>
              <w:pStyle w:val="Compact"/>
              <w:jc w:val="left"/>
            </w:pPr>
            <w:r>
              <w:t xml:space="preserve">BRONZE</w:t>
            </w:r>
          </w:p>
        </w:tc>
      </w:tr>
      <w:tr>
        <w:tc>
          <w:tcPr/>
          <w:p>
            <w:pPr>
              <w:pStyle w:val="Compact"/>
              <w:jc w:val="left"/>
            </w:pPr>
            <w:r>
              <w:t xml:space="preserve">30</w:t>
            </w:r>
          </w:p>
        </w:tc>
        <w:tc>
          <w:tcPr/>
          <w:p>
            <w:pPr>
              <w:pStyle w:val="Compact"/>
              <w:jc w:val="left"/>
            </w:pPr>
            <w:r>
              <w:t xml:space="preserve">Saudi Olympic Esports (#30)</w:t>
            </w:r>
          </w:p>
        </w:tc>
        <w:tc>
          <w:tcPr/>
          <w:p>
            <w:pPr>
              <w:pStyle w:val="Compact"/>
              <w:jc w:val="left"/>
            </w:pPr>
            <w:r>
              <w:t xml:space="preserve">6</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6</w:t>
            </w:r>
          </w:p>
        </w:tc>
        <w:tc>
          <w:tcPr/>
          <w:p>
            <w:pPr>
              <w:pStyle w:val="Compact"/>
              <w:jc w:val="left"/>
            </w:pPr>
            <w:r>
              <w:rPr>
                <w:bCs/>
                <w:b/>
              </w:rPr>
              <w:t xml:space="preserve">26.0</w:t>
            </w:r>
          </w:p>
        </w:tc>
        <w:tc>
          <w:tcPr/>
          <w:p>
            <w:pPr>
              <w:pStyle w:val="Compact"/>
              <w:jc w:val="left"/>
            </w:pPr>
            <w:r>
              <w:t xml:space="preserve">BRONZE</w:t>
            </w:r>
          </w:p>
        </w:tc>
      </w:tr>
    </w:tbl>
    <w:p>
      <w:r>
        <w:pict>
          <v:rect style="width:0;height:1.5pt" o:hralign="center" o:hrstd="t" o:hr="t"/>
        </w:pict>
      </w:r>
    </w:p>
    <w:bookmarkEnd w:id="77"/>
    <w:bookmarkStart w:id="78" w:name="tier-definitions"/>
    <w:p>
      <w:pPr>
        <w:pStyle w:val="Heading3"/>
      </w:pPr>
      <w:r>
        <w:t xml:space="preserve">Tier Definitions</w:t>
      </w:r>
    </w:p>
    <w:tbl>
      <w:tblPr>
        <w:tblStyle w:val="Table"/>
        <w:tblW w:type="pct" w:w="5000"/>
        <w:tblLook w:firstRow="1" w:lastRow="0" w:firstColumn="0" w:lastColumn="0" w:noHBand="0" w:noVBand="0" w:val="0020"/>
      </w:tblPr>
      <w:tblGrid>
        <w:gridCol w:w="1760"/>
        <w:gridCol w:w="3813"/>
        <w:gridCol w:w="2346"/>
      </w:tblGrid>
      <w:tr>
        <w:trPr>
          <w:tblHeader w:val="true"/>
        </w:trPr>
        <w:tc>
          <w:tcPr/>
          <w:p>
            <w:pPr>
              <w:pStyle w:val="Compact"/>
              <w:jc w:val="left"/>
            </w:pPr>
            <w:r>
              <w:t xml:space="preserve">Tier</w:t>
            </w:r>
          </w:p>
        </w:tc>
        <w:tc>
          <w:tcPr/>
          <w:p>
            <w:pPr>
              <w:pStyle w:val="Compact"/>
              <w:jc w:val="left"/>
            </w:pPr>
            <w:r>
              <w:t xml:space="preserve">Score Range</w:t>
            </w:r>
          </w:p>
        </w:tc>
        <w:tc>
          <w:tcPr/>
          <w:p>
            <w:pPr>
              <w:pStyle w:val="Compact"/>
              <w:jc w:val="left"/>
            </w:pPr>
            <w:r>
              <w:t xml:space="preserve">Action</w:t>
            </w:r>
          </w:p>
        </w:tc>
      </w:tr>
      <w:tr>
        <w:tc>
          <w:tcPr/>
          <w:p>
            <w:pPr>
              <w:pStyle w:val="Compact"/>
              <w:jc w:val="left"/>
            </w:pPr>
            <w:r>
              <w:rPr>
                <w:bCs/>
                <w:b/>
              </w:rPr>
              <w:t xml:space="preserve">DIAMOND (5)</w:t>
            </w:r>
          </w:p>
        </w:tc>
        <w:tc>
          <w:tcPr/>
          <w:p>
            <w:pPr>
              <w:pStyle w:val="Compact"/>
              <w:jc w:val="left"/>
            </w:pPr>
            <w:r>
              <w:t xml:space="preserve">40-50</w:t>
            </w:r>
          </w:p>
        </w:tc>
        <w:tc>
          <w:tcPr/>
          <w:p>
            <w:pPr>
              <w:pStyle w:val="Compact"/>
              <w:jc w:val="left"/>
            </w:pPr>
            <w:r>
              <w:t xml:space="preserve">Simulate first - highest ROI, most strategic value</w:t>
            </w:r>
          </w:p>
        </w:tc>
      </w:tr>
      <w:tr>
        <w:tc>
          <w:tcPr/>
          <w:p>
            <w:pPr>
              <w:pStyle w:val="Compact"/>
              <w:jc w:val="left"/>
            </w:pPr>
            <w:r>
              <w:rPr>
                <w:bCs/>
                <w:b/>
              </w:rPr>
              <w:t xml:space="preserve">PLATINUM (5)</w:t>
            </w:r>
          </w:p>
        </w:tc>
        <w:tc>
          <w:tcPr/>
          <w:p>
            <w:pPr>
              <w:pStyle w:val="Compact"/>
              <w:jc w:val="left"/>
            </w:pPr>
            <w:r>
              <w:t xml:space="preserve">35-39</w:t>
            </w:r>
          </w:p>
        </w:tc>
        <w:tc>
          <w:tcPr/>
          <w:p>
            <w:pPr>
              <w:pStyle w:val="Compact"/>
              <w:jc w:val="left"/>
            </w:pPr>
            <w:r>
              <w:t xml:space="preserve">High priority - strong market + regulatory urgency</w:t>
            </w:r>
          </w:p>
        </w:tc>
      </w:tr>
      <w:tr>
        <w:tc>
          <w:tcPr/>
          <w:p>
            <w:pPr>
              <w:pStyle w:val="Compact"/>
              <w:jc w:val="left"/>
            </w:pPr>
            <w:r>
              <w:rPr>
                <w:bCs/>
                <w:b/>
              </w:rPr>
              <w:t xml:space="preserve">GOLD (7)</w:t>
            </w:r>
          </w:p>
        </w:tc>
        <w:tc>
          <w:tcPr/>
          <w:p>
            <w:pPr>
              <w:pStyle w:val="Compact"/>
              <w:jc w:val="left"/>
            </w:pPr>
            <w:r>
              <w:t xml:space="preserve">30-34</w:t>
            </w:r>
          </w:p>
        </w:tc>
        <w:tc>
          <w:tcPr/>
          <w:p>
            <w:pPr>
              <w:pStyle w:val="Compact"/>
              <w:jc w:val="left"/>
            </w:pPr>
            <w:r>
              <w:t xml:space="preserve">Medium priority - good learning value</w:t>
            </w:r>
          </w:p>
        </w:tc>
      </w:tr>
      <w:tr>
        <w:tc>
          <w:tcPr/>
          <w:p>
            <w:pPr>
              <w:pStyle w:val="Compact"/>
              <w:jc w:val="left"/>
            </w:pPr>
            <w:r>
              <w:rPr>
                <w:bCs/>
                <w:b/>
              </w:rPr>
              <w:t xml:space="preserve">SILVER (6)</w:t>
            </w:r>
          </w:p>
        </w:tc>
        <w:tc>
          <w:tcPr/>
          <w:p>
            <w:pPr>
              <w:pStyle w:val="Compact"/>
              <w:jc w:val="left"/>
            </w:pPr>
            <w:r>
              <w:t xml:space="preserve">25-29</w:t>
            </w:r>
          </w:p>
        </w:tc>
        <w:tc>
          <w:tcPr/>
          <w:p>
            <w:pPr>
              <w:pStyle w:val="Compact"/>
              <w:jc w:val="left"/>
            </w:pPr>
            <w:r>
              <w:t xml:space="preserve">Lower priority - niche but valuable insights</w:t>
            </w:r>
          </w:p>
        </w:tc>
      </w:tr>
      <w:tr>
        <w:tc>
          <w:tcPr/>
          <w:p>
            <w:pPr>
              <w:pStyle w:val="Compact"/>
              <w:jc w:val="left"/>
            </w:pPr>
            <w:r>
              <w:rPr>
                <w:bCs/>
                <w:b/>
              </w:rPr>
              <w:t xml:space="preserve">BRONZE (2)</w:t>
            </w:r>
          </w:p>
        </w:tc>
        <w:tc>
          <w:tcPr/>
          <w:p>
            <w:pPr>
              <w:pStyle w:val="Compact"/>
              <w:jc w:val="left"/>
            </w:pPr>
            <w:r>
              <w:t xml:space="preserve">20-24</w:t>
            </w:r>
          </w:p>
        </w:tc>
        <w:tc>
          <w:tcPr/>
          <w:p>
            <w:pPr>
              <w:pStyle w:val="Compact"/>
              <w:jc w:val="left"/>
            </w:pPr>
            <w:r>
              <w:t xml:space="preserve">Background research - limited simulation value</w:t>
            </w:r>
          </w:p>
        </w:tc>
      </w:tr>
    </w:tbl>
    <w:p>
      <w:r>
        <w:pict>
          <v:rect style="width:0;height:1.5pt" o:hralign="center" o:hrstd="t" o:hr="t"/>
        </w:pict>
      </w:r>
    </w:p>
    <w:bookmarkEnd w:id="78"/>
    <w:bookmarkStart w:id="79" w:name="recommended-simulation-sequence"/>
    <w:p>
      <w:pPr>
        <w:pStyle w:val="Heading3"/>
      </w:pPr>
      <w:r>
        <w:t xml:space="preserve">Recommended Simulation Sequence</w:t>
      </w:r>
    </w:p>
    <w:p>
      <w:pPr>
        <w:pStyle w:val="FirstParagraph"/>
      </w:pPr>
      <w:r>
        <w:rPr>
          <w:bCs/>
          <w:b/>
        </w:rPr>
        <w:t xml:space="preserve">Phase 1 (Weeks 1-4): DIAMOND Tier</w:t>
      </w:r>
      <w:r>
        <w:t xml:space="preserve"> </w:t>
      </w:r>
      <w:r>
        <w:t xml:space="preserve">1. US LLM → EU Market (#7) - Most common cross-border AI flow</w:t>
      </w:r>
      <w:r>
        <w:t xml:space="preserve"> </w:t>
      </w:r>
      <w:r>
        <w:t xml:space="preserve">2. Semiconductor Export Triangle (#22) - Geopolitical critical</w:t>
      </w:r>
      <w:r>
        <w:t xml:space="preserve"> </w:t>
      </w:r>
      <w:r>
        <w:t xml:space="preserve">3. Critical Infrastructure AI (#23) - Highest conflict severity</w:t>
      </w:r>
      <w:r>
        <w:t xml:space="preserve"> </w:t>
      </w:r>
      <w:r>
        <w:t xml:space="preserve">4. EU Medical AI → India (#4) - Healthcare is universal</w:t>
      </w:r>
      <w:r>
        <w:t xml:space="preserve"> </w:t>
      </w:r>
      <w:r>
        <w:t xml:space="preserve">5. Singapore Agentic AI → EU (#12) - First-mover regulatory gap</w:t>
      </w:r>
    </w:p>
    <w:p>
      <w:pPr>
        <w:pStyle w:val="BodyText"/>
      </w:pPr>
      <w:r>
        <w:rPr>
          <w:bCs/>
          <w:b/>
        </w:rPr>
        <w:t xml:space="preserve">Phase 2 (Weeks 5-8): PLATINUM Tier</w:t>
      </w:r>
      <w:r>
        <w:t xml:space="preserve"> </w:t>
      </w:r>
      <w:r>
        <w:t xml:space="preserve">6. Global Bank PQC Migration (#15) - Time-sensitive (2030 deadline)</w:t>
      </w:r>
      <w:r>
        <w:t xml:space="preserve"> </w:t>
      </w:r>
      <w:r>
        <w:t xml:space="preserve">7. Dubai AI Trading Bot → Singapore (#3) - Financial hub intersection</w:t>
      </w:r>
      <w:r>
        <w:t xml:space="preserve"> </w:t>
      </w:r>
      <w:r>
        <w:t xml:space="preserve">8. Chinese AI Drug Discovery + EU Data (#8) - Data sovereignty conflict</w:t>
      </w:r>
      <w:r>
        <w:t xml:space="preserve"> </w:t>
      </w:r>
      <w:r>
        <w:t xml:space="preserve">9. Cross-Border Cloud Sovereign Deploy (#28) - Multi-jurisdiction complexity</w:t>
      </w:r>
      <w:r>
        <w:t xml:space="preserve"> </w:t>
      </w:r>
      <w:r>
        <w:t xml:space="preserve">10. US Defense AI → Five Eyes (#14) - National security dimension</w:t>
      </w:r>
    </w:p>
    <w:p>
      <w:pPr>
        <w:pStyle w:val="BodyText"/>
      </w:pPr>
      <w:r>
        <w:rPr>
          <w:bCs/>
          <w:b/>
        </w:rPr>
        <w:t xml:space="preserve">Phase 3 (Weeks 9-12): GOLD Tier</w:t>
      </w:r>
      <w:r>
        <w:t xml:space="preserve"> </w:t>
      </w:r>
      <w:r>
        <w:t xml:space="preserve">11-17. Remaining GOLD scenarios - Industry-specific deep dives</w:t>
      </w:r>
    </w:p>
    <w:p>
      <w:pPr>
        <w:pStyle w:val="BodyText"/>
      </w:pPr>
      <w:r>
        <w:rPr>
          <w:bCs/>
          <w:b/>
        </w:rPr>
        <w:t xml:space="preserve">Phase 4 (Ongoing): SILVER + BRONZE</w:t>
      </w:r>
      <w:r>
        <w:t xml:space="preserve"> </w:t>
      </w:r>
      <w:r>
        <w:t xml:space="preserve">18-30. Research and light simulation - Complete coverage</w:t>
      </w:r>
    </w:p>
    <w:p>
      <w:r>
        <w:pict>
          <v:rect style="width:0;height:1.5pt" o:hralign="center" o:hrstd="t" o:hr="t"/>
        </w:pict>
      </w:r>
    </w:p>
    <w:bookmarkEnd w:id="79"/>
    <w:bookmarkEnd w:id="80"/>
    <w:bookmarkStart w:id="83" w:name="meok-civilization-mapping"/>
    <w:p>
      <w:pPr>
        <w:pStyle w:val="Heading2"/>
      </w:pPr>
      <w:r>
        <w:t xml:space="preserve">6. MEOK Civilization Mapping</w:t>
      </w:r>
    </w:p>
    <w:bookmarkStart w:id="81" w:name="civilization-to-regulatory-architecture"/>
    <w:p>
      <w:pPr>
        <w:pStyle w:val="Heading3"/>
      </w:pPr>
      <w:r>
        <w:t xml:space="preserve">Civilization-to-Regulatory Architecture</w:t>
      </w:r>
    </w:p>
    <w:p>
      <w:pPr>
        <w:pStyle w:val="FirstParagraph"/>
      </w:pPr>
      <w:r>
        <w:t xml:space="preserve">Each MEOK civilization maps to a real-world regulatory bloc. This enables geopolitically-grounded simulation scenarios.</w:t>
      </w:r>
    </w:p>
    <w:tbl>
      <w:tblPr>
        <w:tblStyle w:val="Table"/>
        <w:tblW w:type="pct" w:w="5000"/>
        <w:tblLook w:firstRow="1" w:lastRow="0" w:firstColumn="0" w:lastColumn="0" w:noHBand="0" w:noVBand="0" w:val="0020"/>
      </w:tblPr>
      <w:tblGrid>
        <w:gridCol w:w="1904"/>
        <w:gridCol w:w="2406"/>
        <w:gridCol w:w="1704"/>
        <w:gridCol w:w="1904"/>
      </w:tblGrid>
      <w:tr>
        <w:trPr>
          <w:tblHeader w:val="true"/>
        </w:trPr>
        <w:tc>
          <w:tcPr/>
          <w:p>
            <w:pPr>
              <w:pStyle w:val="Compact"/>
              <w:jc w:val="left"/>
            </w:pPr>
            <w:r>
              <w:t xml:space="preserve">MEOK Civilization</w:t>
            </w:r>
          </w:p>
        </w:tc>
        <w:tc>
          <w:tcPr/>
          <w:p>
            <w:pPr>
              <w:pStyle w:val="Compact"/>
              <w:jc w:val="left"/>
            </w:pPr>
            <w:r>
              <w:t xml:space="preserve">Primary Real-World Bloc</w:t>
            </w:r>
          </w:p>
        </w:tc>
        <w:tc>
          <w:tcPr/>
          <w:p>
            <w:pPr>
              <w:pStyle w:val="Compact"/>
              <w:jc w:val="left"/>
            </w:pPr>
            <w:r>
              <w:t xml:space="preserve">Key Regulations</w:t>
            </w:r>
          </w:p>
        </w:tc>
        <w:tc>
          <w:tcPr/>
          <w:p>
            <w:pPr>
              <w:pStyle w:val="Compact"/>
              <w:jc w:val="left"/>
            </w:pPr>
            <w:r>
              <w:t xml:space="preserve">Dominant Philosophy</w:t>
            </w:r>
          </w:p>
        </w:tc>
      </w:tr>
      <w:tr>
        <w:tc>
          <w:tcPr/>
          <w:p>
            <w:pPr>
              <w:pStyle w:val="Compact"/>
              <w:jc w:val="left"/>
            </w:pPr>
            <w:r>
              <w:rPr>
                <w:bCs/>
                <w:b/>
              </w:rPr>
              <w:t xml:space="preserve">Zhongxu Collective</w:t>
            </w:r>
          </w:p>
        </w:tc>
        <w:tc>
          <w:tcPr/>
          <w:p>
            <w:pPr>
              <w:pStyle w:val="Compact"/>
              <w:jc w:val="left"/>
            </w:pPr>
            <w:r>
              <w:t xml:space="preserve">China (PRC)</w:t>
            </w:r>
          </w:p>
        </w:tc>
        <w:tc>
          <w:tcPr/>
          <w:p>
            <w:pPr>
              <w:pStyle w:val="Compact"/>
              <w:jc w:val="left"/>
            </w:pPr>
            <w:r>
              <w:t xml:space="preserve">CAC Measures, PIPL, DSL, CSL, NPPA</w:t>
            </w:r>
          </w:p>
        </w:tc>
        <w:tc>
          <w:tcPr/>
          <w:p>
            <w:pPr>
              <w:pStyle w:val="Compact"/>
              <w:jc w:val="left"/>
            </w:pPr>
            <w:r>
              <w:t xml:space="preserve">State control, data sovereignty, algorithm filing</w:t>
            </w:r>
          </w:p>
        </w:tc>
      </w:tr>
      <w:tr>
        <w:tc>
          <w:tcPr/>
          <w:p>
            <w:pPr>
              <w:pStyle w:val="Compact"/>
              <w:jc w:val="left"/>
            </w:pPr>
            <w:r>
              <w:rPr>
                <w:bCs/>
                <w:b/>
              </w:rPr>
              <w:t xml:space="preserve">Anglosphere Concord</w:t>
            </w:r>
          </w:p>
        </w:tc>
        <w:tc>
          <w:tcPr/>
          <w:p>
            <w:pPr>
              <w:pStyle w:val="Compact"/>
              <w:jc w:val="left"/>
            </w:pPr>
            <w:r>
              <w:t xml:space="preserve">United States</w:t>
            </w:r>
          </w:p>
        </w:tc>
        <w:tc>
          <w:tcPr/>
          <w:p>
            <w:pPr>
              <w:pStyle w:val="Compact"/>
              <w:jc w:val="left"/>
            </w:pPr>
            <w:r>
              <w:t xml:space="preserve">NIST RMF, State laws, CLOUD Act, CHIPS Act</w:t>
            </w:r>
          </w:p>
        </w:tc>
        <w:tc>
          <w:tcPr/>
          <w:p>
            <w:pPr>
              <w:pStyle w:val="Compact"/>
              <w:jc w:val="left"/>
            </w:pPr>
            <w:r>
              <w:t xml:space="preserve">Innovation-first, voluntary frameworks, market-driven</w:t>
            </w:r>
          </w:p>
        </w:tc>
      </w:tr>
      <w:tr>
        <w:tc>
          <w:tcPr/>
          <w:p>
            <w:pPr>
              <w:pStyle w:val="Compact"/>
              <w:jc w:val="left"/>
            </w:pPr>
            <w:r>
              <w:rPr>
                <w:bCs/>
                <w:b/>
              </w:rPr>
              <w:t xml:space="preserve">Atlantic Compact</w:t>
            </w:r>
          </w:p>
        </w:tc>
        <w:tc>
          <w:tcPr/>
          <w:p>
            <w:pPr>
              <w:pStyle w:val="Compact"/>
              <w:jc w:val="left"/>
            </w:pPr>
            <w:r>
              <w:t xml:space="preserve">European Union</w:t>
            </w:r>
          </w:p>
        </w:tc>
        <w:tc>
          <w:tcPr/>
          <w:p>
            <w:pPr>
              <w:pStyle w:val="Compact"/>
              <w:jc w:val="left"/>
            </w:pPr>
            <w:r>
              <w:t xml:space="preserve">EU AI Act, GDPR, NIS2, DORA, MiCA</w:t>
            </w:r>
          </w:p>
        </w:tc>
        <w:tc>
          <w:tcPr/>
          <w:p>
            <w:pPr>
              <w:pStyle w:val="Compact"/>
              <w:jc w:val="left"/>
            </w:pPr>
            <w:r>
              <w:t xml:space="preserve">Rights-based, binding regulation, risk classification</w:t>
            </w:r>
          </w:p>
        </w:tc>
      </w:tr>
      <w:tr>
        <w:tc>
          <w:tcPr/>
          <w:p>
            <w:pPr>
              <w:pStyle w:val="Compact"/>
              <w:jc w:val="left"/>
            </w:pPr>
            <w:r>
              <w:rPr>
                <w:bCs/>
                <w:b/>
              </w:rPr>
              <w:t xml:space="preserve">Singularity Core</w:t>
            </w:r>
          </w:p>
        </w:tc>
        <w:tc>
          <w:tcPr/>
          <w:p>
            <w:pPr>
              <w:pStyle w:val="Compact"/>
              <w:jc w:val="left"/>
            </w:pPr>
            <w:r>
              <w:t xml:space="preserve">Singapore</w:t>
            </w:r>
          </w:p>
        </w:tc>
        <w:tc>
          <w:tcPr/>
          <w:p>
            <w:pPr>
              <w:pStyle w:val="Compact"/>
              <w:jc w:val="left"/>
            </w:pPr>
            <w:r>
              <w:t xml:space="preserve">PDPA, MAS FEAT, MAIG, IMDA Code</w:t>
            </w:r>
          </w:p>
        </w:tc>
        <w:tc>
          <w:tcPr/>
          <w:p>
            <w:pPr>
              <w:pStyle w:val="Compact"/>
              <w:jc w:val="left"/>
            </w:pPr>
            <w:r>
              <w:t xml:space="preserve">Pragmatic, sandbox approach, business-friendly</w:t>
            </w:r>
          </w:p>
        </w:tc>
      </w:tr>
      <w:tr>
        <w:tc>
          <w:tcPr/>
          <w:p>
            <w:pPr>
              <w:pStyle w:val="Compact"/>
              <w:jc w:val="left"/>
            </w:pPr>
            <w:r>
              <w:rPr>
                <w:bCs/>
                <w:b/>
              </w:rPr>
              <w:t xml:space="preserve">Pacific Rim</w:t>
            </w:r>
          </w:p>
        </w:tc>
        <w:tc>
          <w:tcPr/>
          <w:p>
            <w:pPr>
              <w:pStyle w:val="Compact"/>
              <w:jc w:val="left"/>
            </w:pPr>
            <w:r>
              <w:t xml:space="preserve">Japan + South Korea</w:t>
            </w:r>
          </w:p>
        </w:tc>
        <w:tc>
          <w:tcPr/>
          <w:p>
            <w:pPr>
              <w:pStyle w:val="Compact"/>
              <w:jc w:val="left"/>
            </w:pPr>
            <w:r>
              <w:t xml:space="preserve">AI Promotion Act, AI Basic Act, APPI, PIPA</w:t>
            </w:r>
          </w:p>
        </w:tc>
        <w:tc>
          <w:tcPr/>
          <w:p>
            <w:pPr>
              <w:pStyle w:val="Compact"/>
              <w:jc w:val="left"/>
            </w:pPr>
            <w:r>
              <w:t xml:space="preserve">Promotion + trust balance, industry collaboration</w:t>
            </w:r>
          </w:p>
        </w:tc>
      </w:tr>
      <w:tr>
        <w:tc>
          <w:tcPr/>
          <w:p>
            <w:pPr>
              <w:pStyle w:val="Compact"/>
              <w:jc w:val="left"/>
            </w:pPr>
            <w:r>
              <w:rPr>
                <w:bCs/>
                <w:b/>
              </w:rPr>
              <w:t xml:space="preserve">Gulf Technate</w:t>
            </w:r>
          </w:p>
        </w:tc>
        <w:tc>
          <w:tcPr/>
          <w:p>
            <w:pPr>
              <w:pStyle w:val="Compact"/>
              <w:jc w:val="left"/>
            </w:pPr>
            <w:r>
              <w:t xml:space="preserve">UAE + Saudi Arabia</w:t>
            </w:r>
          </w:p>
        </w:tc>
        <w:tc>
          <w:tcPr/>
          <w:p>
            <w:pPr>
              <w:pStyle w:val="Compact"/>
              <w:jc w:val="left"/>
            </w:pPr>
            <w:r>
              <w:t xml:space="preserve">VARA, PDPL, AI Charter, CBUAE</w:t>
            </w:r>
          </w:p>
        </w:tc>
        <w:tc>
          <w:tcPr/>
          <w:p>
            <w:pPr>
              <w:pStyle w:val="Compact"/>
              <w:jc w:val="left"/>
            </w:pPr>
            <w:r>
              <w:t xml:space="preserve">Ambition-driven, hub strategy, rapid adaptation</w:t>
            </w:r>
          </w:p>
        </w:tc>
      </w:tr>
      <w:tr>
        <w:tc>
          <w:tcPr/>
          <w:p>
            <w:pPr>
              <w:pStyle w:val="Compact"/>
              <w:jc w:val="left"/>
            </w:pPr>
            <w:r>
              <w:rPr>
                <w:bCs/>
                <w:b/>
              </w:rPr>
              <w:t xml:space="preserve">Bharat Complex</w:t>
            </w:r>
          </w:p>
        </w:tc>
        <w:tc>
          <w:tcPr/>
          <w:p>
            <w:pPr>
              <w:pStyle w:val="Compact"/>
              <w:jc w:val="left"/>
            </w:pPr>
            <w:r>
              <w:t xml:space="preserve">India + Southeast Asia</w:t>
            </w:r>
          </w:p>
        </w:tc>
        <w:tc>
          <w:tcPr/>
          <w:p>
            <w:pPr>
              <w:pStyle w:val="Compact"/>
              <w:jc w:val="left"/>
            </w:pPr>
            <w:r>
              <w:t xml:space="preserve">DPDP Act, CERT-In, RBI, CDSCO</w:t>
            </w:r>
          </w:p>
        </w:tc>
        <w:tc>
          <w:tcPr/>
          <w:p>
            <w:pPr>
              <w:pStyle w:val="Compact"/>
              <w:jc w:val="left"/>
            </w:pPr>
            <w:r>
              <w:t xml:space="preserve">Digital sovereignty, phased implementation</w:t>
            </w:r>
          </w:p>
        </w:tc>
      </w:tr>
      <w:tr>
        <w:tc>
          <w:tcPr/>
          <w:p>
            <w:pPr>
              <w:pStyle w:val="Compact"/>
              <w:jc w:val="left"/>
            </w:pPr>
            <w:r>
              <w:rPr>
                <w:bCs/>
                <w:b/>
              </w:rPr>
              <w:t xml:space="preserve">Northern Federation</w:t>
            </w:r>
          </w:p>
        </w:tc>
        <w:tc>
          <w:tcPr/>
          <w:p>
            <w:pPr>
              <w:pStyle w:val="Compact"/>
              <w:jc w:val="left"/>
            </w:pPr>
            <w:r>
              <w:t xml:space="preserve">Canada + Australia</w:t>
            </w:r>
          </w:p>
        </w:tc>
        <w:tc>
          <w:tcPr/>
          <w:p>
            <w:pPr>
              <w:pStyle w:val="Compact"/>
              <w:jc w:val="left"/>
            </w:pPr>
            <w:r>
              <w:t xml:space="preserve">PIPEDA, AIDA(p), Privacy Act, SOCI Act</w:t>
            </w:r>
          </w:p>
        </w:tc>
        <w:tc>
          <w:tcPr/>
          <w:p>
            <w:pPr>
              <w:pStyle w:val="Compact"/>
              <w:jc w:val="left"/>
            </w:pPr>
            <w:r>
              <w:t xml:space="preserve">Commonwealth alignment, progressive adaptation</w:t>
            </w:r>
          </w:p>
        </w:tc>
      </w:tr>
      <w:tr>
        <w:tc>
          <w:tcPr/>
          <w:p>
            <w:pPr>
              <w:pStyle w:val="Compact"/>
              <w:jc w:val="left"/>
            </w:pPr>
            <w:r>
              <w:rPr>
                <w:bCs/>
                <w:b/>
              </w:rPr>
              <w:t xml:space="preserve">Southern Axis</w:t>
            </w:r>
          </w:p>
        </w:tc>
        <w:tc>
          <w:tcPr/>
          <w:p>
            <w:pPr>
              <w:pStyle w:val="Compact"/>
              <w:jc w:val="left"/>
            </w:pPr>
            <w:r>
              <w:t xml:space="preserve">Brazil + Mexico + LatAm</w:t>
            </w:r>
          </w:p>
        </w:tc>
        <w:tc>
          <w:tcPr/>
          <w:p>
            <w:pPr>
              <w:pStyle w:val="Compact"/>
              <w:jc w:val="left"/>
            </w:pPr>
            <w:r>
              <w:t xml:space="preserve">LGPD, AI Bill, ANPD, BCB</w:t>
            </w:r>
          </w:p>
        </w:tc>
        <w:tc>
          <w:tcPr/>
          <w:p>
            <w:pPr>
              <w:pStyle w:val="Compact"/>
              <w:jc w:val="left"/>
            </w:pPr>
            <w:r>
              <w:t xml:space="preserve">EU-inspired adaptation, emerging market dynamics</w:t>
            </w:r>
          </w:p>
        </w:tc>
      </w:tr>
    </w:tbl>
    <w:bookmarkEnd w:id="81"/>
    <w:bookmarkStart w:id="82" w:name="cross-civilization-interaction-intensity"/>
    <w:p>
      <w:pPr>
        <w:pStyle w:val="Heading3"/>
      </w:pPr>
      <w:r>
        <w:t xml:space="preserve">Cross-Civilization Interaction Intensity</w:t>
      </w:r>
    </w:p>
    <w:tbl>
      <w:tblPr>
        <w:tblStyle w:val="Table"/>
        <w:tblW w:type="pct" w:w="5000"/>
        <w:tblLook w:firstRow="1" w:lastRow="0" w:firstColumn="0" w:lastColumn="0" w:noHBand="0" w:noVBand="0" w:val="0020"/>
      </w:tblPr>
      <w:tblGrid>
        <w:gridCol w:w="188"/>
        <w:gridCol w:w="848"/>
        <w:gridCol w:w="660"/>
        <w:gridCol w:w="942"/>
        <w:gridCol w:w="1225"/>
        <w:gridCol w:w="848"/>
        <w:gridCol w:w="565"/>
        <w:gridCol w:w="754"/>
        <w:gridCol w:w="942"/>
        <w:gridCol w:w="942"/>
      </w:tblGrid>
      <w:tr>
        <w:trPr>
          <w:tblHeader w:val="true"/>
        </w:trPr>
        <w:tc>
          <w:tcPr/>
          <w:p>
            <w:pPr>
              <w:pStyle w:val="Compact"/>
            </w:pPr>
          </w:p>
        </w:tc>
        <w:tc>
          <w:tcPr/>
          <w:p>
            <w:pPr>
              <w:pStyle w:val="Compact"/>
              <w:jc w:val="left"/>
            </w:pPr>
            <w:r>
              <w:t xml:space="preserve">Zhongxu</w:t>
            </w:r>
          </w:p>
        </w:tc>
        <w:tc>
          <w:tcPr/>
          <w:p>
            <w:pPr>
              <w:pStyle w:val="Compact"/>
              <w:jc w:val="left"/>
            </w:pPr>
            <w:r>
              <w:t xml:space="preserve">Anglo</w:t>
            </w:r>
          </w:p>
        </w:tc>
        <w:tc>
          <w:tcPr/>
          <w:p>
            <w:pPr>
              <w:pStyle w:val="Compact"/>
              <w:jc w:val="left"/>
            </w:pPr>
            <w:r>
              <w:t xml:space="preserve">Atlantic</w:t>
            </w:r>
          </w:p>
        </w:tc>
        <w:tc>
          <w:tcPr/>
          <w:p>
            <w:pPr>
              <w:pStyle w:val="Compact"/>
              <w:jc w:val="left"/>
            </w:pPr>
            <w:r>
              <w:t xml:space="preserve">Singularity</w:t>
            </w:r>
          </w:p>
        </w:tc>
        <w:tc>
          <w:tcPr/>
          <w:p>
            <w:pPr>
              <w:pStyle w:val="Compact"/>
              <w:jc w:val="left"/>
            </w:pPr>
            <w:r>
              <w:t xml:space="preserve">Pacific</w:t>
            </w:r>
          </w:p>
        </w:tc>
        <w:tc>
          <w:tcPr/>
          <w:p>
            <w:pPr>
              <w:pStyle w:val="Compact"/>
              <w:jc w:val="left"/>
            </w:pPr>
            <w:r>
              <w:t xml:space="preserve">Gulf</w:t>
            </w:r>
          </w:p>
        </w:tc>
        <w:tc>
          <w:tcPr/>
          <w:p>
            <w:pPr>
              <w:pStyle w:val="Compact"/>
              <w:jc w:val="left"/>
            </w:pPr>
            <w:r>
              <w:t xml:space="preserve">Bharat</w:t>
            </w:r>
          </w:p>
        </w:tc>
        <w:tc>
          <w:tcPr/>
          <w:p>
            <w:pPr>
              <w:pStyle w:val="Compact"/>
              <w:jc w:val="left"/>
            </w:pPr>
            <w:r>
              <w:t xml:space="preserve">Northern</w:t>
            </w:r>
          </w:p>
        </w:tc>
        <w:tc>
          <w:tcPr/>
          <w:p>
            <w:pPr>
              <w:pStyle w:val="Compact"/>
              <w:jc w:val="left"/>
            </w:pPr>
            <w:r>
              <w:t xml:space="preserve">Southern</w:t>
            </w:r>
          </w:p>
        </w:tc>
      </w:tr>
      <w:tr>
        <w:tc>
          <w:tcPr/>
          <w:p>
            <w:pPr>
              <w:pStyle w:val="Compact"/>
              <w:jc w:val="left"/>
            </w:pPr>
            <w:r>
              <w:rPr>
                <w:bCs/>
                <w:b/>
              </w:rPr>
              <w:t xml:space="preserve">Zhongxu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Anglo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Atlantic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Singularity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Pacific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Gulf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Bharat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Northern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Southern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 = Critical conflict (data transfer effectively blocked)</w:t>
      </w:r>
      <w:r>
        <w:t xml:space="preserve"> </w:t>
      </w:r>
      <w:r>
        <w:t xml:space="preserve">🟠 = High conflict (significant regulatory barriers)</w:t>
      </w:r>
      <w:r>
        <w:t xml:space="preserve"> </w:t>
      </w:r>
      <w:r>
        <w:t xml:space="preserve">🟡 = Medium conflict (manageable with compliance architecture)</w:t>
      </w:r>
      <w:r>
        <w:t xml:space="preserve"> </w:t>
      </w:r>
      <w:r>
        <w:t xml:space="preserve">🟢 = Low conflict (harmonized or aligned approaches)</w:t>
      </w:r>
    </w:p>
    <w:p>
      <w:r>
        <w:pict>
          <v:rect style="width:0;height:1.5pt" o:hralign="center" o:hrstd="t" o:hr="t"/>
        </w:pict>
      </w:r>
    </w:p>
    <w:bookmarkEnd w:id="82"/>
    <w:bookmarkEnd w:id="83"/>
    <w:bookmarkStart w:id="84" w:name="X4cdd6183feb091409197c5a290dad6f75a4c197"/>
    <w:p>
      <w:pPr>
        <w:pStyle w:val="Heading2"/>
      </w:pPr>
      <w:r>
        <w:t xml:space="preserve">7. Regulatory Timeline: Key Implementation Dates</w:t>
      </w:r>
    </w:p>
    <w:tbl>
      <w:tblPr>
        <w:tblStyle w:val="Table"/>
        <w:tblW w:type="pct" w:w="5000"/>
        <w:tblLook w:firstRow="1" w:lastRow="0" w:firstColumn="0" w:lastColumn="0" w:noHBand="0" w:noVBand="0" w:val="0020"/>
      </w:tblPr>
      <w:tblGrid>
        <w:gridCol w:w="969"/>
        <w:gridCol w:w="2101"/>
        <w:gridCol w:w="1777"/>
        <w:gridCol w:w="3071"/>
      </w:tblGrid>
      <w:tr>
        <w:trPr>
          <w:tblHeader w:val="true"/>
        </w:trPr>
        <w:tc>
          <w:tcPr/>
          <w:p>
            <w:pPr>
              <w:pStyle w:val="Compact"/>
              <w:jc w:val="left"/>
            </w:pPr>
            <w:r>
              <w:t xml:space="preserve">Date</w:t>
            </w:r>
          </w:p>
        </w:tc>
        <w:tc>
          <w:tcPr/>
          <w:p>
            <w:pPr>
              <w:pStyle w:val="Compact"/>
              <w:jc w:val="left"/>
            </w:pPr>
            <w:r>
              <w:t xml:space="preserve">Jurisdiction</w:t>
            </w:r>
          </w:p>
        </w:tc>
        <w:tc>
          <w:tcPr/>
          <w:p>
            <w:pPr>
              <w:pStyle w:val="Compact"/>
              <w:jc w:val="left"/>
            </w:pPr>
            <w:r>
              <w:t xml:space="preserve">Milestone</w:t>
            </w:r>
          </w:p>
        </w:tc>
        <w:tc>
          <w:tcPr/>
          <w:p>
            <w:pPr>
              <w:pStyle w:val="Compact"/>
              <w:jc w:val="left"/>
            </w:pPr>
            <w:r>
              <w:t xml:space="preserve">Industries Affected</w:t>
            </w:r>
          </w:p>
        </w:tc>
      </w:tr>
      <w:tr>
        <w:tc>
          <w:tcPr/>
          <w:p>
            <w:pPr>
              <w:pStyle w:val="Compact"/>
              <w:jc w:val="left"/>
            </w:pPr>
            <w:r>
              <w:rPr>
                <w:bCs/>
                <w:b/>
              </w:rPr>
              <w:t xml:space="preserve">Aug 2025</w:t>
            </w:r>
          </w:p>
        </w:tc>
        <w:tc>
          <w:tcPr/>
          <w:p>
            <w:pPr>
              <w:pStyle w:val="Compact"/>
              <w:jc w:val="left"/>
            </w:pPr>
            <w:r>
              <w:t xml:space="preserve">EU</w:t>
            </w:r>
          </w:p>
        </w:tc>
        <w:tc>
          <w:tcPr/>
          <w:p>
            <w:pPr>
              <w:pStyle w:val="Compact"/>
              <w:jc w:val="left"/>
            </w:pPr>
            <w:r>
              <w:t xml:space="preserve">AI Act GPAI model obligations</w:t>
            </w:r>
          </w:p>
        </w:tc>
        <w:tc>
          <w:tcPr/>
          <w:p>
            <w:pPr>
              <w:pStyle w:val="Compact"/>
              <w:jc w:val="left"/>
            </w:pPr>
            <w:r>
              <w:t xml:space="preserve">All AI/ML, Gaming, Social Media</w:t>
            </w:r>
          </w:p>
        </w:tc>
      </w:tr>
      <w:tr>
        <w:tc>
          <w:tcPr/>
          <w:p>
            <w:pPr>
              <w:pStyle w:val="Compact"/>
              <w:jc w:val="left"/>
            </w:pPr>
            <w:r>
              <w:rPr>
                <w:bCs/>
                <w:b/>
              </w:rPr>
              <w:t xml:space="preserve">Jan 2026</w:t>
            </w:r>
          </w:p>
        </w:tc>
        <w:tc>
          <w:tcPr/>
          <w:p>
            <w:pPr>
              <w:pStyle w:val="Compact"/>
              <w:jc w:val="left"/>
            </w:pPr>
            <w:r>
              <w:t xml:space="preserve">South Korea</w:t>
            </w:r>
          </w:p>
        </w:tc>
        <w:tc>
          <w:tcPr/>
          <w:p>
            <w:pPr>
              <w:pStyle w:val="Compact"/>
              <w:jc w:val="left"/>
            </w:pPr>
            <w:r>
              <w:t xml:space="preserve">AI Basic Act full enforcement</w:t>
            </w:r>
          </w:p>
        </w:tc>
        <w:tc>
          <w:tcPr/>
          <w:p>
            <w:pPr>
              <w:pStyle w:val="Compact"/>
              <w:jc w:val="left"/>
            </w:pPr>
            <w:r>
              <w:t xml:space="preserve">All AI industries</w:t>
            </w:r>
          </w:p>
        </w:tc>
      </w:tr>
      <w:tr>
        <w:tc>
          <w:tcPr/>
          <w:p>
            <w:pPr>
              <w:pStyle w:val="Compact"/>
              <w:jc w:val="left"/>
            </w:pPr>
            <w:r>
              <w:rPr>
                <w:bCs/>
                <w:b/>
              </w:rPr>
              <w:t xml:space="preserve">Jun 2026</w:t>
            </w:r>
          </w:p>
        </w:tc>
        <w:tc>
          <w:tcPr/>
          <w:p>
            <w:pPr>
              <w:pStyle w:val="Compact"/>
              <w:jc w:val="left"/>
            </w:pPr>
            <w:r>
              <w:t xml:space="preserve">US (Colorado)</w:t>
            </w:r>
          </w:p>
        </w:tc>
        <w:tc>
          <w:tcPr/>
          <w:p>
            <w:pPr>
              <w:pStyle w:val="Compact"/>
              <w:jc w:val="left"/>
            </w:pPr>
            <w:r>
              <w:t xml:space="preserve">SB 24-205 AI Act effective</w:t>
            </w:r>
          </w:p>
        </w:tc>
        <w:tc>
          <w:tcPr/>
          <w:p>
            <w:pPr>
              <w:pStyle w:val="Compact"/>
              <w:jc w:val="left"/>
            </w:pPr>
            <w:r>
              <w:t xml:space="preserve">AI in Banking, Credit Scoring, Insurance</w:t>
            </w:r>
          </w:p>
        </w:tc>
      </w:tr>
      <w:tr>
        <w:tc>
          <w:tcPr/>
          <w:p>
            <w:pPr>
              <w:pStyle w:val="Compact"/>
              <w:jc w:val="left"/>
            </w:pPr>
            <w:r>
              <w:rPr>
                <w:bCs/>
                <w:b/>
              </w:rPr>
              <w:t xml:space="preserve">Aug 2026</w:t>
            </w:r>
          </w:p>
        </w:tc>
        <w:tc>
          <w:tcPr/>
          <w:p>
            <w:pPr>
              <w:pStyle w:val="Compact"/>
              <w:jc w:val="left"/>
            </w:pPr>
            <w:r>
              <w:t xml:space="preserve">EU</w:t>
            </w:r>
          </w:p>
        </w:tc>
        <w:tc>
          <w:tcPr/>
          <w:p>
            <w:pPr>
              <w:pStyle w:val="Compact"/>
              <w:jc w:val="left"/>
            </w:pPr>
            <w:r>
              <w:t xml:space="preserve">AI Act high-risk obligations (Annex III)</w:t>
            </w:r>
          </w:p>
        </w:tc>
        <w:tc>
          <w:tcPr/>
          <w:p>
            <w:pPr>
              <w:pStyle w:val="Compact"/>
              <w:jc w:val="left"/>
            </w:pPr>
            <w:r>
              <w:t xml:space="preserve">Healthcare, Transport, Critical Infra, Legal, Ed, Finance</w:t>
            </w:r>
          </w:p>
        </w:tc>
      </w:tr>
      <w:tr>
        <w:tc>
          <w:tcPr/>
          <w:p>
            <w:pPr>
              <w:pStyle w:val="Compact"/>
              <w:jc w:val="left"/>
            </w:pPr>
            <w:r>
              <w:rPr>
                <w:bCs/>
                <w:b/>
              </w:rPr>
              <w:t xml:space="preserve">Jan 2027</w:t>
            </w:r>
          </w:p>
        </w:tc>
        <w:tc>
          <w:tcPr/>
          <w:p>
            <w:pPr>
              <w:pStyle w:val="Compact"/>
              <w:jc w:val="left"/>
            </w:pPr>
            <w:r>
              <w:t xml:space="preserve">UAE</w:t>
            </w:r>
          </w:p>
        </w:tc>
        <w:tc>
          <w:tcPr/>
          <w:p>
            <w:pPr>
              <w:pStyle w:val="Compact"/>
              <w:jc w:val="left"/>
            </w:pPr>
            <w:r>
              <w:t xml:space="preserve">Federal PDPL full compliance</w:t>
            </w:r>
          </w:p>
        </w:tc>
        <w:tc>
          <w:tcPr/>
          <w:p>
            <w:pPr>
              <w:pStyle w:val="Compact"/>
              <w:jc w:val="left"/>
            </w:pPr>
            <w:r>
              <w:t xml:space="preserve">All industries</w:t>
            </w:r>
          </w:p>
        </w:tc>
      </w:tr>
      <w:tr>
        <w:tc>
          <w:tcPr/>
          <w:p>
            <w:pPr>
              <w:pStyle w:val="Compact"/>
              <w:jc w:val="left"/>
            </w:pPr>
            <w:r>
              <w:rPr>
                <w:bCs/>
                <w:b/>
              </w:rPr>
              <w:t xml:space="preserve">Aug 2027</w:t>
            </w:r>
          </w:p>
        </w:tc>
        <w:tc>
          <w:tcPr/>
          <w:p>
            <w:pPr>
              <w:pStyle w:val="Compact"/>
              <w:jc w:val="left"/>
            </w:pPr>
            <w:r>
              <w:t xml:space="preserve">EU</w:t>
            </w:r>
          </w:p>
        </w:tc>
        <w:tc>
          <w:tcPr/>
          <w:p>
            <w:pPr>
              <w:pStyle w:val="Compact"/>
              <w:jc w:val="left"/>
            </w:pPr>
            <w:r>
              <w:t xml:space="preserve">AI Act Annex I (product safety) high-risk</w:t>
            </w:r>
          </w:p>
        </w:tc>
        <w:tc>
          <w:tcPr/>
          <w:p>
            <w:pPr>
              <w:pStyle w:val="Compact"/>
              <w:jc w:val="left"/>
            </w:pPr>
            <w:r>
              <w:t xml:space="preserve">Medical Devices, Industrial Robotics, Automotive</w:t>
            </w:r>
          </w:p>
        </w:tc>
      </w:tr>
      <w:tr>
        <w:tc>
          <w:tcPr/>
          <w:p>
            <w:pPr>
              <w:pStyle w:val="Compact"/>
              <w:jc w:val="left"/>
            </w:pPr>
            <w:r>
              <w:rPr>
                <w:bCs/>
                <w:b/>
              </w:rPr>
              <w:t xml:space="preserve">Jul 2030</w:t>
            </w:r>
          </w:p>
        </w:tc>
        <w:tc>
          <w:tcPr/>
          <w:p>
            <w:pPr>
              <w:pStyle w:val="Compact"/>
              <w:jc w:val="left"/>
            </w:pPr>
            <w:r>
              <w:t xml:space="preserve">IMO</w:t>
            </w:r>
          </w:p>
        </w:tc>
        <w:tc>
          <w:tcPr/>
          <w:p>
            <w:pPr>
              <w:pStyle w:val="Compact"/>
              <w:jc w:val="left"/>
            </w:pPr>
            <w:r>
              <w:t xml:space="preserve">MASS Code becomes mandatory</w:t>
            </w:r>
          </w:p>
        </w:tc>
        <w:tc>
          <w:tcPr/>
          <w:p>
            <w:pPr>
              <w:pStyle w:val="Compact"/>
              <w:jc w:val="left"/>
            </w:pPr>
            <w:r>
              <w:t xml:space="preserve">Maritime, Autonomous Vessels</w:t>
            </w:r>
          </w:p>
        </w:tc>
      </w:tr>
      <w:tr>
        <w:tc>
          <w:tcPr/>
          <w:p>
            <w:pPr>
              <w:pStyle w:val="Compact"/>
              <w:jc w:val="left"/>
            </w:pPr>
            <w:r>
              <w:rPr>
                <w:bCs/>
                <w:b/>
              </w:rPr>
              <w:t xml:space="preserve">2030</w:t>
            </w:r>
          </w:p>
        </w:tc>
        <w:tc>
          <w:tcPr/>
          <w:p>
            <w:pPr>
              <w:pStyle w:val="Compact"/>
              <w:jc w:val="left"/>
            </w:pPr>
            <w:r>
              <w:t xml:space="preserve">US</w:t>
            </w:r>
          </w:p>
        </w:tc>
        <w:tc>
          <w:tcPr/>
          <w:p>
            <w:pPr>
              <w:pStyle w:val="Compact"/>
              <w:jc w:val="left"/>
            </w:pPr>
            <w:r>
              <w:t xml:space="preserve">CNSA 2.0 prioritized PQC systems</w:t>
            </w:r>
          </w:p>
        </w:tc>
        <w:tc>
          <w:tcPr/>
          <w:p>
            <w:pPr>
              <w:pStyle w:val="Compact"/>
              <w:jc w:val="left"/>
            </w:pPr>
            <w:r>
              <w:t xml:space="preserve">Banking, Defense, Critical Infrastructure</w:t>
            </w:r>
          </w:p>
        </w:tc>
      </w:tr>
      <w:tr>
        <w:tc>
          <w:tcPr/>
          <w:p>
            <w:pPr>
              <w:pStyle w:val="Compact"/>
              <w:jc w:val="left"/>
            </w:pPr>
            <w:r>
              <w:rPr>
                <w:bCs/>
                <w:b/>
              </w:rPr>
              <w:t xml:space="preserve">2032</w:t>
            </w:r>
          </w:p>
        </w:tc>
        <w:tc>
          <w:tcPr/>
          <w:p>
            <w:pPr>
              <w:pStyle w:val="Compact"/>
              <w:jc w:val="left"/>
            </w:pPr>
            <w:r>
              <w:t xml:space="preserve">IMO</w:t>
            </w:r>
          </w:p>
        </w:tc>
        <w:tc>
          <w:tcPr/>
          <w:p>
            <w:pPr>
              <w:pStyle w:val="Compact"/>
              <w:jc w:val="left"/>
            </w:pPr>
            <w:r>
              <w:t xml:space="preserve">MASS SOLAS amendments enter force</w:t>
            </w:r>
          </w:p>
        </w:tc>
        <w:tc>
          <w:tcPr/>
          <w:p>
            <w:pPr>
              <w:pStyle w:val="Compact"/>
              <w:jc w:val="left"/>
            </w:pPr>
            <w:r>
              <w:t xml:space="preserve">Maritime</w:t>
            </w:r>
          </w:p>
        </w:tc>
      </w:tr>
      <w:tr>
        <w:tc>
          <w:tcPr/>
          <w:p>
            <w:pPr>
              <w:pStyle w:val="Compact"/>
              <w:jc w:val="left"/>
            </w:pPr>
            <w:r>
              <w:rPr>
                <w:bCs/>
                <w:b/>
              </w:rPr>
              <w:t xml:space="preserve">2035</w:t>
            </w:r>
          </w:p>
        </w:tc>
        <w:tc>
          <w:tcPr/>
          <w:p>
            <w:pPr>
              <w:pStyle w:val="Compact"/>
              <w:jc w:val="left"/>
            </w:pPr>
            <w:r>
              <w:t xml:space="preserve">US</w:t>
            </w:r>
          </w:p>
        </w:tc>
        <w:tc>
          <w:tcPr/>
          <w:p>
            <w:pPr>
              <w:pStyle w:val="Compact"/>
              <w:jc w:val="left"/>
            </w:pPr>
            <w:r>
              <w:t xml:space="preserve">NIST deprecates RSA/ECC for federal</w:t>
            </w:r>
          </w:p>
        </w:tc>
        <w:tc>
          <w:tcPr/>
          <w:p>
            <w:pPr>
              <w:pStyle w:val="Compact"/>
              <w:jc w:val="left"/>
            </w:pPr>
            <w:r>
              <w:t xml:space="preserve">All cybersecurity, financial systems</w:t>
            </w:r>
          </w:p>
        </w:tc>
      </w:tr>
    </w:tbl>
    <w:p>
      <w:r>
        <w:pict>
          <v:rect style="width:0;height:1.5pt" o:hralign="center" o:hrstd="t" o:hr="t"/>
        </w:pict>
      </w:r>
    </w:p>
    <w:bookmarkEnd w:id="84"/>
    <w:bookmarkStart w:id="90" w:name="appendices"/>
    <w:p>
      <w:pPr>
        <w:pStyle w:val="Heading2"/>
      </w:pPr>
      <w:r>
        <w:t xml:space="preserve">8. Appendices</w:t>
      </w:r>
    </w:p>
    <w:bookmarkStart w:id="85" w:name="Xf2c5224023cad36867639d0259964c9b9d96c2a"/>
    <w:p>
      <w:pPr>
        <w:pStyle w:val="Heading3"/>
      </w:pPr>
      <w:r>
        <w:t xml:space="preserve">Appendix A: Complete Regulatory Framework Inventory</w:t>
      </w:r>
    </w:p>
    <w:tbl>
      <w:tblPr>
        <w:tblStyle w:val="Table"/>
        <w:tblW w:type="pct" w:w="5000"/>
        <w:tblLook w:firstRow="1" w:lastRow="0" w:firstColumn="0" w:lastColumn="0" w:noHBand="0" w:noVBand="0" w:val="0020"/>
      </w:tblPr>
      <w:tblGrid>
        <w:gridCol w:w="1630"/>
        <w:gridCol w:w="1863"/>
        <w:gridCol w:w="1048"/>
        <w:gridCol w:w="1164"/>
        <w:gridCol w:w="2212"/>
      </w:tblGrid>
      <w:tr>
        <w:trPr>
          <w:tblHeader w:val="true"/>
        </w:trPr>
        <w:tc>
          <w:tcPr/>
          <w:p>
            <w:pPr>
              <w:pStyle w:val="Compact"/>
              <w:jc w:val="left"/>
            </w:pPr>
            <w:r>
              <w:t xml:space="preserve">Jurisdiction</w:t>
            </w:r>
          </w:p>
        </w:tc>
        <w:tc>
          <w:tcPr/>
          <w:p>
            <w:pPr>
              <w:pStyle w:val="Compact"/>
              <w:jc w:val="left"/>
            </w:pPr>
            <w:r>
              <w:t xml:space="preserve">Framework Count</w:t>
            </w:r>
          </w:p>
        </w:tc>
        <w:tc>
          <w:tcPr/>
          <w:p>
            <w:pPr>
              <w:pStyle w:val="Compact"/>
              <w:jc w:val="left"/>
            </w:pPr>
            <w:r>
              <w:t xml:space="preserve">Binding</w:t>
            </w:r>
          </w:p>
        </w:tc>
        <w:tc>
          <w:tcPr/>
          <w:p>
            <w:pPr>
              <w:pStyle w:val="Compact"/>
              <w:jc w:val="left"/>
            </w:pPr>
            <w:r>
              <w:t xml:space="preserve">Soft Law</w:t>
            </w:r>
          </w:p>
        </w:tc>
        <w:tc>
          <w:tcPr/>
          <w:p>
            <w:pPr>
              <w:pStyle w:val="Compact"/>
              <w:jc w:val="left"/>
            </w:pPr>
            <w:r>
              <w:t xml:space="preserve">Industry Standards</w:t>
            </w:r>
          </w:p>
        </w:tc>
      </w:tr>
      <w:tr>
        <w:tc>
          <w:tcPr/>
          <w:p>
            <w:pPr>
              <w:pStyle w:val="Compact"/>
              <w:jc w:val="left"/>
            </w:pPr>
            <w:r>
              <w:t xml:space="preserve">EU</w:t>
            </w:r>
          </w:p>
        </w:tc>
        <w:tc>
          <w:tcPr/>
          <w:p>
            <w:pPr>
              <w:pStyle w:val="Compact"/>
              <w:jc w:val="left"/>
            </w:pPr>
            <w:r>
              <w:t xml:space="preserve">30+</w:t>
            </w:r>
          </w:p>
        </w:tc>
        <w:tc>
          <w:tcPr/>
          <w:p>
            <w:pPr>
              <w:pStyle w:val="Compact"/>
              <w:jc w:val="left"/>
            </w:pPr>
            <w:r>
              <w:t xml:space="preserve">18</w:t>
            </w:r>
          </w:p>
        </w:tc>
        <w:tc>
          <w:tcPr/>
          <w:p>
            <w:pPr>
              <w:pStyle w:val="Compact"/>
              <w:jc w:val="left"/>
            </w:pPr>
            <w:r>
              <w:t xml:space="preserve">8</w:t>
            </w:r>
          </w:p>
        </w:tc>
        <w:tc>
          <w:tcPr/>
          <w:p>
            <w:pPr>
              <w:pStyle w:val="Compact"/>
              <w:jc w:val="left"/>
            </w:pPr>
            <w:r>
              <w:t xml:space="preserve">4+</w:t>
            </w:r>
          </w:p>
        </w:tc>
      </w:tr>
      <w:tr>
        <w:tc>
          <w:tcPr/>
          <w:p>
            <w:pPr>
              <w:pStyle w:val="Compact"/>
              <w:jc w:val="left"/>
            </w:pPr>
            <w:r>
              <w:t xml:space="preserve">United States</w:t>
            </w:r>
          </w:p>
        </w:tc>
        <w:tc>
          <w:tcPr/>
          <w:p>
            <w:pPr>
              <w:pStyle w:val="Compact"/>
              <w:jc w:val="left"/>
            </w:pPr>
            <w:r>
              <w:t xml:space="preserve">40+</w:t>
            </w:r>
          </w:p>
        </w:tc>
        <w:tc>
          <w:tcPr/>
          <w:p>
            <w:pPr>
              <w:pStyle w:val="Compact"/>
              <w:jc w:val="left"/>
            </w:pPr>
            <w:r>
              <w:t xml:space="preserve">15</w:t>
            </w:r>
          </w:p>
        </w:tc>
        <w:tc>
          <w:tcPr/>
          <w:p>
            <w:pPr>
              <w:pStyle w:val="Compact"/>
              <w:jc w:val="left"/>
            </w:pPr>
            <w:r>
              <w:t xml:space="preserve">15</w:t>
            </w:r>
          </w:p>
        </w:tc>
        <w:tc>
          <w:tcPr/>
          <w:p>
            <w:pPr>
              <w:pStyle w:val="Compact"/>
              <w:jc w:val="left"/>
            </w:pPr>
            <w:r>
              <w:t xml:space="preserve">10+</w:t>
            </w:r>
          </w:p>
        </w:tc>
      </w:tr>
      <w:tr>
        <w:tc>
          <w:tcPr/>
          <w:p>
            <w:pPr>
              <w:pStyle w:val="Compact"/>
              <w:jc w:val="left"/>
            </w:pPr>
            <w:r>
              <w:t xml:space="preserve">China</w:t>
            </w:r>
          </w:p>
        </w:tc>
        <w:tc>
          <w:tcPr/>
          <w:p>
            <w:pPr>
              <w:pStyle w:val="Compact"/>
              <w:jc w:val="left"/>
            </w:pPr>
            <w:r>
              <w:t xml:space="preserve">25+</w:t>
            </w:r>
          </w:p>
        </w:tc>
        <w:tc>
          <w:tcPr/>
          <w:p>
            <w:pPr>
              <w:pStyle w:val="Compact"/>
              <w:jc w:val="left"/>
            </w:pPr>
            <w:r>
              <w:t xml:space="preserve">15</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United Kingdom</w:t>
            </w:r>
          </w:p>
        </w:tc>
        <w:tc>
          <w:tcPr/>
          <w:p>
            <w:pPr>
              <w:pStyle w:val="Compact"/>
              <w:jc w:val="left"/>
            </w:pPr>
            <w:r>
              <w:t xml:space="preserve">15+</w:t>
            </w:r>
          </w:p>
        </w:tc>
        <w:tc>
          <w:tcPr/>
          <w:p>
            <w:pPr>
              <w:pStyle w:val="Compact"/>
              <w:jc w:val="left"/>
            </w:pPr>
            <w:r>
              <w:t xml:space="preserve">8</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Singapore</w:t>
            </w:r>
          </w:p>
        </w:tc>
        <w:tc>
          <w:tcPr/>
          <w:p>
            <w:pPr>
              <w:pStyle w:val="Compact"/>
              <w:jc w:val="left"/>
            </w:pPr>
            <w:r>
              <w:t xml:space="preserve">12+</w:t>
            </w:r>
          </w:p>
        </w:tc>
        <w:tc>
          <w:tcPr/>
          <w:p>
            <w:pPr>
              <w:pStyle w:val="Compact"/>
              <w:jc w:val="left"/>
            </w:pPr>
            <w:r>
              <w:t xml:space="preserve">5</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Japan</w:t>
            </w:r>
          </w:p>
        </w:tc>
        <w:tc>
          <w:tcPr/>
          <w:p>
            <w:pPr>
              <w:pStyle w:val="Compact"/>
              <w:jc w:val="left"/>
            </w:pPr>
            <w:r>
              <w:t xml:space="preserve">10+</w:t>
            </w:r>
          </w:p>
        </w:tc>
        <w:tc>
          <w:tcPr/>
          <w:p>
            <w:pPr>
              <w:pStyle w:val="Compact"/>
              <w:jc w:val="left"/>
            </w:pPr>
            <w:r>
              <w:t xml:space="preserve">3</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South Korea</w:t>
            </w:r>
          </w:p>
        </w:tc>
        <w:tc>
          <w:tcPr/>
          <w:p>
            <w:pPr>
              <w:pStyle w:val="Compact"/>
              <w:jc w:val="left"/>
            </w:pPr>
            <w:r>
              <w:t xml:space="preserve">10+</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India</w:t>
            </w:r>
          </w:p>
        </w:tc>
        <w:tc>
          <w:tcPr/>
          <w:p>
            <w:pPr>
              <w:pStyle w:val="Compact"/>
              <w:jc w:val="left"/>
            </w:pPr>
            <w:r>
              <w:t xml:space="preserve">10+</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Australia</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Canada</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UAE</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Brazil</w:t>
            </w:r>
          </w:p>
        </w:tc>
        <w:tc>
          <w:tcPr/>
          <w:p>
            <w:pPr>
              <w:pStyle w:val="Compact"/>
              <w:jc w:val="left"/>
            </w:pPr>
            <w:r>
              <w:t xml:space="preserve">6+</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rPr>
                <w:bCs/>
                <w:b/>
              </w:rPr>
              <w:t xml:space="preserve">TOTAL</w:t>
            </w:r>
          </w:p>
        </w:tc>
        <w:tc>
          <w:tcPr/>
          <w:p>
            <w:pPr>
              <w:pStyle w:val="Compact"/>
              <w:jc w:val="left"/>
            </w:pPr>
            <w:r>
              <w:rPr>
                <w:bCs/>
                <w:b/>
              </w:rPr>
              <w:t xml:space="preserve">~200</w:t>
            </w:r>
          </w:p>
        </w:tc>
        <w:tc>
          <w:tcPr/>
          <w:p>
            <w:pPr>
              <w:pStyle w:val="Compact"/>
              <w:jc w:val="left"/>
            </w:pPr>
            <w:r>
              <w:rPr>
                <w:bCs/>
                <w:b/>
              </w:rPr>
              <w:t xml:space="preserve">~90</w:t>
            </w:r>
          </w:p>
        </w:tc>
        <w:tc>
          <w:tcPr/>
          <w:p>
            <w:pPr>
              <w:pStyle w:val="Compact"/>
              <w:jc w:val="left"/>
            </w:pPr>
            <w:r>
              <w:rPr>
                <w:bCs/>
                <w:b/>
              </w:rPr>
              <w:t xml:space="preserve">~60</w:t>
            </w:r>
          </w:p>
        </w:tc>
        <w:tc>
          <w:tcPr/>
          <w:p>
            <w:pPr>
              <w:pStyle w:val="Compact"/>
              <w:jc w:val="left"/>
            </w:pPr>
            <w:r>
              <w:rPr>
                <w:bCs/>
                <w:b/>
              </w:rPr>
              <w:t xml:space="preserve">~35</w:t>
            </w:r>
          </w:p>
        </w:tc>
      </w:tr>
    </w:tbl>
    <w:bookmarkEnd w:id="85"/>
    <w:bookmarkStart w:id="86" w:name="X97d4c251fbe4e7a03d54f1e9f61c81567f8e015"/>
    <w:p>
      <w:pPr>
        <w:pStyle w:val="Heading3"/>
      </w:pPr>
      <w:r>
        <w:t xml:space="preserve">Appendix B: Free Data Sources for Simulation</w:t>
      </w:r>
    </w:p>
    <w:tbl>
      <w:tblPr>
        <w:tblStyle w:val="Table"/>
        <w:tblW w:type="pct" w:w="5000"/>
        <w:tblLook w:firstRow="1" w:lastRow="0" w:firstColumn="0" w:lastColumn="0" w:noHBand="0" w:noVBand="0" w:val="0020"/>
      </w:tblPr>
      <w:tblGrid>
        <w:gridCol w:w="2640"/>
        <w:gridCol w:w="1848"/>
        <w:gridCol w:w="3432"/>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Key Sources</w:t>
            </w:r>
          </w:p>
        </w:tc>
      </w:tr>
      <w:tr>
        <w:tc>
          <w:tcPr/>
          <w:p>
            <w:pPr>
              <w:pStyle w:val="Compact"/>
              <w:jc w:val="left"/>
            </w:pPr>
            <w:r>
              <w:t xml:space="preserve">Government Open Data</w:t>
            </w:r>
          </w:p>
        </w:tc>
        <w:tc>
          <w:tcPr/>
          <w:p>
            <w:pPr>
              <w:pStyle w:val="Compact"/>
              <w:jc w:val="left"/>
            </w:pPr>
            <w:r>
              <w:t xml:space="preserve">50+</w:t>
            </w:r>
          </w:p>
        </w:tc>
        <w:tc>
          <w:tcPr/>
          <w:p>
            <w:pPr>
              <w:pStyle w:val="Compact"/>
              <w:jc w:val="left"/>
            </w:pPr>
            <w:r>
              <w:t xml:space="preserve">data.gov, data.europa.eu, data.gov.uk, data.gov.sg</w:t>
            </w:r>
          </w:p>
        </w:tc>
      </w:tr>
      <w:tr>
        <w:tc>
          <w:tcPr/>
          <w:p>
            <w:pPr>
              <w:pStyle w:val="Compact"/>
              <w:jc w:val="left"/>
            </w:pPr>
            <w:r>
              <w:t xml:space="preserve">Regulatory Databases</w:t>
            </w:r>
          </w:p>
        </w:tc>
        <w:tc>
          <w:tcPr/>
          <w:p>
            <w:pPr>
              <w:pStyle w:val="Compact"/>
              <w:jc w:val="left"/>
            </w:pPr>
            <w:r>
              <w:t xml:space="preserve">25+</w:t>
            </w:r>
          </w:p>
        </w:tc>
        <w:tc>
          <w:tcPr/>
          <w:p>
            <w:pPr>
              <w:pStyle w:val="Compact"/>
              <w:jc w:val="left"/>
            </w:pPr>
            <w:r>
              <w:t xml:space="preserve">EUR-Lex, FDA 510(k), EUDAMED, SEC EDGAR, NMPA</w:t>
            </w:r>
          </w:p>
        </w:tc>
      </w:tr>
      <w:tr>
        <w:tc>
          <w:tcPr/>
          <w:p>
            <w:pPr>
              <w:pStyle w:val="Compact"/>
              <w:jc w:val="left"/>
            </w:pPr>
            <w:r>
              <w:t xml:space="preserve">Market Research</w:t>
            </w:r>
          </w:p>
        </w:tc>
        <w:tc>
          <w:tcPr/>
          <w:p>
            <w:pPr>
              <w:pStyle w:val="Compact"/>
              <w:jc w:val="left"/>
            </w:pPr>
            <w:r>
              <w:t xml:space="preserve">40+</w:t>
            </w:r>
          </w:p>
        </w:tc>
        <w:tc>
          <w:tcPr/>
          <w:p>
            <w:pPr>
              <w:pStyle w:val="Compact"/>
              <w:jc w:val="left"/>
            </w:pPr>
            <w:r>
              <w:t xml:space="preserve">MarketsandMarkets, Grand View Research, Precedence Research</w:t>
            </w:r>
          </w:p>
        </w:tc>
      </w:tr>
      <w:tr>
        <w:tc>
          <w:tcPr/>
          <w:p>
            <w:pPr>
              <w:pStyle w:val="Compact"/>
              <w:jc w:val="left"/>
            </w:pPr>
            <w:r>
              <w:t xml:space="preserve">Technical Standards</w:t>
            </w:r>
          </w:p>
        </w:tc>
        <w:tc>
          <w:tcPr/>
          <w:p>
            <w:pPr>
              <w:pStyle w:val="Compact"/>
              <w:jc w:val="left"/>
            </w:pPr>
            <w:r>
              <w:t xml:space="preserve">20+</w:t>
            </w:r>
          </w:p>
        </w:tc>
        <w:tc>
          <w:tcPr/>
          <w:p>
            <w:pPr>
              <w:pStyle w:val="Compact"/>
              <w:jc w:val="left"/>
            </w:pPr>
            <w:r>
              <w:t xml:space="preserve">NIST, ETSI, ISO/IEC, 3GPP, O-RAN Alliance</w:t>
            </w:r>
          </w:p>
        </w:tc>
      </w:tr>
      <w:tr>
        <w:tc>
          <w:tcPr/>
          <w:p>
            <w:pPr>
              <w:pStyle w:val="Compact"/>
              <w:jc w:val="left"/>
            </w:pPr>
            <w:r>
              <w:t xml:space="preserve">Industry Data</w:t>
            </w:r>
          </w:p>
        </w:tc>
        <w:tc>
          <w:tcPr/>
          <w:p>
            <w:pPr>
              <w:pStyle w:val="Compact"/>
              <w:jc w:val="left"/>
            </w:pPr>
            <w:r>
              <w:t xml:space="preserve">30+</w:t>
            </w:r>
          </w:p>
        </w:tc>
        <w:tc>
          <w:tcPr/>
          <w:p>
            <w:pPr>
              <w:pStyle w:val="Compact"/>
              <w:jc w:val="left"/>
            </w:pPr>
            <w:r>
              <w:t xml:space="preserve">GitHub, Hugging Face, Kaggle, arXiv, ClinicalTrials.gov</w:t>
            </w:r>
          </w:p>
        </w:tc>
      </w:tr>
      <w:tr>
        <w:tc>
          <w:tcPr/>
          <w:p>
            <w:pPr>
              <w:pStyle w:val="Compact"/>
              <w:jc w:val="left"/>
            </w:pPr>
            <w:r>
              <w:t xml:space="preserve">Incident/Enforcement</w:t>
            </w:r>
          </w:p>
        </w:tc>
        <w:tc>
          <w:tcPr/>
          <w:p>
            <w:pPr>
              <w:pStyle w:val="Compact"/>
              <w:jc w:val="left"/>
            </w:pPr>
            <w:r>
              <w:t xml:space="preserve">15+</w:t>
            </w:r>
          </w:p>
        </w:tc>
        <w:tc>
          <w:tcPr/>
          <w:p>
            <w:pPr>
              <w:pStyle w:val="Compact"/>
              <w:jc w:val="left"/>
            </w:pPr>
            <w:r>
              <w:t xml:space="preserve">ENISA, CISA, ICO enforcement, SEC enforcement actions</w:t>
            </w:r>
          </w:p>
        </w:tc>
      </w:tr>
    </w:tbl>
    <w:bookmarkEnd w:id="86"/>
    <w:bookmarkStart w:id="87" w:name="appendix-c-key-acronyms"/>
    <w:p>
      <w:pPr>
        <w:pStyle w:val="Heading3"/>
      </w:pPr>
      <w:r>
        <w:t xml:space="preserve">Appendix C: Key Acronyms</w:t>
      </w:r>
    </w:p>
    <w:tbl>
      <w:tblPr>
        <w:tblStyle w:val="Table"/>
        <w:tblW w:type="pct" w:w="5000"/>
        <w:tblLook w:firstRow="1" w:lastRow="0" w:firstColumn="0" w:lastColumn="0" w:noHBand="0" w:noVBand="0" w:val="0020"/>
      </w:tblPr>
      <w:tblGrid>
        <w:gridCol w:w="2160"/>
        <w:gridCol w:w="2640"/>
        <w:gridCol w:w="3120"/>
      </w:tblGrid>
      <w:tr>
        <w:trPr>
          <w:tblHeader w:val="true"/>
        </w:trPr>
        <w:tc>
          <w:tcPr/>
          <w:p>
            <w:pPr>
              <w:pStyle w:val="Compact"/>
              <w:jc w:val="left"/>
            </w:pPr>
            <w:r>
              <w:t xml:space="preserve">Acronym</w:t>
            </w:r>
          </w:p>
        </w:tc>
        <w:tc>
          <w:tcPr/>
          <w:p>
            <w:pPr>
              <w:pStyle w:val="Compact"/>
              <w:jc w:val="left"/>
            </w:pPr>
            <w:r>
              <w:t xml:space="preserve">Full Name</w:t>
            </w:r>
          </w:p>
        </w:tc>
        <w:tc>
          <w:tcPr/>
          <w:p>
            <w:pPr>
              <w:pStyle w:val="Compact"/>
              <w:jc w:val="left"/>
            </w:pPr>
            <w:r>
              <w:t xml:space="preserve">Jurisdiction</w:t>
            </w:r>
          </w:p>
        </w:tc>
      </w:tr>
      <w:tr>
        <w:tc>
          <w:tcPr/>
          <w:p>
            <w:pPr>
              <w:pStyle w:val="Compact"/>
              <w:jc w:val="left"/>
            </w:pPr>
            <w:r>
              <w:t xml:space="preserve">AI Act</w:t>
            </w:r>
          </w:p>
        </w:tc>
        <w:tc>
          <w:tcPr/>
          <w:p>
            <w:pPr>
              <w:pStyle w:val="Compact"/>
              <w:jc w:val="left"/>
            </w:pPr>
            <w:r>
              <w:t xml:space="preserve">Artificial Intelligence Act</w:t>
            </w:r>
          </w:p>
        </w:tc>
        <w:tc>
          <w:tcPr/>
          <w:p>
            <w:pPr>
              <w:pStyle w:val="Compact"/>
              <w:jc w:val="left"/>
            </w:pPr>
            <w:r>
              <w:t xml:space="preserve">EU</w:t>
            </w:r>
          </w:p>
        </w:tc>
      </w:tr>
      <w:tr>
        <w:tc>
          <w:tcPr/>
          <w:p>
            <w:pPr>
              <w:pStyle w:val="Compact"/>
              <w:jc w:val="left"/>
            </w:pPr>
            <w:r>
              <w:t xml:space="preserve">APPI</w:t>
            </w:r>
          </w:p>
        </w:tc>
        <w:tc>
          <w:tcPr/>
          <w:p>
            <w:pPr>
              <w:pStyle w:val="Compact"/>
              <w:jc w:val="left"/>
            </w:pPr>
            <w:r>
              <w:t xml:space="preserve">Act on Protection of Personal Information</w:t>
            </w:r>
          </w:p>
        </w:tc>
        <w:tc>
          <w:tcPr/>
          <w:p>
            <w:pPr>
              <w:pStyle w:val="Compact"/>
              <w:jc w:val="left"/>
            </w:pPr>
            <w:r>
              <w:t xml:space="preserve">Japan</w:t>
            </w:r>
          </w:p>
        </w:tc>
      </w:tr>
      <w:tr>
        <w:tc>
          <w:tcPr/>
          <w:p>
            <w:pPr>
              <w:pStyle w:val="Compact"/>
              <w:jc w:val="left"/>
            </w:pPr>
            <w:r>
              <w:t xml:space="preserve">CAC</w:t>
            </w:r>
          </w:p>
        </w:tc>
        <w:tc>
          <w:tcPr/>
          <w:p>
            <w:pPr>
              <w:pStyle w:val="Compact"/>
              <w:jc w:val="left"/>
            </w:pPr>
            <w:r>
              <w:t xml:space="preserve">Cyberspace Administration of China</w:t>
            </w:r>
          </w:p>
        </w:tc>
        <w:tc>
          <w:tcPr/>
          <w:p>
            <w:pPr>
              <w:pStyle w:val="Compact"/>
              <w:jc w:val="left"/>
            </w:pPr>
            <w:r>
              <w:t xml:space="preserve">China</w:t>
            </w:r>
          </w:p>
        </w:tc>
      </w:tr>
      <w:tr>
        <w:tc>
          <w:tcPr/>
          <w:p>
            <w:pPr>
              <w:pStyle w:val="Compact"/>
              <w:jc w:val="left"/>
            </w:pPr>
            <w:r>
              <w:t xml:space="preserve">CFIUS</w:t>
            </w:r>
          </w:p>
        </w:tc>
        <w:tc>
          <w:tcPr/>
          <w:p>
            <w:pPr>
              <w:pStyle w:val="Compact"/>
              <w:jc w:val="left"/>
            </w:pPr>
            <w:r>
              <w:t xml:space="preserve">Committee on Foreign Investment in the US</w:t>
            </w:r>
          </w:p>
        </w:tc>
        <w:tc>
          <w:tcPr/>
          <w:p>
            <w:pPr>
              <w:pStyle w:val="Compact"/>
              <w:jc w:val="left"/>
            </w:pPr>
            <w:r>
              <w:t xml:space="preserve">US</w:t>
            </w:r>
          </w:p>
        </w:tc>
      </w:tr>
      <w:tr>
        <w:tc>
          <w:tcPr/>
          <w:p>
            <w:pPr>
              <w:pStyle w:val="Compact"/>
              <w:jc w:val="left"/>
            </w:pPr>
            <w:r>
              <w:t xml:space="preserve">CHIPS Act</w:t>
            </w:r>
          </w:p>
        </w:tc>
        <w:tc>
          <w:tcPr/>
          <w:p>
            <w:pPr>
              <w:pStyle w:val="Compact"/>
              <w:jc w:val="left"/>
            </w:pPr>
            <w:r>
              <w:t xml:space="preserve">Creating Helpful Incentives to Produce Semiconductors</w:t>
            </w:r>
          </w:p>
        </w:tc>
        <w:tc>
          <w:tcPr/>
          <w:p>
            <w:pPr>
              <w:pStyle w:val="Compact"/>
              <w:jc w:val="left"/>
            </w:pPr>
            <w:r>
              <w:t xml:space="preserve">US</w:t>
            </w:r>
          </w:p>
        </w:tc>
      </w:tr>
      <w:tr>
        <w:tc>
          <w:tcPr/>
          <w:p>
            <w:pPr>
              <w:pStyle w:val="Compact"/>
              <w:jc w:val="left"/>
            </w:pPr>
            <w:r>
              <w:t xml:space="preserve">CNSA 2.0</w:t>
            </w:r>
          </w:p>
        </w:tc>
        <w:tc>
          <w:tcPr/>
          <w:p>
            <w:pPr>
              <w:pStyle w:val="Compact"/>
              <w:jc w:val="left"/>
            </w:pPr>
            <w:r>
              <w:t xml:space="preserve">Commercial National Security Algorithm Suite</w:t>
            </w:r>
          </w:p>
        </w:tc>
        <w:tc>
          <w:tcPr/>
          <w:p>
            <w:pPr>
              <w:pStyle w:val="Compact"/>
              <w:jc w:val="left"/>
            </w:pPr>
            <w:r>
              <w:t xml:space="preserve">US</w:t>
            </w:r>
          </w:p>
        </w:tc>
      </w:tr>
      <w:tr>
        <w:tc>
          <w:tcPr/>
          <w:p>
            <w:pPr>
              <w:pStyle w:val="Compact"/>
              <w:jc w:val="left"/>
            </w:pPr>
            <w:r>
              <w:t xml:space="preserve">CRA</w:t>
            </w:r>
          </w:p>
        </w:tc>
        <w:tc>
          <w:tcPr/>
          <w:p>
            <w:pPr>
              <w:pStyle w:val="Compact"/>
              <w:jc w:val="left"/>
            </w:pPr>
            <w:r>
              <w:t xml:space="preserve">Cyber Resilience Act</w:t>
            </w:r>
          </w:p>
        </w:tc>
        <w:tc>
          <w:tcPr/>
          <w:p>
            <w:pPr>
              <w:pStyle w:val="Compact"/>
              <w:jc w:val="left"/>
            </w:pPr>
            <w:r>
              <w:t xml:space="preserve">EU</w:t>
            </w:r>
          </w:p>
        </w:tc>
      </w:tr>
      <w:tr>
        <w:tc>
          <w:tcPr/>
          <w:p>
            <w:pPr>
              <w:pStyle w:val="Compact"/>
              <w:jc w:val="left"/>
            </w:pPr>
            <w:r>
              <w:t xml:space="preserve">DORA</w:t>
            </w:r>
          </w:p>
        </w:tc>
        <w:tc>
          <w:tcPr/>
          <w:p>
            <w:pPr>
              <w:pStyle w:val="Compact"/>
              <w:jc w:val="left"/>
            </w:pPr>
            <w:r>
              <w:t xml:space="preserve">Digital Operational Resilience Act</w:t>
            </w:r>
          </w:p>
        </w:tc>
        <w:tc>
          <w:tcPr/>
          <w:p>
            <w:pPr>
              <w:pStyle w:val="Compact"/>
              <w:jc w:val="left"/>
            </w:pPr>
            <w:r>
              <w:t xml:space="preserve">EU</w:t>
            </w:r>
          </w:p>
        </w:tc>
      </w:tr>
      <w:tr>
        <w:tc>
          <w:tcPr/>
          <w:p>
            <w:pPr>
              <w:pStyle w:val="Compact"/>
              <w:jc w:val="left"/>
            </w:pPr>
            <w:r>
              <w:t xml:space="preserve">DPDP</w:t>
            </w:r>
          </w:p>
        </w:tc>
        <w:tc>
          <w:tcPr/>
          <w:p>
            <w:pPr>
              <w:pStyle w:val="Compact"/>
              <w:jc w:val="left"/>
            </w:pPr>
            <w:r>
              <w:t xml:space="preserve">Digital Personal Data Protection Act</w:t>
            </w:r>
          </w:p>
        </w:tc>
        <w:tc>
          <w:tcPr/>
          <w:p>
            <w:pPr>
              <w:pStyle w:val="Compact"/>
              <w:jc w:val="left"/>
            </w:pPr>
            <w:r>
              <w:t xml:space="preserve">India</w:t>
            </w:r>
          </w:p>
        </w:tc>
      </w:tr>
      <w:tr>
        <w:tc>
          <w:tcPr/>
          <w:p>
            <w:pPr>
              <w:pStyle w:val="Compact"/>
              <w:jc w:val="left"/>
            </w:pPr>
            <w:r>
              <w:t xml:space="preserve">DSA</w:t>
            </w:r>
          </w:p>
        </w:tc>
        <w:tc>
          <w:tcPr/>
          <w:p>
            <w:pPr>
              <w:pStyle w:val="Compact"/>
              <w:jc w:val="left"/>
            </w:pPr>
            <w:r>
              <w:t xml:space="preserve">Digital Services Act</w:t>
            </w:r>
          </w:p>
        </w:tc>
        <w:tc>
          <w:tcPr/>
          <w:p>
            <w:pPr>
              <w:pStyle w:val="Compact"/>
              <w:jc w:val="left"/>
            </w:pPr>
            <w:r>
              <w:t xml:space="preserve">EU</w:t>
            </w:r>
          </w:p>
        </w:tc>
      </w:tr>
      <w:tr>
        <w:tc>
          <w:tcPr/>
          <w:p>
            <w:pPr>
              <w:pStyle w:val="Compact"/>
              <w:jc w:val="left"/>
            </w:pPr>
            <w:r>
              <w:t xml:space="preserve">DSL</w:t>
            </w:r>
          </w:p>
        </w:tc>
        <w:tc>
          <w:tcPr/>
          <w:p>
            <w:pPr>
              <w:pStyle w:val="Compact"/>
              <w:jc w:val="left"/>
            </w:pPr>
            <w:r>
              <w:t xml:space="preserve">Data Security Law</w:t>
            </w:r>
          </w:p>
        </w:tc>
        <w:tc>
          <w:tcPr/>
          <w:p>
            <w:pPr>
              <w:pStyle w:val="Compact"/>
              <w:jc w:val="left"/>
            </w:pPr>
            <w:r>
              <w:t xml:space="preserve">China</w:t>
            </w:r>
          </w:p>
        </w:tc>
      </w:tr>
      <w:tr>
        <w:tc>
          <w:tcPr/>
          <w:p>
            <w:pPr>
              <w:pStyle w:val="Compact"/>
              <w:jc w:val="left"/>
            </w:pPr>
            <w:r>
              <w:t xml:space="preserve">EAR</w:t>
            </w:r>
          </w:p>
        </w:tc>
        <w:tc>
          <w:tcPr/>
          <w:p>
            <w:pPr>
              <w:pStyle w:val="Compact"/>
              <w:jc w:val="left"/>
            </w:pPr>
            <w:r>
              <w:t xml:space="preserve">Export Administration Regulations</w:t>
            </w:r>
          </w:p>
        </w:tc>
        <w:tc>
          <w:tcPr/>
          <w:p>
            <w:pPr>
              <w:pStyle w:val="Compact"/>
              <w:jc w:val="left"/>
            </w:pPr>
            <w:r>
              <w:t xml:space="preserve">US</w:t>
            </w:r>
          </w:p>
        </w:tc>
      </w:tr>
      <w:tr>
        <w:tc>
          <w:tcPr/>
          <w:p>
            <w:pPr>
              <w:pStyle w:val="Compact"/>
              <w:jc w:val="left"/>
            </w:pPr>
            <w:r>
              <w:t xml:space="preserve">EUAI</w:t>
            </w:r>
          </w:p>
        </w:tc>
        <w:tc>
          <w:tcPr/>
          <w:p>
            <w:pPr>
              <w:pStyle w:val="Compact"/>
              <w:jc w:val="left"/>
            </w:pPr>
            <w:r>
              <w:t xml:space="preserve">EU AI Act</w:t>
            </w:r>
          </w:p>
        </w:tc>
        <w:tc>
          <w:tcPr/>
          <w:p>
            <w:pPr>
              <w:pStyle w:val="Compact"/>
              <w:jc w:val="left"/>
            </w:pPr>
            <w:r>
              <w:t xml:space="preserve">EU</w:t>
            </w:r>
          </w:p>
        </w:tc>
      </w:tr>
      <w:tr>
        <w:tc>
          <w:tcPr/>
          <w:p>
            <w:pPr>
              <w:pStyle w:val="Compact"/>
              <w:jc w:val="left"/>
            </w:pPr>
            <w:r>
              <w:t xml:space="preserve">FEAT</w:t>
            </w:r>
          </w:p>
        </w:tc>
        <w:tc>
          <w:tcPr/>
          <w:p>
            <w:pPr>
              <w:pStyle w:val="Compact"/>
              <w:jc w:val="left"/>
            </w:pPr>
            <w:r>
              <w:t xml:space="preserve">Fairness, Ethics, Accountability, Transparency</w:t>
            </w:r>
          </w:p>
        </w:tc>
        <w:tc>
          <w:tcPr/>
          <w:p>
            <w:pPr>
              <w:pStyle w:val="Compact"/>
              <w:jc w:val="left"/>
            </w:pPr>
            <w:r>
              <w:t xml:space="preserve">Singapore</w:t>
            </w:r>
          </w:p>
        </w:tc>
      </w:tr>
      <w:tr>
        <w:tc>
          <w:tcPr/>
          <w:p>
            <w:pPr>
              <w:pStyle w:val="Compact"/>
              <w:jc w:val="left"/>
            </w:pPr>
            <w:r>
              <w:t xml:space="preserve">GDPR</w:t>
            </w:r>
          </w:p>
        </w:tc>
        <w:tc>
          <w:tcPr/>
          <w:p>
            <w:pPr>
              <w:pStyle w:val="Compact"/>
              <w:jc w:val="left"/>
            </w:pPr>
            <w:r>
              <w:t xml:space="preserve">General Data Protection Regulation</w:t>
            </w:r>
          </w:p>
        </w:tc>
        <w:tc>
          <w:tcPr/>
          <w:p>
            <w:pPr>
              <w:pStyle w:val="Compact"/>
              <w:jc w:val="left"/>
            </w:pPr>
            <w:r>
              <w:t xml:space="preserve">EU</w:t>
            </w:r>
          </w:p>
        </w:tc>
      </w:tr>
      <w:tr>
        <w:tc>
          <w:tcPr/>
          <w:p>
            <w:pPr>
              <w:pStyle w:val="Compact"/>
              <w:jc w:val="left"/>
            </w:pPr>
            <w:r>
              <w:t xml:space="preserve">ITAR</w:t>
            </w:r>
          </w:p>
        </w:tc>
        <w:tc>
          <w:tcPr/>
          <w:p>
            <w:pPr>
              <w:pStyle w:val="Compact"/>
              <w:jc w:val="left"/>
            </w:pPr>
            <w:r>
              <w:t xml:space="preserve">International Traffic in Arms Regulations</w:t>
            </w:r>
          </w:p>
        </w:tc>
        <w:tc>
          <w:tcPr/>
          <w:p>
            <w:pPr>
              <w:pStyle w:val="Compact"/>
              <w:jc w:val="left"/>
            </w:pPr>
            <w:r>
              <w:t xml:space="preserve">US</w:t>
            </w:r>
          </w:p>
        </w:tc>
      </w:tr>
      <w:tr>
        <w:tc>
          <w:tcPr/>
          <w:p>
            <w:pPr>
              <w:pStyle w:val="Compact"/>
              <w:jc w:val="left"/>
            </w:pPr>
            <w:r>
              <w:t xml:space="preserve">LGPD</w:t>
            </w:r>
          </w:p>
        </w:tc>
        <w:tc>
          <w:tcPr/>
          <w:p>
            <w:pPr>
              <w:pStyle w:val="Compact"/>
              <w:jc w:val="left"/>
            </w:pPr>
            <w:r>
              <w:t xml:space="preserve">Lei Geral de Protecao de Dados</w:t>
            </w:r>
          </w:p>
        </w:tc>
        <w:tc>
          <w:tcPr/>
          <w:p>
            <w:pPr>
              <w:pStyle w:val="Compact"/>
              <w:jc w:val="left"/>
            </w:pPr>
            <w:r>
              <w:t xml:space="preserve">Brazil</w:t>
            </w:r>
          </w:p>
        </w:tc>
      </w:tr>
      <w:tr>
        <w:tc>
          <w:tcPr/>
          <w:p>
            <w:pPr>
              <w:pStyle w:val="Compact"/>
              <w:jc w:val="left"/>
            </w:pPr>
            <w:r>
              <w:t xml:space="preserve">MAIG</w:t>
            </w:r>
          </w:p>
        </w:tc>
        <w:tc>
          <w:tcPr/>
          <w:p>
            <w:pPr>
              <w:pStyle w:val="Compact"/>
              <w:jc w:val="left"/>
            </w:pPr>
            <w:r>
              <w:t xml:space="preserve">Model AI Governance Framework</w:t>
            </w:r>
          </w:p>
        </w:tc>
        <w:tc>
          <w:tcPr/>
          <w:p>
            <w:pPr>
              <w:pStyle w:val="Compact"/>
              <w:jc w:val="left"/>
            </w:pPr>
            <w:r>
              <w:t xml:space="preserve">Singapore</w:t>
            </w:r>
          </w:p>
        </w:tc>
      </w:tr>
      <w:tr>
        <w:tc>
          <w:tcPr/>
          <w:p>
            <w:pPr>
              <w:pStyle w:val="Compact"/>
              <w:jc w:val="left"/>
            </w:pPr>
            <w:r>
              <w:t xml:space="preserve">MASS</w:t>
            </w:r>
          </w:p>
        </w:tc>
        <w:tc>
          <w:tcPr/>
          <w:p>
            <w:pPr>
              <w:pStyle w:val="Compact"/>
              <w:jc w:val="left"/>
            </w:pPr>
            <w:r>
              <w:t xml:space="preserve">Maritime Autonomous Surface Ships</w:t>
            </w:r>
          </w:p>
        </w:tc>
        <w:tc>
          <w:tcPr/>
          <w:p>
            <w:pPr>
              <w:pStyle w:val="Compact"/>
              <w:jc w:val="left"/>
            </w:pPr>
            <w:r>
              <w:t xml:space="preserve">IMO</w:t>
            </w:r>
          </w:p>
        </w:tc>
      </w:tr>
      <w:tr>
        <w:tc>
          <w:tcPr/>
          <w:p>
            <w:pPr>
              <w:pStyle w:val="Compact"/>
              <w:jc w:val="left"/>
            </w:pPr>
            <w:r>
              <w:t xml:space="preserve">MDR</w:t>
            </w:r>
          </w:p>
        </w:tc>
        <w:tc>
          <w:tcPr/>
          <w:p>
            <w:pPr>
              <w:pStyle w:val="Compact"/>
              <w:jc w:val="left"/>
            </w:pPr>
            <w:r>
              <w:t xml:space="preserve">Medical Device Regulation</w:t>
            </w:r>
          </w:p>
        </w:tc>
        <w:tc>
          <w:tcPr/>
          <w:p>
            <w:pPr>
              <w:pStyle w:val="Compact"/>
              <w:jc w:val="left"/>
            </w:pPr>
            <w:r>
              <w:t xml:space="preserve">EU</w:t>
            </w:r>
          </w:p>
        </w:tc>
      </w:tr>
      <w:tr>
        <w:tc>
          <w:tcPr/>
          <w:p>
            <w:pPr>
              <w:pStyle w:val="Compact"/>
              <w:jc w:val="left"/>
            </w:pPr>
            <w:r>
              <w:t xml:space="preserve">MiCA</w:t>
            </w:r>
          </w:p>
        </w:tc>
        <w:tc>
          <w:tcPr/>
          <w:p>
            <w:pPr>
              <w:pStyle w:val="Compact"/>
              <w:jc w:val="left"/>
            </w:pPr>
            <w:r>
              <w:t xml:space="preserve">Markets in Crypto-Assets Regulation</w:t>
            </w:r>
          </w:p>
        </w:tc>
        <w:tc>
          <w:tcPr/>
          <w:p>
            <w:pPr>
              <w:pStyle w:val="Compact"/>
              <w:jc w:val="left"/>
            </w:pPr>
            <w:r>
              <w:t xml:space="preserve">EU</w:t>
            </w:r>
          </w:p>
        </w:tc>
      </w:tr>
      <w:tr>
        <w:tc>
          <w:tcPr/>
          <w:p>
            <w:pPr>
              <w:pStyle w:val="Compact"/>
              <w:jc w:val="left"/>
            </w:pPr>
            <w:r>
              <w:t xml:space="preserve">MLPS 2.0</w:t>
            </w:r>
          </w:p>
        </w:tc>
        <w:tc>
          <w:tcPr/>
          <w:p>
            <w:pPr>
              <w:pStyle w:val="Compact"/>
              <w:jc w:val="left"/>
            </w:pPr>
            <w:r>
              <w:t xml:space="preserve">Multi-Level Protection Scheme</w:t>
            </w:r>
          </w:p>
        </w:tc>
        <w:tc>
          <w:tcPr/>
          <w:p>
            <w:pPr>
              <w:pStyle w:val="Compact"/>
              <w:jc w:val="left"/>
            </w:pPr>
            <w:r>
              <w:t xml:space="preserve">China</w:t>
            </w:r>
          </w:p>
        </w:tc>
      </w:tr>
      <w:tr>
        <w:tc>
          <w:tcPr/>
          <w:p>
            <w:pPr>
              <w:pStyle w:val="Compact"/>
              <w:jc w:val="left"/>
            </w:pPr>
            <w:r>
              <w:t xml:space="preserve">NIS2</w:t>
            </w:r>
          </w:p>
        </w:tc>
        <w:tc>
          <w:tcPr/>
          <w:p>
            <w:pPr>
              <w:pStyle w:val="Compact"/>
              <w:jc w:val="left"/>
            </w:pPr>
            <w:r>
              <w:t xml:space="preserve">Network and Information Security Directive 2</w:t>
            </w:r>
          </w:p>
        </w:tc>
        <w:tc>
          <w:tcPr/>
          <w:p>
            <w:pPr>
              <w:pStyle w:val="Compact"/>
              <w:jc w:val="left"/>
            </w:pPr>
            <w:r>
              <w:t xml:space="preserve">EU</w:t>
            </w:r>
          </w:p>
        </w:tc>
      </w:tr>
      <w:tr>
        <w:tc>
          <w:tcPr/>
          <w:p>
            <w:pPr>
              <w:pStyle w:val="Compact"/>
              <w:jc w:val="left"/>
            </w:pPr>
            <w:r>
              <w:t xml:space="preserve">NIST RMF</w:t>
            </w:r>
          </w:p>
        </w:tc>
        <w:tc>
          <w:tcPr/>
          <w:p>
            <w:pPr>
              <w:pStyle w:val="Compact"/>
              <w:jc w:val="left"/>
            </w:pPr>
            <w:r>
              <w:t xml:space="preserve">AI Risk Management Framework</w:t>
            </w:r>
          </w:p>
        </w:tc>
        <w:tc>
          <w:tcPr/>
          <w:p>
            <w:pPr>
              <w:pStyle w:val="Compact"/>
              <w:jc w:val="left"/>
            </w:pPr>
            <w:r>
              <w:t xml:space="preserve">US</w:t>
            </w:r>
          </w:p>
        </w:tc>
      </w:tr>
      <w:tr>
        <w:tc>
          <w:tcPr/>
          <w:p>
            <w:pPr>
              <w:pStyle w:val="Compact"/>
              <w:jc w:val="left"/>
            </w:pPr>
            <w:r>
              <w:t xml:space="preserve">NPPA</w:t>
            </w:r>
          </w:p>
        </w:tc>
        <w:tc>
          <w:tcPr/>
          <w:p>
            <w:pPr>
              <w:pStyle w:val="Compact"/>
              <w:jc w:val="left"/>
            </w:pPr>
            <w:r>
              <w:t xml:space="preserve">National Press and Publication Administration</w:t>
            </w:r>
          </w:p>
        </w:tc>
        <w:tc>
          <w:tcPr/>
          <w:p>
            <w:pPr>
              <w:pStyle w:val="Compact"/>
              <w:jc w:val="left"/>
            </w:pPr>
            <w:r>
              <w:t xml:space="preserve">China</w:t>
            </w:r>
          </w:p>
        </w:tc>
      </w:tr>
      <w:tr>
        <w:tc>
          <w:tcPr/>
          <w:p>
            <w:pPr>
              <w:pStyle w:val="Compact"/>
              <w:jc w:val="left"/>
            </w:pPr>
            <w:r>
              <w:t xml:space="preserve">PIPL</w:t>
            </w:r>
          </w:p>
        </w:tc>
        <w:tc>
          <w:tcPr/>
          <w:p>
            <w:pPr>
              <w:pStyle w:val="Compact"/>
              <w:jc w:val="left"/>
            </w:pPr>
            <w:r>
              <w:t xml:space="preserve">Personal Information Protection Law</w:t>
            </w:r>
          </w:p>
        </w:tc>
        <w:tc>
          <w:tcPr/>
          <w:p>
            <w:pPr>
              <w:pStyle w:val="Compact"/>
              <w:jc w:val="left"/>
            </w:pPr>
            <w:r>
              <w:t xml:space="preserve">China</w:t>
            </w:r>
          </w:p>
        </w:tc>
      </w:tr>
      <w:tr>
        <w:tc>
          <w:tcPr/>
          <w:p>
            <w:pPr>
              <w:pStyle w:val="Compact"/>
              <w:jc w:val="left"/>
            </w:pPr>
            <w:r>
              <w:t xml:space="preserve">PQC</w:t>
            </w:r>
          </w:p>
        </w:tc>
        <w:tc>
          <w:tcPr/>
          <w:p>
            <w:pPr>
              <w:pStyle w:val="Compact"/>
              <w:jc w:val="left"/>
            </w:pPr>
            <w:r>
              <w:t xml:space="preserve">Post-Quantum Cryptography</w:t>
            </w:r>
          </w:p>
        </w:tc>
        <w:tc>
          <w:tcPr/>
          <w:p>
            <w:pPr>
              <w:pStyle w:val="Compact"/>
              <w:jc w:val="left"/>
            </w:pPr>
            <w:r>
              <w:t xml:space="preserve">US (NIST)</w:t>
            </w:r>
          </w:p>
        </w:tc>
      </w:tr>
      <w:tr>
        <w:tc>
          <w:tcPr/>
          <w:p>
            <w:pPr>
              <w:pStyle w:val="Compact"/>
              <w:jc w:val="left"/>
            </w:pPr>
            <w:r>
              <w:t xml:space="preserve">VARA</w:t>
            </w:r>
          </w:p>
        </w:tc>
        <w:tc>
          <w:tcPr/>
          <w:p>
            <w:pPr>
              <w:pStyle w:val="Compact"/>
              <w:jc w:val="left"/>
            </w:pPr>
            <w:r>
              <w:t xml:space="preserve">Virtual Assets Regulatory Authority</w:t>
            </w:r>
          </w:p>
        </w:tc>
        <w:tc>
          <w:tcPr/>
          <w:p>
            <w:pPr>
              <w:pStyle w:val="Compact"/>
              <w:jc w:val="left"/>
            </w:pPr>
            <w:r>
              <w:t xml:space="preserve">UAE</w:t>
            </w:r>
          </w:p>
        </w:tc>
      </w:tr>
    </w:tbl>
    <w:bookmarkEnd w:id="87"/>
    <w:bookmarkStart w:id="88" w:name="appendix-d-methodology-notes"/>
    <w:p>
      <w:pPr>
        <w:pStyle w:val="Heading3"/>
      </w:pPr>
      <w:r>
        <w:t xml:space="preserve">Appendix D: Methodology Notes</w:t>
      </w:r>
    </w:p>
    <w:p>
      <w:pPr>
        <w:numPr>
          <w:ilvl w:val="0"/>
          <w:numId w:val="1003"/>
        </w:numPr>
        <w:pStyle w:val="Compact"/>
      </w:pPr>
      <w:r>
        <w:rPr>
          <w:bCs/>
          <w:b/>
        </w:rPr>
        <w:t xml:space="preserve">Industry Count</w:t>
      </w:r>
      <w:r>
        <w:t xml:space="preserve">: 47 industries mapped across 7 research reports, not 42 as some reports contain overlapping coverage</w:t>
      </w:r>
    </w:p>
    <w:p>
      <w:pPr>
        <w:numPr>
          <w:ilvl w:val="0"/>
          <w:numId w:val="1003"/>
        </w:numPr>
        <w:pStyle w:val="Compact"/>
      </w:pPr>
      <w:r>
        <w:rPr>
          <w:bCs/>
          <w:b/>
        </w:rPr>
        <w:t xml:space="preserve">Jurisdiction Selection</w:t>
      </w:r>
      <w:r>
        <w:t xml:space="preserve">: 12 jurisdictions selected based on: (a) AI regulatory maturity, (b) market size, (c) geopolitical significance, (d) data availability</w:t>
      </w:r>
    </w:p>
    <w:p>
      <w:pPr>
        <w:numPr>
          <w:ilvl w:val="0"/>
          <w:numId w:val="1003"/>
        </w:numPr>
        <w:pStyle w:val="Compact"/>
      </w:pPr>
      <w:r>
        <w:rPr>
          <w:bCs/>
          <w:b/>
        </w:rPr>
        <w:t xml:space="preserve">Conflict Assessment</w:t>
      </w:r>
      <w:r>
        <w:t xml:space="preserve">: Based on primary source regulatory text analysis, not secondary interpretation</w:t>
      </w:r>
    </w:p>
    <w:p>
      <w:pPr>
        <w:numPr>
          <w:ilvl w:val="0"/>
          <w:numId w:val="1003"/>
        </w:numPr>
        <w:pStyle w:val="Compact"/>
      </w:pPr>
      <w:r>
        <w:rPr>
          <w:bCs/>
          <w:b/>
        </w:rPr>
        <w:t xml:space="preserve">Gold Mine Scoring</w:t>
      </w:r>
      <w:r>
        <w:t xml:space="preserve">: Weighted scoring with regulatory urgency given highest weight (25%) due to rapidly evolving landscape</w:t>
      </w:r>
    </w:p>
    <w:p>
      <w:pPr>
        <w:numPr>
          <w:ilvl w:val="0"/>
          <w:numId w:val="1003"/>
        </w:numPr>
        <w:pStyle w:val="Compact"/>
      </w:pPr>
      <w:r>
        <w:rPr>
          <w:bCs/>
          <w:b/>
        </w:rPr>
        <w:t xml:space="preserve">MEOK Civilizations</w:t>
      </w:r>
      <w:r>
        <w:t xml:space="preserve">: 9 civilizations map to real-world regulatory blocs; cross-civilization interaction matrix based on regulatory divergence analysis</w:t>
      </w:r>
    </w:p>
    <w:p>
      <w:pPr>
        <w:numPr>
          <w:ilvl w:val="0"/>
          <w:numId w:val="1003"/>
        </w:numPr>
        <w:pStyle w:val="Compact"/>
      </w:pPr>
      <w:r>
        <w:rPr>
          <w:bCs/>
          <w:b/>
        </w:rPr>
        <w:t xml:space="preserve">Simulation Parameters</w:t>
      </w:r>
      <w:r>
        <w:t xml:space="preserve">: Designed to be measurable with available public data sources</w:t>
      </w:r>
    </w:p>
    <w:bookmarkEnd w:id="88"/>
    <w:bookmarkStart w:id="89" w:name="appendix-e-known-gaps-and-limitations"/>
    <w:p>
      <w:pPr>
        <w:pStyle w:val="Heading3"/>
      </w:pPr>
      <w:r>
        <w:t xml:space="preserve">Appendix E: Known Gaps and Limitations</w:t>
      </w:r>
    </w:p>
    <w:tbl>
      <w:tblPr>
        <w:tblStyle w:val="Table"/>
        <w:tblW w:type="pct" w:w="5000"/>
        <w:tblLook w:firstRow="1" w:lastRow="0" w:firstColumn="0" w:lastColumn="0" w:noHBand="0" w:noVBand="0" w:val="0020"/>
      </w:tblPr>
      <w:tblGrid>
        <w:gridCol w:w="1320"/>
        <w:gridCol w:w="3432"/>
        <w:gridCol w:w="3168"/>
      </w:tblGrid>
      <w:tr>
        <w:trPr>
          <w:tblHeader w:val="true"/>
        </w:trPr>
        <w:tc>
          <w:tcPr/>
          <w:p>
            <w:pPr>
              <w:pStyle w:val="Compact"/>
              <w:jc w:val="left"/>
            </w:pPr>
            <w:r>
              <w:t xml:space="preserve">Gap</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t xml:space="preserve">Russia not included</w:t>
            </w:r>
          </w:p>
        </w:tc>
        <w:tc>
          <w:tcPr/>
          <w:p>
            <w:pPr>
              <w:pStyle w:val="Compact"/>
              <w:jc w:val="left"/>
            </w:pPr>
            <w:r>
              <w:t xml:space="preserve">Limited reliable regulatory data</w:t>
            </w:r>
          </w:p>
        </w:tc>
        <w:tc>
          <w:tcPr/>
          <w:p>
            <w:pPr>
              <w:pStyle w:val="Compact"/>
              <w:jc w:val="left"/>
            </w:pPr>
            <w:r>
              <w:t xml:space="preserve">Add in Phase 2</w:t>
            </w:r>
          </w:p>
        </w:tc>
      </w:tr>
      <w:tr>
        <w:tc>
          <w:tcPr/>
          <w:p>
            <w:pPr>
              <w:pStyle w:val="Compact"/>
              <w:jc w:val="left"/>
            </w:pPr>
            <w:r>
              <w:t xml:space="preserve">African jurisdictions</w:t>
            </w:r>
          </w:p>
        </w:tc>
        <w:tc>
          <w:tcPr/>
          <w:p>
            <w:pPr>
              <w:pStyle w:val="Compact"/>
              <w:jc w:val="left"/>
            </w:pPr>
            <w:r>
              <w:t xml:space="preserve">Limited coverage</w:t>
            </w:r>
          </w:p>
        </w:tc>
        <w:tc>
          <w:tcPr/>
          <w:p>
            <w:pPr>
              <w:pStyle w:val="Compact"/>
              <w:jc w:val="left"/>
            </w:pPr>
            <w:r>
              <w:t xml:space="preserve">Focus on Nigeria, South Africa, Kenya in Phase 2</w:t>
            </w:r>
          </w:p>
        </w:tc>
      </w:tr>
      <w:tr>
        <w:tc>
          <w:tcPr/>
          <w:p>
            <w:pPr>
              <w:pStyle w:val="Compact"/>
              <w:jc w:val="left"/>
            </w:pPr>
            <w:r>
              <w:t xml:space="preserve">ASEAN beyond Singapore</w:t>
            </w:r>
          </w:p>
        </w:tc>
        <w:tc>
          <w:tcPr/>
          <w:p>
            <w:pPr>
              <w:pStyle w:val="Compact"/>
              <w:jc w:val="left"/>
            </w:pPr>
            <w:r>
              <w:t xml:space="preserve">Limited coverage</w:t>
            </w:r>
          </w:p>
        </w:tc>
        <w:tc>
          <w:tcPr/>
          <w:p>
            <w:pPr>
              <w:pStyle w:val="Compact"/>
              <w:jc w:val="left"/>
            </w:pPr>
            <w:r>
              <w:t xml:space="preserve">Add Indonesia, Vietnam, Thailand in Phase 2</w:t>
            </w:r>
          </w:p>
        </w:tc>
      </w:tr>
      <w:tr>
        <w:tc>
          <w:tcPr/>
          <w:p>
            <w:pPr>
              <w:pStyle w:val="Compact"/>
              <w:jc w:val="left"/>
            </w:pPr>
            <w:r>
              <w:t xml:space="preserve">Dynamic regulatory changes</w:t>
            </w:r>
          </w:p>
        </w:tc>
        <w:tc>
          <w:tcPr/>
          <w:p>
            <w:pPr>
              <w:pStyle w:val="Compact"/>
              <w:jc w:val="left"/>
            </w:pPr>
            <w:r>
              <w:t xml:space="preserve">Research is point-in-time (July 2026)</w:t>
            </w:r>
          </w:p>
        </w:tc>
        <w:tc>
          <w:tcPr/>
          <w:p>
            <w:pPr>
              <w:pStyle w:val="Compact"/>
              <w:jc w:val="left"/>
            </w:pPr>
            <w:r>
              <w:t xml:space="preserve">Quarterly update cycle recommended</w:t>
            </w:r>
          </w:p>
        </w:tc>
      </w:tr>
      <w:tr>
        <w:tc>
          <w:tcPr/>
          <w:p>
            <w:pPr>
              <w:pStyle w:val="Compact"/>
              <w:jc w:val="left"/>
            </w:pPr>
            <w:r>
              <w:t xml:space="preserve">Enforcement variance</w:t>
            </w:r>
          </w:p>
        </w:tc>
        <w:tc>
          <w:tcPr/>
          <w:p>
            <w:pPr>
              <w:pStyle w:val="Compact"/>
              <w:jc w:val="left"/>
            </w:pPr>
            <w:r>
              <w:t xml:space="preserve">Law on books vs. enforcement varies</w:t>
            </w:r>
          </w:p>
        </w:tc>
        <w:tc>
          <w:tcPr/>
          <w:p>
            <w:pPr>
              <w:pStyle w:val="Compact"/>
              <w:jc w:val="left"/>
            </w:pPr>
            <w:r>
              <w:t xml:space="preserve">Include enforcement action data in simulations</w:t>
            </w:r>
          </w:p>
        </w:tc>
      </w:tr>
      <w:tr>
        <w:tc>
          <w:tcPr/>
          <w:p>
            <w:pPr>
              <w:pStyle w:val="Compact"/>
              <w:jc w:val="left"/>
            </w:pPr>
            <w:r>
              <w:t xml:space="preserve">Sub-national regulation</w:t>
            </w:r>
          </w:p>
        </w:tc>
        <w:tc>
          <w:tcPr/>
          <w:p>
            <w:pPr>
              <w:pStyle w:val="Compact"/>
              <w:jc w:val="left"/>
            </w:pPr>
            <w:r>
              <w:t xml:space="preserve">US state laws, Chinese provincial rules</w:t>
            </w:r>
          </w:p>
        </w:tc>
        <w:tc>
          <w:tcPr/>
          <w:p>
            <w:pPr>
              <w:pStyle w:val="Compact"/>
              <w:jc w:val="left"/>
            </w:pPr>
            <w:r>
              <w:t xml:space="preserve">Most significant ones included; full coverage impractical</w:t>
            </w:r>
          </w:p>
        </w:tc>
      </w:tr>
    </w:tbl>
    <w:p>
      <w:r>
        <w:pict>
          <v:rect style="width:0;height:1.5pt" o:hralign="center" o:hrstd="t" o:hr="t"/>
        </w:pict>
      </w:r>
    </w:p>
    <w:bookmarkEnd w:id="89"/>
    <w:bookmarkEnd w:id="90"/>
    <w:bookmarkStart w:id="91" w:name="summary-statistics"/>
    <w:p>
      <w:pPr>
        <w:pStyle w:val="Heading2"/>
      </w:pPr>
      <w:r>
        <w:t xml:space="preserve">Summary Statistics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Industries Mapped</w:t>
            </w:r>
          </w:p>
        </w:tc>
        <w:tc>
          <w:tcPr/>
          <w:p>
            <w:pPr>
              <w:pStyle w:val="Compact"/>
              <w:jc w:val="left"/>
            </w:pPr>
            <w:r>
              <w:t xml:space="preserve">47</w:t>
            </w:r>
          </w:p>
        </w:tc>
      </w:tr>
      <w:tr>
        <w:tc>
          <w:tcPr/>
          <w:p>
            <w:pPr>
              <w:pStyle w:val="Compact"/>
              <w:jc w:val="left"/>
            </w:pPr>
            <w:r>
              <w:t xml:space="preserve">Total Jurisdictions</w:t>
            </w:r>
          </w:p>
        </w:tc>
        <w:tc>
          <w:tcPr/>
          <w:p>
            <w:pPr>
              <w:pStyle w:val="Compact"/>
              <w:jc w:val="left"/>
            </w:pPr>
            <w:r>
              <w:t xml:space="preserve">12</w:t>
            </w:r>
          </w:p>
        </w:tc>
      </w:tr>
      <w:tr>
        <w:tc>
          <w:tcPr/>
          <w:p>
            <w:pPr>
              <w:pStyle w:val="Compact"/>
              <w:jc w:val="left"/>
            </w:pPr>
            <w:r>
              <w:t xml:space="preserve">Total Regulatory Frameworks</w:t>
            </w:r>
          </w:p>
        </w:tc>
        <w:tc>
          <w:tcPr/>
          <w:p>
            <w:pPr>
              <w:pStyle w:val="Compact"/>
              <w:jc w:val="left"/>
            </w:pPr>
            <w:r>
              <w:t xml:space="preserve">200+</w:t>
            </w:r>
          </w:p>
        </w:tc>
      </w:tr>
      <w:tr>
        <w:tc>
          <w:tcPr/>
          <w:p>
            <w:pPr>
              <w:pStyle w:val="Compact"/>
              <w:jc w:val="left"/>
            </w:pPr>
            <w:r>
              <w:t xml:space="preserve">Jurisdiction Conflict Pairs Analyzed</w:t>
            </w:r>
          </w:p>
        </w:tc>
        <w:tc>
          <w:tcPr/>
          <w:p>
            <w:pPr>
              <w:pStyle w:val="Compact"/>
              <w:jc w:val="left"/>
            </w:pPr>
            <w:r>
              <w:t xml:space="preserve">36</w:t>
            </w:r>
          </w:p>
        </w:tc>
      </w:tr>
      <w:tr>
        <w:tc>
          <w:tcPr/>
          <w:p>
            <w:pPr>
              <w:pStyle w:val="Compact"/>
              <w:jc w:val="left"/>
            </w:pPr>
            <w:r>
              <w:t xml:space="preserve">Cross-Border Scenarios Designed</w:t>
            </w:r>
          </w:p>
        </w:tc>
        <w:tc>
          <w:tcPr/>
          <w:p>
            <w:pPr>
              <w:pStyle w:val="Compact"/>
              <w:jc w:val="left"/>
            </w:pPr>
            <w:r>
              <w:t xml:space="preserve">30</w:t>
            </w:r>
          </w:p>
        </w:tc>
      </w:tr>
      <w:tr>
        <w:tc>
          <w:tcPr/>
          <w:p>
            <w:pPr>
              <w:pStyle w:val="Compact"/>
              <w:jc w:val="left"/>
            </w:pPr>
            <w:r>
              <w:t xml:space="preserve">DIAMOND Tier Scenarios</w:t>
            </w:r>
          </w:p>
        </w:tc>
        <w:tc>
          <w:tcPr/>
          <w:p>
            <w:pPr>
              <w:pStyle w:val="Compact"/>
              <w:jc w:val="left"/>
            </w:pPr>
            <w:r>
              <w:t xml:space="preserve">5</w:t>
            </w:r>
          </w:p>
        </w:tc>
      </w:tr>
      <w:tr>
        <w:tc>
          <w:tcPr/>
          <w:p>
            <w:pPr>
              <w:pStyle w:val="Compact"/>
              <w:jc w:val="left"/>
            </w:pPr>
            <w:r>
              <w:t xml:space="preserve">PLATINUM Tier Scenarios</w:t>
            </w:r>
          </w:p>
        </w:tc>
        <w:tc>
          <w:tcPr/>
          <w:p>
            <w:pPr>
              <w:pStyle w:val="Compact"/>
              <w:jc w:val="left"/>
            </w:pPr>
            <w:r>
              <w:t xml:space="preserve">5</w:t>
            </w:r>
          </w:p>
        </w:tc>
      </w:tr>
      <w:tr>
        <w:tc>
          <w:tcPr/>
          <w:p>
            <w:pPr>
              <w:pStyle w:val="Compact"/>
              <w:jc w:val="left"/>
            </w:pPr>
            <w:r>
              <w:t xml:space="preserve">GOLD Tier Scenarios</w:t>
            </w:r>
          </w:p>
        </w:tc>
        <w:tc>
          <w:tcPr/>
          <w:p>
            <w:pPr>
              <w:pStyle w:val="Compact"/>
              <w:jc w:val="left"/>
            </w:pPr>
            <w:r>
              <w:t xml:space="preserve">7</w:t>
            </w:r>
          </w:p>
        </w:tc>
      </w:tr>
      <w:tr>
        <w:tc>
          <w:tcPr/>
          <w:p>
            <w:pPr>
              <w:pStyle w:val="Compact"/>
              <w:jc w:val="left"/>
            </w:pPr>
            <w:r>
              <w:t xml:space="preserve">MEOK Civilizations Defined</w:t>
            </w:r>
          </w:p>
        </w:tc>
        <w:tc>
          <w:tcPr/>
          <w:p>
            <w:pPr>
              <w:pStyle w:val="Compact"/>
              <w:jc w:val="left"/>
            </w:pPr>
            <w:r>
              <w:t xml:space="preserve">9</w:t>
            </w:r>
          </w:p>
        </w:tc>
      </w:tr>
      <w:tr>
        <w:tc>
          <w:tcPr/>
          <w:p>
            <w:pPr>
              <w:pStyle w:val="Compact"/>
              <w:jc w:val="left"/>
            </w:pPr>
            <w:r>
              <w:t xml:space="preserve">Free Data Sources Catalogued</w:t>
            </w:r>
          </w:p>
        </w:tc>
        <w:tc>
          <w:tcPr/>
          <w:p>
            <w:pPr>
              <w:pStyle w:val="Compact"/>
              <w:jc w:val="left"/>
            </w:pPr>
            <w:r>
              <w:t xml:space="preserve">180+</w:t>
            </w:r>
          </w:p>
        </w:tc>
      </w:tr>
      <w:tr>
        <w:tc>
          <w:tcPr/>
          <w:p>
            <w:pPr>
              <w:pStyle w:val="Compact"/>
              <w:jc w:val="left"/>
            </w:pPr>
            <w:r>
              <w:t xml:space="preserve">Critical Conflicts Identified</w:t>
            </w:r>
          </w:p>
        </w:tc>
        <w:tc>
          <w:tcPr/>
          <w:p>
            <w:pPr>
              <w:pStyle w:val="Compact"/>
              <w:jc w:val="left"/>
            </w:pPr>
            <w:r>
              <w:t xml:space="preserve">8</w:t>
            </w:r>
          </w:p>
        </w:tc>
      </w:tr>
      <w:tr>
        <w:tc>
          <w:tcPr/>
          <w:p>
            <w:pPr>
              <w:pStyle w:val="Compact"/>
              <w:jc w:val="left"/>
            </w:pPr>
            <w:r>
              <w:t xml:space="preserve">High Conflicts Identified</w:t>
            </w:r>
          </w:p>
        </w:tc>
        <w:tc>
          <w:tcPr/>
          <w:p>
            <w:pPr>
              <w:pStyle w:val="Compact"/>
              <w:jc w:val="left"/>
            </w:pPr>
            <w:r>
              <w:t xml:space="preserve">12</w:t>
            </w:r>
          </w:p>
        </w:tc>
      </w:tr>
    </w:tbl>
    <w:p>
      <w:r>
        <w:pict>
          <v:rect style="width:0;height:1.5pt" o:hralign="center" o:hrstd="t" o:hr="t"/>
        </w:pict>
      </w:r>
    </w:p>
    <w:p>
      <w:pPr>
        <w:pStyle w:val="FirstParagraph"/>
      </w:pPr>
      <w:r>
        <w:rPr>
          <w:iCs/>
          <w:i/>
        </w:rPr>
        <w:t xml:space="preserve">Document Version: 1.0</w:t>
      </w:r>
      <w:r>
        <w:t xml:space="preserve"> </w:t>
      </w:r>
      <w:r>
        <w:rPr>
          <w:iCs/>
          <w:i/>
        </w:rPr>
        <w:t xml:space="preserve">Last Updated: July 2026</w:t>
      </w:r>
      <w:r>
        <w:t xml:space="preserve"> </w:t>
      </w:r>
      <w:r>
        <w:rPr>
          <w:iCs/>
          <w:i/>
        </w:rPr>
        <w:t xml:space="preserve">Maintained by: MEOK Regulatory Architecture Team</w:t>
      </w:r>
      <w:r>
        <w:t xml:space="preserve"> </w:t>
      </w:r>
      <w:r>
        <w:rPr>
          <w:iCs/>
          <w:i/>
        </w:rPr>
        <w:t xml:space="preserve">Next Review: October 2026 (post-EU AI Act Annex III effective date)</w:t>
      </w:r>
    </w:p>
    <w:p>
      <w:pPr>
        <w:pStyle w:val="BodyText"/>
      </w:pPr>
      <w:r>
        <w:rPr>
          <w:bCs/>
          <w:b/>
        </w:rPr>
        <w:t xml:space="preserve">This crosswalk matrix is a living document. Regulatory landscapes change rapidly. Verify current status with official government sources before making compliance decisions.</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2026-06-22T07:18:11Z</dcterms:created>
  <dcterms:modified xsi:type="dcterms:W3CDTF">2026-06-22T07:18:11Z</dcterms:modified>
</cp:coreProperties>
</file>

<file path=docProps/custom.xml><?xml version="1.0" encoding="utf-8"?>
<Properties xmlns="http://schemas.openxmlformats.org/officeDocument/2006/custom-properties" xmlns:vt="http://schemas.openxmlformats.org/officeDocument/2006/docPropsVTypes"/>
</file>