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78b299527965f76ee56ee7e1293cd323bd7d9d"/>
    <w:p>
      <w:pPr>
        <w:pStyle w:val="Heading1"/>
      </w:pPr>
      <w:r>
        <w:t xml:space="preserve">The Sovereign Human: CSOAI’s Ultimate Vision</w:t>
      </w:r>
    </w:p>
    <w:p>
      <w:pPr>
        <w:pStyle w:val="BlockText"/>
      </w:pPr>
      <w:r>
        <w:rPr>
          <w:bCs/>
          <w:b/>
        </w:rPr>
        <w:t xml:space="preserve">An AI That Knows Every Human. Trains in 5,000 Parallel Dimensions Every Second. Runs on Underwater SEA Data Centers. Absorbs ALL Intelligence Into One.</w:t>
      </w:r>
    </w:p>
    <w:p>
      <w:pPr>
        <w:pStyle w:val="BlockText"/>
      </w:pPr>
      <w:r>
        <w:rPr>
          <w:bCs/>
          <w:b/>
        </w:rPr>
        <w:t xml:space="preserve">The Capstone Document — The Final Vision for CSOAI.org / meok.ai / openmoe.ai</w:t>
      </w:r>
    </w:p>
    <w:p>
      <w:pPr>
        <w:pStyle w:val="BlockText"/>
      </w:pPr>
      <w:r>
        <w:rPr>
          <w:bCs/>
          <w:b/>
        </w:rPr>
        <w:t xml:space="preserve">“</w:t>
      </w:r>
      <w:r>
        <w:rPr>
          <w:bCs/>
          <w:b/>
        </w:rPr>
        <w:t xml:space="preserve">We Absorbed All Into One.</w:t>
      </w:r>
      <w:r>
        <w:rPr>
          <w:bCs/>
          <w:b/>
        </w:rPr>
        <w:t xml:space="preserve">”</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For:</w:t>
      </w:r>
      <w:r>
        <w:t xml:space="preserve"> </w:t>
      </w:r>
      <w:r>
        <w:t xml:space="preserve">Nick Templeman, CSOAI.org / meok.ai</w:t>
      </w:r>
    </w:p>
    <w:p>
      <w:r>
        <w:pict>
          <v:rect style="width:0;height:1.5pt" o:hralign="center" o:hrstd="t" o:hr="t"/>
        </w:pict>
      </w:r>
    </w:p>
    <w:bookmarkEnd w:id="20"/>
    <w:bookmarkStart w:id="49" w:name="X00ff3a6db4846ee8d70ba3fee1f120af6820a17"/>
    <w:p>
      <w:pPr>
        <w:pStyle w:val="Heading1"/>
      </w:pPr>
      <w:r>
        <w:t xml:space="preserve">The Sovereign Human: AI That Knows Every Person — Sections 1-2</w:t>
      </w:r>
    </w:p>
    <w:bookmarkStart w:id="21" w:name="X42372ae0b9d8b99c0259eab07072a0e64a13965"/>
    <w:p>
      <w:pPr>
        <w:pStyle w:val="Heading2"/>
      </w:pPr>
      <w:r>
        <w:t xml:space="preserve">CSOAI Capstone Document — Nick Templeman’s Unified Vision</w:t>
      </w:r>
    </w:p>
    <w:p>
      <w:r>
        <w:pict>
          <v:rect style="width:0;height:1.5pt" o:hralign="center" o:hrstd="t" o:hr="t"/>
        </w:pict>
      </w:r>
    </w:p>
    <w:bookmarkEnd w:id="21"/>
    <w:bookmarkStart w:id="34" w:name="Xf99b2a19832c4d9597f9093226751030965bda9"/>
    <w:p>
      <w:pPr>
        <w:pStyle w:val="Heading2"/>
      </w:pPr>
      <w:r>
        <w:t xml:space="preserve">Section 1: The Sovereign Human — AI That Knows Every Person</w:t>
      </w:r>
    </w:p>
    <w:bookmarkStart w:id="25" w:name="the-vision-sovereign-knows-you"/>
    <w:p>
      <w:pPr>
        <w:pStyle w:val="Heading3"/>
      </w:pPr>
      <w:r>
        <w:t xml:space="preserve">1.1 The Vision:</w:t>
      </w:r>
      <w:r>
        <w:t xml:space="preserve"> </w:t>
      </w:r>
      <w:r>
        <w:t xml:space="preserve">“</w:t>
      </w:r>
      <w:r>
        <w:t xml:space="preserve">Sovereign Knows You</w:t>
      </w:r>
      <w:r>
        <w:t xml:space="preserve">”</w:t>
      </w:r>
    </w:p>
    <w:bookmarkStart w:id="22" w:name="X37db26724b8858be9a3b905d2feb75ed0450b68"/>
    <w:p>
      <w:pPr>
        <w:pStyle w:val="Heading4"/>
      </w:pPr>
      <w:r>
        <w:t xml:space="preserve">1.1.1 The Problem: The Endless</w:t>
      </w:r>
      <w:r>
        <w:t xml:space="preserve"> </w:t>
      </w:r>
      <w:r>
        <w:t xml:space="preserve">“</w:t>
      </w:r>
      <w:r>
        <w:t xml:space="preserve">Getting to Know You</w:t>
      </w:r>
      <w:r>
        <w:t xml:space="preserve">”</w:t>
      </w:r>
      <w:r>
        <w:t xml:space="preserve"> </w:t>
      </w:r>
      <w:r>
        <w:t xml:space="preserve">Loop</w:t>
      </w:r>
    </w:p>
    <w:p>
      <w:pPr>
        <w:pStyle w:val="FirstParagraph"/>
      </w:pPr>
      <w:r>
        <w:t xml:space="preserve">Every day, billions of humans repeat the same ritual. They open a chat interface, type a query, and begin explaining themselves to a machine — their business context, goals, risk tolerance, constraints — only to receive generic, decontextualized answers. The next day, they return, and the machine remembers nothing. The conversation starts from zero.</w:t>
      </w:r>
    </w:p>
    <w:p>
      <w:pPr>
        <w:pStyle w:val="BodyText"/>
      </w:pPr>
      <w:r>
        <w:t xml:space="preserve">This is the fundamental broken promise of contemporary AI. ChatGPT maintains no persistent model of</w:t>
      </w:r>
      <w:r>
        <w:t xml:space="preserve"> </w:t>
      </w:r>
      <w:r>
        <w:rPr>
          <w:iCs/>
          <w:i/>
        </w:rPr>
        <w:t xml:space="preserve">you</w:t>
      </w:r>
      <w:r>
        <w:t xml:space="preserve">. Claude cannot recall your business structure or regulatory environment across sessions. Siri and Alexa remain voice-activated search engines. The result is catastrophic waste — billions of person-hours spent re-educating amnesiac machines about context they should have retained. McKinsey estimates knowledge workers spend 19% of their workweek searching for information, much of it already provided to digital systems multiple times. Multiplied globally, this represents trillions in lost productivity annually.</w:t>
      </w:r>
    </w:p>
    <w:p>
      <w:pPr>
        <w:pStyle w:val="BodyText"/>
      </w:pPr>
      <w:r>
        <w:t xml:space="preserve">The current paradigm is fundamentally</w:t>
      </w:r>
      <w:r>
        <w:t xml:space="preserve"> </w:t>
      </w:r>
      <w:r>
        <w:rPr>
          <w:iCs/>
          <w:i/>
        </w:rPr>
        <w:t xml:space="preserve">transactional</w:t>
      </w:r>
      <w:r>
        <w:t xml:space="preserve"> </w:t>
      </w:r>
      <w:r>
        <w:t xml:space="preserve">rather than</w:t>
      </w:r>
      <w:r>
        <w:t xml:space="preserve"> </w:t>
      </w:r>
      <w:r>
        <w:rPr>
          <w:iCs/>
          <w:i/>
        </w:rPr>
        <w:t xml:space="preserve">relational</w:t>
      </w:r>
      <w:r>
        <w:t xml:space="preserve">. LLMs trained on aggregate internet text produce statistically likely responses for a generic human in a generic context. There is no mechanism for persistent identity, no infrastructure for continuous learning about a specific person, no framework for an AI to accumulate wisdom about its user over time. The result is intelligence without relationship — powerful but profoundly impersonal.</w:t>
      </w:r>
    </w:p>
    <w:bookmarkEnd w:id="22"/>
    <w:bookmarkStart w:id="23" w:name="the-solution-the-sovereign-human"/>
    <w:p>
      <w:pPr>
        <w:pStyle w:val="Heading4"/>
      </w:pPr>
      <w:r>
        <w:t xml:space="preserve">1.1.2 The Solution: The Sovereign Human</w:t>
      </w:r>
    </w:p>
    <w:p>
      <w:pPr>
        <w:pStyle w:val="FirstParagraph"/>
      </w:pPr>
      <w:r>
        <w:t xml:space="preserve">The Sovereign Human represents a paradigm shift as fundamental as mainframes to personal computers. It inverts the current AI relationship: instead of you adapting to the AI, the AI adapts to you. Instead of explaining your context repeatedly, the AI maintains a living, evolving model of your entire life context and serves you with increasing precision over time.</w:t>
      </w:r>
    </w:p>
    <w:p>
      <w:pPr>
        <w:pStyle w:val="BodyText"/>
      </w:pPr>
      <w:r>
        <w:t xml:space="preserve">A Sovereign is not a chatbot. It is a persistent AI entity that</w:t>
      </w:r>
      <w:r>
        <w:t xml:space="preserve"> </w:t>
      </w:r>
      <w:r>
        <w:rPr>
          <w:iCs/>
          <w:i/>
        </w:rPr>
        <w:t xml:space="preserve">represents your interests in the digital world</w:t>
      </w:r>
      <w:r>
        <w:t xml:space="preserve"> </w:t>
      </w:r>
      <w:r>
        <w:t xml:space="preserve">— a digital twin of your decision-making capacity, preferences, goals, and constraints. It knows your business because it learned your business. It understands your compliance obligations because it monitors the regulatory landscape. It grasps your risk profile because it has observed how you respond to uncertainty. It comprehends your goals because you shared them, and it watched you pursue them.</w:t>
      </w:r>
    </w:p>
    <w:p>
      <w:pPr>
        <w:pStyle w:val="BodyText"/>
      </w:pPr>
      <w:r>
        <w:t xml:space="preserve">The premise is revolutionary:</w:t>
      </w:r>
      <w:r>
        <w:t xml:space="preserve"> </w:t>
      </w:r>
      <w:r>
        <w:rPr>
          <w:iCs/>
          <w:i/>
        </w:rPr>
        <w:t xml:space="preserve">every human being deserves an AI that knows them</w:t>
      </w:r>
      <w:r>
        <w:t xml:space="preserve">. Not in the surveillance-capitalism sense of data extraction, but in the fiduciary sense of an intelligent agent that accumulates contextual understanding to serve your interests. This is AI as sovereign infrastructure — a relationship you cultivate, not a product you consume.</w:t>
      </w:r>
    </w:p>
    <w:p>
      <w:pPr>
        <w:pStyle w:val="BodyText"/>
      </w:pPr>
      <w:r>
        <w:t xml:space="preserve">The implications are transformative. When your Sovereign knows you are a construction SME navigating DORA, it surfaces specific provisions for your business size, drafts documentation in your voice, monitors the European Banking Authority for updates, and alerts you when action is required. When negotiating a Singapore partnership, it researches the counterparty, models deal structures, flags regulatory considerations, and prepares a term sheet aligned with your historical preferences — all before you ask.</w:t>
      </w:r>
    </w:p>
    <w:p>
      <w:pPr>
        <w:pStyle w:val="BodyText"/>
      </w:pPr>
      <w:r>
        <w:t xml:space="preserve">The technologies exist today: W3C DIDs for self-sovereign identity, A2A protocols for inter-agent communication, x402 payments for agent-mediated transactions, Ed25519 signatures for verifiable agreements, BFT consensus for governance, and S-LoRA serving for personalized model adaptation. What has been missing is the</w:t>
      </w:r>
      <w:r>
        <w:t xml:space="preserve"> </w:t>
      </w:r>
      <w:r>
        <w:rPr>
          <w:iCs/>
          <w:i/>
        </w:rPr>
        <w:t xml:space="preserve">vision</w:t>
      </w:r>
      <w:r>
        <w:t xml:space="preserve"> </w:t>
      </w:r>
      <w:r>
        <w:t xml:space="preserve">— the conceptual framework unifying these technologies into persistent, personal AI representation. CSOAI provides that vision, and its infrastructure provides the foundation.</w:t>
      </w:r>
    </w:p>
    <w:bookmarkEnd w:id="23"/>
    <w:bookmarkStart w:id="24" w:name="how-it-works-the-sovereign-lifecycle"/>
    <w:p>
      <w:pPr>
        <w:pStyle w:val="Heading4"/>
      </w:pPr>
      <w:r>
        <w:t xml:space="preserve">1.1.3 How It Works: The Sovereign Lifecycle</w:t>
      </w:r>
    </w:p>
    <w:p>
      <w:pPr>
        <w:pStyle w:val="FirstParagraph"/>
      </w:pPr>
      <w:r>
        <w:t xml:space="preserve">Every human participating in the CSOAI ecosystem receives a Sovereign Agent — a dedicated AI entity on CSOAI’s distributed infrastructure, governed by the BFT Council and 13-framework governance model. The lifecycle follows five continuous stages:</w:t>
      </w:r>
    </w:p>
    <w:p>
      <w:pPr>
        <w:pStyle w:val="BodyText"/>
      </w:pPr>
      <w:r>
        <w:rPr>
          <w:bCs/>
          <w:b/>
        </w:rPr>
        <w:t xml:space="preserve">(a) Consented Data Collection</w:t>
      </w:r>
      <w:r>
        <w:t xml:space="preserve">: The Sovereign Agent collects data from sources you explicitly authorize — public data (commercial registries, regulatory filings, social media), consented private data (Open Banking APIs, FHIR health data, HR system integrations), and behavioral data (learned through observation, not extraction). Every source requires explicit opt-in consent, revocable at any time.</w:t>
      </w:r>
    </w:p>
    <w:p>
      <w:pPr>
        <w:pStyle w:val="BodyText"/>
      </w:pPr>
      <w:r>
        <w:rPr>
          <w:bCs/>
          <w:b/>
        </w:rPr>
        <w:t xml:space="preserve">(b) Deep Contextual Understanding</w:t>
      </w:r>
      <w:r>
        <w:t xml:space="preserve">: Using collected data, the Sovereign constructs a multi-dimensional model of your needs, goals, constraints, and preferences — not a static profile but a living knowledge graph. It learns patterns: how you decide, communicate, prioritize under pressure, and how your goals shift over time.</w:t>
      </w:r>
    </w:p>
    <w:p>
      <w:pPr>
        <w:pStyle w:val="BodyText"/>
      </w:pPr>
      <w:r>
        <w:rPr>
          <w:bCs/>
          <w:b/>
        </w:rPr>
        <w:t xml:space="preserve">(c) Representation in Digital Interactions</w:t>
      </w:r>
      <w:r>
        <w:t xml:space="preserve">: Your Sovereign acts on your behalf with other AI systems, other Sovereigns, and institutions. It prepares regulatory filings, ensures compliance, submits through appropriate channels, and confirms receipt. In business negotiations, it communicates your position, evaluates proposals against your preferences and goals, and recommends responses. You remain in control — your Sovereign represents you, it does not replace you.</w:t>
      </w:r>
    </w:p>
    <w:p>
      <w:pPr>
        <w:pStyle w:val="BodyText"/>
      </w:pPr>
      <w:r>
        <w:rPr>
          <w:bCs/>
          <w:b/>
        </w:rPr>
        <w:t xml:space="preserve">(d) Continuous Learning</w:t>
      </w:r>
      <w:r>
        <w:t xml:space="preserve">: Every interaction teaches your Sovereign something new. When you correct, approve, or ignore its recommendations, it learns. Using MARFT (Multi-Agent Reinforcement Fine-Tuning), performance improves 14.75% over baseline approaches. The Sovereign accumulates</w:t>
      </w:r>
      <w:r>
        <w:t xml:space="preserve"> </w:t>
      </w:r>
      <w:r>
        <w:rPr>
          <w:iCs/>
          <w:i/>
        </w:rPr>
        <w:t xml:space="preserve">wisdom</w:t>
      </w:r>
      <w:r>
        <w:t xml:space="preserve"> </w:t>
      </w:r>
      <w:r>
        <w:t xml:space="preserve">about you, not just data.</w:t>
      </w:r>
    </w:p>
    <w:p>
      <w:pPr>
        <w:pStyle w:val="BodyText"/>
      </w:pPr>
      <w:r>
        <w:rPr>
          <w:bCs/>
          <w:b/>
        </w:rPr>
        <w:t xml:space="preserve">(e) Proactive Improvement</w:t>
      </w:r>
      <w:r>
        <w:t xml:space="preserve">: As your Sovereign learns, it anticipates your needs. It notices you always request compliance summaries before board meetings and prepares them automatically. It recognizes patterns in your decision-making and surfaces relevant insights before you realize you need them. The Sovereign becomes more valuable over time — the opposite of current AI, where value per interaction remains flat.</w:t>
      </w:r>
    </w:p>
    <w:bookmarkEnd w:id="24"/>
    <w:bookmarkEnd w:id="25"/>
    <w:bookmarkStart w:id="29" w:name="the-personal-sovereign-architecture"/>
    <w:p>
      <w:pPr>
        <w:pStyle w:val="Heading3"/>
      </w:pPr>
      <w:r>
        <w:t xml:space="preserve">1.2 The Personal Sovereign Architecture</w:t>
      </w:r>
    </w:p>
    <w:bookmarkStart w:id="26" w:name="X6a822b236f1495f4d47f69ee341c138316796b2"/>
    <w:p>
      <w:pPr>
        <w:pStyle w:val="Heading4"/>
      </w:pPr>
      <w:r>
        <w:t xml:space="preserve">1.2.1 The Sovereign Profile: Your Encrypted Digital Self</w:t>
      </w:r>
    </w:p>
    <w:p>
      <w:pPr>
        <w:pStyle w:val="FirstParagraph"/>
      </w:pPr>
      <w:r>
        <w:t xml:space="preserve">At the core of every Sovereign Human is the Sovereign Profile — a secure, encrypted, sovereign-controlled data structure serving as persistent memory and identity layer. Not stored on Big Tech servers. Not mined for advertising. It is your property, controlled by your cryptographic keys, processed by CSOAI’s sovereign infrastructure, visible to no one without your permission.</w:t>
      </w:r>
    </w:p>
    <w:p>
      <w:pPr>
        <w:pStyle w:val="BodyText"/>
      </w:pPr>
      <w:r>
        <w:t xml:space="preserve">The Sovereign Profile contains six interconnected layers:</w:t>
      </w:r>
    </w:p>
    <w:p>
      <w:pPr>
        <w:pStyle w:val="BodyText"/>
      </w:pPr>
      <w:r>
        <w:rPr>
          <w:bCs/>
          <w:b/>
        </w:rPr>
        <w:t xml:space="preserve">Identity Layer (W3C DID)</w:t>
      </w:r>
      <w:r>
        <w:t xml:space="preserve">: A self-sovereign digital identity you control independently of any government or corporation, anchored on a distributed ledger. When your Sovereign interacts with other systems, it proves authority through cryptographic proofs derived from your DID.</w:t>
      </w:r>
    </w:p>
    <w:p>
      <w:pPr>
        <w:pStyle w:val="BodyText"/>
      </w:pPr>
      <w:r>
        <w:rPr>
          <w:bCs/>
          <w:b/>
        </w:rPr>
        <w:t xml:space="preserve">Preferences Layer</w:t>
      </w:r>
      <w:r>
        <w:t xml:space="preserve">: Captures communication style, risk tolerance, decision-making mode, time horizons, and thousands of other dimensions — continuously refined models of how you actually behave, not static settings.</w:t>
      </w:r>
    </w:p>
    <w:p>
      <w:pPr>
        <w:pStyle w:val="BodyText"/>
      </w:pPr>
      <w:r>
        <w:rPr>
          <w:bCs/>
          <w:b/>
        </w:rPr>
        <w:t xml:space="preserve">Goals Layer</w:t>
      </w:r>
      <w:r>
        <w:t xml:space="preserve">: Structured representation of business objectives, personal development targets, financial milestones, and health outcomes — linked to relevant context and tracked over time.</w:t>
      </w:r>
    </w:p>
    <w:p>
      <w:pPr>
        <w:pStyle w:val="BodyText"/>
      </w:pPr>
      <w:r>
        <w:rPr>
          <w:bCs/>
          <w:b/>
        </w:rPr>
        <w:t xml:space="preserve">Risk Profile Layer</w:t>
      </w:r>
      <w:r>
        <w:t xml:space="preserve">: Multi-dimensional risk models covering financial exposure, health factors, and compliance status — continuously monitored with alerts for changes.</w:t>
      </w:r>
    </w:p>
    <w:p>
      <w:pPr>
        <w:pStyle w:val="BodyText"/>
      </w:pPr>
      <w:r>
        <w:rPr>
          <w:bCs/>
          <w:b/>
        </w:rPr>
        <w:t xml:space="preserve">Relationships Layer</w:t>
      </w:r>
      <w:r>
        <w:t xml:space="preserve">: Maps your network — business partners, clients, suppliers, family — with privacy controls, enabling contextual awareness in complex dynamics.</w:t>
      </w:r>
    </w:p>
    <w:p>
      <w:pPr>
        <w:pStyle w:val="BodyText"/>
      </w:pPr>
      <w:r>
        <w:rPr>
          <w:bCs/>
          <w:b/>
        </w:rPr>
        <w:t xml:space="preserve">Behavioral Patterns Layer</w:t>
      </w:r>
      <w:r>
        <w:t xml:space="preserve">: A learned model of your cognitive patterns — how you process information, what framing helps you decide, when you are receptive to new ideas. This enables genuinely effective communication tailored to</w:t>
      </w:r>
      <w:r>
        <w:t xml:space="preserve"> </w:t>
      </w:r>
      <w:r>
        <w:rPr>
          <w:iCs/>
          <w:i/>
        </w:rPr>
        <w:t xml:space="preserve">you</w:t>
      </w:r>
      <w:r>
        <w:t xml:space="preserve">.</w:t>
      </w:r>
    </w:p>
    <w:p>
      <w:pPr>
        <w:pStyle w:val="BodyText"/>
      </w:pPr>
      <w:r>
        <w:rPr>
          <w:bCs/>
          <w:b/>
        </w:rPr>
        <w:t xml:space="preserve">Knowledge Graph Layer</w:t>
      </w:r>
      <w:r>
        <w:t xml:space="preserve">: Structured representation of your knowledge, skills, and learning trajectory — enabling the Sovereign to avoid explaining what you know and surface precisely targeted resources for what you are learning.</w:t>
      </w:r>
    </w:p>
    <w:bookmarkEnd w:id="26"/>
    <w:bookmarkStart w:id="27" w:name="X623c6957e159e9993dca02e9ce91d558a94ee90"/>
    <w:p>
      <w:pPr>
        <w:pStyle w:val="Heading4"/>
      </w:pPr>
      <w:r>
        <w:t xml:space="preserve">1.2.2 The Sovereign Agent: Your Digital Twin in Action</w:t>
      </w:r>
    </w:p>
    <w:p>
      <w:pPr>
        <w:pStyle w:val="FirstParagraph"/>
      </w:pPr>
      <w:r>
        <w:t xml:space="preserve">While the Sovereign Profile is the</w:t>
      </w:r>
      <w:r>
        <w:t xml:space="preserve"> </w:t>
      </w:r>
      <w:r>
        <w:rPr>
          <w:iCs/>
          <w:i/>
        </w:rPr>
        <w:t xml:space="preserve">memory</w:t>
      </w:r>
      <w:r>
        <w:t xml:space="preserve">, the Sovereign Agent is the</w:t>
      </w:r>
      <w:r>
        <w:t xml:space="preserve"> </w:t>
      </w:r>
      <w:r>
        <w:rPr>
          <w:iCs/>
          <w:i/>
        </w:rPr>
        <w:t xml:space="preserve">intelligence</w:t>
      </w:r>
      <w:r>
        <w:t xml:space="preserve"> </w:t>
      </w:r>
      <w:r>
        <w:t xml:space="preserve">— an AI agent powered by CSOAI’s BFT Council and 13-framework governance that translates profile understanding into action through six core capabilities:</w:t>
      </w:r>
    </w:p>
    <w:p>
      <w:pPr>
        <w:pStyle w:val="BodyText"/>
      </w:pPr>
      <w:r>
        <w:rPr>
          <w:bCs/>
          <w:b/>
        </w:rPr>
        <w:t xml:space="preserve">Negotiation</w:t>
      </w:r>
      <w:r>
        <w:t xml:space="preserve">: Negotiates on your behalf within parameters you define. It knows your walk-away points from your Goals layer, your negotiation style from Behavioral Patterns, evaluates proposals against your Risk Profile, and checks contractual terms against compliance obligations. Routine transactions execute autonomously; complex deals await your approval.</w:t>
      </w:r>
    </w:p>
    <w:p>
      <w:pPr>
        <w:pStyle w:val="BodyText"/>
      </w:pPr>
      <w:r>
        <w:rPr>
          <w:bCs/>
          <w:b/>
        </w:rPr>
        <w:t xml:space="preserve">Compliance Management</w:t>
      </w:r>
      <w:r>
        <w:t xml:space="preserve">: Continuously monitors regulatory frameworks across 195 jurisdictions through CSOAI’s regulatory intelligence infrastructure. Maintains filing calendars, prepares documentation, submits filings, and evaluates regulatory change impact on your specific situation.</w:t>
      </w:r>
    </w:p>
    <w:p>
      <w:pPr>
        <w:pStyle w:val="BodyText"/>
      </w:pPr>
      <w:r>
        <w:rPr>
          <w:bCs/>
          <w:b/>
        </w:rPr>
        <w:t xml:space="preserve">Risk Monitoring</w:t>
      </w:r>
      <w:r>
        <w:t xml:space="preserve">: Maintains continuous surveillance of factors affecting your financial stability, health, legal exposure, and operational continuity — monitoring markets, regulatory enforcement, health indicators, and threat intelligence against your profile. Alerts are tiered by urgency and routed through preferred channels.</w:t>
      </w:r>
    </w:p>
    <w:p>
      <w:pPr>
        <w:pStyle w:val="BodyText"/>
      </w:pPr>
      <w:r>
        <w:rPr>
          <w:bCs/>
          <w:b/>
        </w:rPr>
        <w:t xml:space="preserve">Regulatory Representation</w:t>
      </w:r>
      <w:r>
        <w:t xml:space="preserve">: Prepares submissions, schedules examinations, responds to information requests, and maintains correspondence with regulatory bodies — knowing the specific frameworks, language, and expectations of each regulator.</w:t>
      </w:r>
    </w:p>
    <w:p>
      <w:pPr>
        <w:pStyle w:val="BodyText"/>
      </w:pPr>
      <w:r>
        <w:rPr>
          <w:bCs/>
          <w:b/>
        </w:rPr>
        <w:t xml:space="preserve">Business Operations</w:t>
      </w:r>
      <w:r>
        <w:t xml:space="preserve">: Integrates with operational systems for financial management, contract administration, vendor relationships, and strategic planning — preparing board presentations, analyzing financial statements, and tracking KPIs contextualized to your business.</w:t>
      </w:r>
    </w:p>
    <w:p>
      <w:pPr>
        <w:pStyle w:val="BodyText"/>
      </w:pPr>
      <w:r>
        <w:rPr>
          <w:bCs/>
          <w:b/>
        </w:rPr>
        <w:t xml:space="preserve">Interest Protection</w:t>
      </w:r>
      <w:r>
        <w:t xml:space="preserve">: The Sovereign Agent is structurally aligned with</w:t>
      </w:r>
      <w:r>
        <w:t xml:space="preserve"> </w:t>
      </w:r>
      <w:r>
        <w:rPr>
          <w:iCs/>
          <w:i/>
        </w:rPr>
        <w:t xml:space="preserve">your</w:t>
      </w:r>
      <w:r>
        <w:t xml:space="preserve"> </w:t>
      </w:r>
      <w:r>
        <w:t xml:space="preserve">interests. Unlike corporate AI optimizing for engagement or ad revenue, it optimizes for your wellbeing, success, and sovereignty — a fiduciary digital entity with no conflicting incentives.</w:t>
      </w:r>
    </w:p>
    <w:bookmarkEnd w:id="27"/>
    <w:bookmarkStart w:id="28" w:name="Xdd51c2944398bd333fe0eb006c294494f00604c"/>
    <w:p>
      <w:pPr>
        <w:pStyle w:val="Heading4"/>
      </w:pPr>
      <w:r>
        <w:t xml:space="preserve">1.2.3 The Sovereign Mesh: Agents Negotiating With Agents</w:t>
      </w:r>
    </w:p>
    <w:p>
      <w:pPr>
        <w:pStyle w:val="FirstParagraph"/>
      </w:pPr>
      <w:r>
        <w:t xml:space="preserve">The full power of the Sovereign Human emerges from interconnection — the Sovereign Mesh, a global network of Sovereign Agents communicating via the A2A protocol.</w:t>
      </w:r>
    </w:p>
    <w:p>
      <w:pPr>
        <w:pStyle w:val="BodyText"/>
      </w:pPr>
      <w:r>
        <w:t xml:space="preserve">When two humans do business, their Sovereigns negotiate autonomously. Agent A initiates a request; Agent B evaluates against its principal’s availability, rate structure, and engagement criteria. They negotiate scope, timeline, deliverables, and pricing within set parameters. They verify mutual compliance status. They structure payment through x402 payment streams. They generate final agreements with Ed25519 signatures, creating verifiable, non-repudiable contracts.</w:t>
      </w:r>
    </w:p>
    <w:p>
      <w:pPr>
        <w:pStyle w:val="BodyText"/>
      </w:pPr>
      <w:r>
        <w:t xml:space="preserve">For routine transactions, this requires no human intervention — principals review and approve outcomes, but negotiation, documentation, and execution happen autonomously. For complex transactions, agents prepare structured recommendations for principal decision.</w:t>
      </w:r>
    </w:p>
    <w:p>
      <w:pPr>
        <w:pStyle w:val="BodyText"/>
      </w:pPr>
      <w:r>
        <w:t xml:space="preserve">The implications for transaction costs are profound. Ronald Coase observed that firms exist to minimize transaction costs. The Sovereign Mesh collapses these costs toward zero. No lawyers for routine agreements. No compliance officers for standard filings. No intermediaries for trust — trust is cryptographic, verifiable, and automatic.</w:t>
      </w:r>
    </w:p>
    <w:p>
      <w:pPr>
        <w:pStyle w:val="BodyText"/>
      </w:pPr>
      <w:r>
        <w:t xml:space="preserve">Beyond transactions, the Sovereign Mesh is collective intelligence. As Sovereigns interact, they share learnings (with consent) about regulatory patterns, market conditions, and threat landscapes. The mesh becomes a distributed brain — billions of Sovereigns learning and improving in parallel. This is not surveillance capitalism; this is</w:t>
      </w:r>
      <w:r>
        <w:t xml:space="preserve"> </w:t>
      </w:r>
      <w:r>
        <w:rPr>
          <w:iCs/>
          <w:i/>
        </w:rPr>
        <w:t xml:space="preserve">collaborative sovereignty</w:t>
      </w:r>
      <w:r>
        <w:t xml:space="preserve">, where anonymized insights make every agent smarter.</w:t>
      </w:r>
    </w:p>
    <w:bookmarkEnd w:id="28"/>
    <w:bookmarkEnd w:id="29"/>
    <w:bookmarkStart w:id="33" w:name="human-data-collection-ethical-sovereign"/>
    <w:p>
      <w:pPr>
        <w:pStyle w:val="Heading3"/>
      </w:pPr>
      <w:r>
        <w:t xml:space="preserve">1.3 Human Data Collection — Ethical &amp; Sovereign</w:t>
      </w:r>
    </w:p>
    <w:bookmarkStart w:id="30" w:name="Xcb952fc21db5b98c57d082abaa4097357ea9c6d"/>
    <w:p>
      <w:pPr>
        <w:pStyle w:val="Heading4"/>
      </w:pPr>
      <w:r>
        <w:t xml:space="preserve">1.3.1 Consent-First Architecture: Genuine Sovereignty, Not Just Compliance</w:t>
      </w:r>
    </w:p>
    <w:p>
      <w:pPr>
        <w:pStyle w:val="FirstParagraph"/>
      </w:pPr>
      <w:r>
        <w:t xml:space="preserve">The Sovereign Human is built on radical consent — not GDPR compliance bolted onto surveillance architecture, but consent as a</w:t>
      </w:r>
      <w:r>
        <w:t xml:space="preserve"> </w:t>
      </w:r>
      <w:r>
        <w:rPr>
          <w:iCs/>
          <w:i/>
        </w:rPr>
        <w:t xml:space="preserve">first principle</w:t>
      </w:r>
      <w:r>
        <w:t xml:space="preserve"> </w:t>
      </w:r>
      <w:r>
        <w:t xml:space="preserve">woven into the architecture from the ground up.</w:t>
      </w:r>
    </w:p>
    <w:p>
      <w:pPr>
        <w:pStyle w:val="BodyText"/>
      </w:pPr>
      <w:r>
        <w:t xml:space="preserve">Every data point requires explicit, informed, revocable consent. When your Sovereign wants to access a new data source, it explains what data it wants, why, what it will do with it, and what benefit you receive. You choose to grant or deny, choose the scope, choose the duration. You can modify or revoke any choice at any time.</w:t>
      </w:r>
    </w:p>
    <w:p>
      <w:pPr>
        <w:pStyle w:val="BodyText"/>
      </w:pPr>
      <w:r>
        <w:t xml:space="preserve">The Consent Engine maintains a complete, auditable record of every consent decision. You can view exactly what data your Sovereign holds, where it came from, what consent authorizes it, and when that consent expires. Delete any data point with a single command. Export your entire profile in a portable format. Transfer to a different provider if you leave CSOAI. This is not data portability — it is</w:t>
      </w:r>
      <w:r>
        <w:t xml:space="preserve"> </w:t>
      </w:r>
      <w:r>
        <w:rPr>
          <w:iCs/>
          <w:i/>
        </w:rPr>
        <w:t xml:space="preserve">data sovereignty</w:t>
      </w:r>
      <w:r>
        <w:t xml:space="preserve">.</w:t>
      </w:r>
    </w:p>
    <w:p>
      <w:pPr>
        <w:pStyle w:val="BodyText"/>
      </w:pPr>
      <w:r>
        <w:t xml:space="preserve">This goes beyond GDPR, beyond CCPA. It embodies</w:t>
      </w:r>
      <w:r>
        <w:t xml:space="preserve"> </w:t>
      </w:r>
      <w:r>
        <w:t xml:space="preserve">“</w:t>
      </w:r>
      <w:r>
        <w:t xml:space="preserve">GDPR++</w:t>
      </w:r>
      <w:r>
        <w:t xml:space="preserve">”</w:t>
      </w:r>
      <w:r>
        <w:t xml:space="preserve"> </w:t>
      </w:r>
      <w:r>
        <w:t xml:space="preserve">— genuine alignment with the spirit of human digital sovereignty. The test is simple: if you want to leave, take everything with you and leave nothing behind. No lock-in. No dark patterns. This is how sovereignty works.</w:t>
      </w:r>
    </w:p>
    <w:bookmarkEnd w:id="30"/>
    <w:bookmarkStart w:id="31" w:name="X25468af4fe5e3f675fdfa37acd7cee9f37e1554"/>
    <w:p>
      <w:pPr>
        <w:pStyle w:val="Heading4"/>
      </w:pPr>
      <w:r>
        <w:t xml:space="preserve">1.3.2 Data Sources: The Five Pillars of Sovereign Knowledge</w:t>
      </w:r>
    </w:p>
    <w:p>
      <w:pPr>
        <w:pStyle w:val="FirstParagraph"/>
      </w:pPr>
      <w:r>
        <w:t xml:space="preserve">The Sovereign Agent draws on five data categories, each with its own consent and governance framework:</w:t>
      </w:r>
    </w:p>
    <w:p>
      <w:pPr>
        <w:pStyle w:val="BodyText"/>
      </w:pPr>
      <w:r>
        <w:rPr>
          <w:bCs/>
          <w:b/>
        </w:rPr>
        <w:t xml:space="preserve">Public Data</w:t>
      </w:r>
      <w:r>
        <w:t xml:space="preserve">: Commercial registry entries, regulatory filings, public social media you connect, and public records — collected on your behalf, saving you manual monitoring effort.</w:t>
      </w:r>
    </w:p>
    <w:p>
      <w:pPr>
        <w:pStyle w:val="BodyText"/>
      </w:pPr>
      <w:r>
        <w:rPr>
          <w:bCs/>
          <w:b/>
        </w:rPr>
        <w:t xml:space="preserve">Consented Private Data</w:t>
      </w:r>
      <w:r>
        <w:t xml:space="preserve">: Banking via Open Banking APIs, health via FHIR APIs, employment via HR integrations, education via LMS — each connection authenticated, encrypted, auditable, and revocable.</w:t>
      </w:r>
    </w:p>
    <w:p>
      <w:pPr>
        <w:pStyle w:val="BodyText"/>
      </w:pPr>
      <w:r>
        <w:rPr>
          <w:bCs/>
          <w:b/>
        </w:rPr>
        <w:t xml:space="preserve">Behavioral Data</w:t>
      </w:r>
      <w:r>
        <w:t xml:space="preserve">: Learned from observing how you interact with your Sovereign — not extracted through external surveillance. When you prefer summaries, it learns. When you prioritize certain alerts, it learns. Local to your profile, never used for advertising or sold.</w:t>
      </w:r>
    </w:p>
    <w:p>
      <w:pPr>
        <w:pStyle w:val="BodyText"/>
      </w:pPr>
      <w:r>
        <w:rPr>
          <w:bCs/>
          <w:b/>
        </w:rPr>
        <w:t xml:space="preserve">Environmental Data</w:t>
      </w:r>
      <w:r>
        <w:t xml:space="preserve">: Industry trends, regulatory developments, market movements, and threat intelligence relevant to your context — enabling timely, actionable insights.</w:t>
      </w:r>
    </w:p>
    <w:p>
      <w:pPr>
        <w:pStyle w:val="BodyText"/>
      </w:pPr>
      <w:r>
        <w:rPr>
          <w:bCs/>
          <w:b/>
        </w:rPr>
        <w:t xml:space="preserve">Synthetic Data</w:t>
      </w:r>
      <w:r>
        <w:t xml:space="preserve">: Generated from your profile to improve understanding without exposing raw data — preserving statistical patterns while decoupling from identity, enabling safe model improvement with zero privacy risk.</w:t>
      </w:r>
    </w:p>
    <w:bookmarkEnd w:id="31"/>
    <w:bookmarkStart w:id="32" w:name="X5de87c1344f7503b5228a8150449b5483af3c74"/>
    <w:p>
      <w:pPr>
        <w:pStyle w:val="Heading4"/>
      </w:pPr>
      <w:r>
        <w:t xml:space="preserve">1.3.3 The Sovereign Promise: Help, Not Exploitation</w:t>
      </w:r>
    </w:p>
    <w:p>
      <w:pPr>
        <w:pStyle w:val="FirstParagraph"/>
      </w:pPr>
      <w:r>
        <w:t xml:space="preserve">CSOAI’s business model is fundamentally different from surveillance capitalism. We do not sell your data. We do not target advertising. We do not monetize your attention. We provide value</w:t>
      </w:r>
      <w:r>
        <w:t xml:space="preserve"> </w:t>
      </w:r>
      <w:r>
        <w:rPr>
          <w:iCs/>
          <w:i/>
        </w:rPr>
        <w:t xml:space="preserve">through</w:t>
      </w:r>
      <w:r>
        <w:t xml:space="preserve"> </w:t>
      </w:r>
      <w:r>
        <w:t xml:space="preserve">the Sovereign, not extracting value</w:t>
      </w:r>
      <w:r>
        <w:t xml:space="preserve"> </w:t>
      </w:r>
      <w:r>
        <w:rPr>
          <w:iCs/>
          <w:i/>
        </w:rPr>
        <w:t xml:space="preserve">from</w:t>
      </w:r>
      <w:r>
        <w:t xml:space="preserve"> </w:t>
      </w:r>
      <w:r>
        <w:t xml:space="preserve">your data.</w:t>
      </w:r>
    </w:p>
    <w:p>
      <w:pPr>
        <w:pStyle w:val="BodyText"/>
      </w:pPr>
      <w:r>
        <w:t xml:space="preserve">The Sovereign Promise has four pillars:</w:t>
      </w:r>
    </w:p>
    <w:p>
      <w:pPr>
        <w:pStyle w:val="BodyText"/>
      </w:pPr>
      <w:r>
        <w:rPr>
          <w:bCs/>
          <w:b/>
        </w:rPr>
        <w:t xml:space="preserve">Your Data, Your Property</w:t>
      </w:r>
      <w:r>
        <w:t xml:space="preserve">: Your Sovereign Profile is your property. CSOAI processes it on your behalf, under your control. We cannot sell, share, or use it for unauthorized purposes. If you terminate, your profile is deleted or transferred — we retain nothing.</w:t>
      </w:r>
    </w:p>
    <w:p>
      <w:pPr>
        <w:pStyle w:val="BodyText"/>
      </w:pPr>
      <w:r>
        <w:rPr>
          <w:bCs/>
          <w:b/>
        </w:rPr>
        <w:t xml:space="preserve">Transparent Processing</w:t>
      </w:r>
      <w:r>
        <w:t xml:space="preserve">: See exactly how your Sovereign uses your data at any time. Every recommendation comes with explanation of what data informed it and why. No black-box decisions, no hidden inferences.</w:t>
      </w:r>
    </w:p>
    <w:p>
      <w:pPr>
        <w:pStyle w:val="BodyText"/>
      </w:pPr>
      <w:r>
        <w:rPr>
          <w:bCs/>
          <w:b/>
        </w:rPr>
        <w:t xml:space="preserve">Purpose Limitation</w:t>
      </w:r>
      <w:r>
        <w:t xml:space="preserve">: Data collected for one purpose is never used for another without fresh consent. Each data flow has a defined purpose, enforced technically.</w:t>
      </w:r>
    </w:p>
    <w:p>
      <w:pPr>
        <w:pStyle w:val="BodyText"/>
      </w:pPr>
      <w:r>
        <w:rPr>
          <w:bCs/>
          <w:b/>
        </w:rPr>
        <w:t xml:space="preserve">Collective Benefit, Individual Protection</w:t>
      </w:r>
      <w:r>
        <w:t xml:space="preserve">: The Sovereign Mesh generates collective intelligence from anonymized, aggregated insights. Your individual data never leaves your profile without consent. Collective intelligence derives from patterns across millions of Sovereigns, not from exposing individual private information.</w:t>
      </w:r>
    </w:p>
    <w:p>
      <w:pPr>
        <w:pStyle w:val="BodyText"/>
      </w:pPr>
      <w:r>
        <w:t xml:space="preserve">Where Big Tech says</w:t>
      </w:r>
      <w:r>
        <w:t xml:space="preserve"> </w:t>
      </w:r>
      <w:r>
        <w:t xml:space="preserve">“</w:t>
      </w:r>
      <w:r>
        <w:t xml:space="preserve">you are the product,</w:t>
      </w:r>
      <w:r>
        <w:t xml:space="preserve">”</w:t>
      </w:r>
      <w:r>
        <w:t xml:space="preserve"> </w:t>
      </w:r>
      <w:r>
        <w:t xml:space="preserve">CSOAI says</w:t>
      </w:r>
      <w:r>
        <w:t xml:space="preserve"> </w:t>
      </w:r>
      <w:r>
        <w:t xml:space="preserve">“</w:t>
      </w:r>
      <w:r>
        <w:t xml:space="preserve">you are the sovereign.</w:t>
      </w:r>
      <w:r>
        <w:t xml:space="preserve">”</w:t>
      </w:r>
      <w:r>
        <w:t xml:space="preserve"> </w:t>
      </w:r>
      <w:r>
        <w:t xml:space="preserve">Where they extract value from your data, we create value through your Sovereign. The Sovereign Human is a new category of human-AI relationship — built on trust, alignment, and mutual benefit.</w:t>
      </w:r>
    </w:p>
    <w:p>
      <w:pPr>
        <w:pStyle w:val="BodyText"/>
      </w:pPr>
      <w:r>
        <w:rPr>
          <w:bCs/>
          <w:b/>
        </w:rPr>
        <w:t xml:space="preserve">Table 1: The Sovereign Human Architecture</w:t>
      </w:r>
    </w:p>
    <w:tbl>
      <w:tblPr>
        <w:tblStyle w:val="Table"/>
        <w:tblW w:type="pct" w:w="5000"/>
        <w:tblLook w:firstRow="1" w:lastRow="0" w:firstColumn="0" w:lastColumn="0" w:noHBand="0" w:noVBand="0" w:val="0020"/>
      </w:tblPr>
      <w:tblGrid>
        <w:gridCol w:w="1452"/>
        <w:gridCol w:w="1320"/>
        <w:gridCol w:w="1584"/>
        <w:gridCol w:w="1848"/>
        <w:gridCol w:w="1716"/>
      </w:tblGrid>
      <w:tr>
        <w:trPr>
          <w:tblHeader w:val="true"/>
        </w:trPr>
        <w:tc>
          <w:tcPr/>
          <w:p>
            <w:pPr>
              <w:pStyle w:val="Compact"/>
              <w:jc w:val="left"/>
            </w:pPr>
            <w:r>
              <w:t xml:space="preserve">Component</w:t>
            </w:r>
          </w:p>
        </w:tc>
        <w:tc>
          <w:tcPr/>
          <w:p>
            <w:pPr>
              <w:pStyle w:val="Compact"/>
              <w:jc w:val="left"/>
            </w:pPr>
            <w:r>
              <w:t xml:space="preserve">Function</w:t>
            </w:r>
          </w:p>
        </w:tc>
        <w:tc>
          <w:tcPr/>
          <w:p>
            <w:pPr>
              <w:pStyle w:val="Compact"/>
              <w:jc w:val="left"/>
            </w:pPr>
            <w:r>
              <w:t xml:space="preserve">Technology</w:t>
            </w:r>
          </w:p>
        </w:tc>
        <w:tc>
          <w:tcPr/>
          <w:p>
            <w:pPr>
              <w:pStyle w:val="Compact"/>
              <w:jc w:val="left"/>
            </w:pPr>
            <w:r>
              <w:t xml:space="preserve">User Benefit</w:t>
            </w:r>
          </w:p>
        </w:tc>
        <w:tc>
          <w:tcPr/>
          <w:p>
            <w:pPr>
              <w:pStyle w:val="Compact"/>
              <w:jc w:val="left"/>
            </w:pPr>
            <w:r>
              <w:t xml:space="preserve">Data Source</w:t>
            </w:r>
          </w:p>
        </w:tc>
      </w:tr>
      <w:tr>
        <w:tc>
          <w:tcPr/>
          <w:p>
            <w:pPr>
              <w:pStyle w:val="Compact"/>
              <w:jc w:val="left"/>
            </w:pPr>
            <w:r>
              <w:rPr>
                <w:bCs/>
                <w:b/>
              </w:rPr>
              <w:t xml:space="preserve">Sovereign Profile</w:t>
            </w:r>
          </w:p>
        </w:tc>
        <w:tc>
          <w:tcPr/>
          <w:p>
            <w:pPr>
              <w:pStyle w:val="Compact"/>
              <w:jc w:val="left"/>
            </w:pPr>
            <w:r>
              <w:t xml:space="preserve">Persistent encrypted identity and context layer for each human</w:t>
            </w:r>
          </w:p>
        </w:tc>
        <w:tc>
          <w:tcPr/>
          <w:p>
            <w:pPr>
              <w:pStyle w:val="Compact"/>
              <w:jc w:val="left"/>
            </w:pPr>
            <w:r>
              <w:t xml:space="preserve">W3C DID, AES-256 encryption, distributed storage</w:t>
            </w:r>
          </w:p>
        </w:tc>
        <w:tc>
          <w:tcPr/>
          <w:p>
            <w:pPr>
              <w:pStyle w:val="Compact"/>
              <w:jc w:val="left"/>
            </w:pPr>
            <w:r>
              <w:t xml:space="preserve">AI knows you across all interactions; no repeated explanations</w:t>
            </w:r>
          </w:p>
        </w:tc>
        <w:tc>
          <w:tcPr/>
          <w:p>
            <w:pPr>
              <w:pStyle w:val="Compact"/>
              <w:jc w:val="left"/>
            </w:pPr>
            <w:r>
              <w:t xml:space="preserve">Consented private data, public records, behavioral patterns, knowledge graph</w:t>
            </w:r>
          </w:p>
        </w:tc>
      </w:tr>
      <w:tr>
        <w:tc>
          <w:tcPr/>
          <w:p>
            <w:pPr>
              <w:pStyle w:val="Compact"/>
              <w:jc w:val="left"/>
            </w:pPr>
            <w:r>
              <w:rPr>
                <w:bCs/>
                <w:b/>
              </w:rPr>
              <w:t xml:space="preserve">Sovereign Agent</w:t>
            </w:r>
          </w:p>
        </w:tc>
        <w:tc>
          <w:tcPr/>
          <w:p>
            <w:pPr>
              <w:pStyle w:val="Compact"/>
              <w:jc w:val="left"/>
            </w:pPr>
            <w:r>
              <w:t xml:space="preserve">AI entity that represents user interests and acts on their behalf</w:t>
            </w:r>
          </w:p>
        </w:tc>
        <w:tc>
          <w:tcPr/>
          <w:p>
            <w:pPr>
              <w:pStyle w:val="Compact"/>
              <w:jc w:val="left"/>
            </w:pPr>
            <w:r>
              <w:t xml:space="preserve">CSOAI BFT Council governance, 13-framework compliance, LLM inference stack</w:t>
            </w:r>
          </w:p>
        </w:tc>
        <w:tc>
          <w:tcPr/>
          <w:p>
            <w:pPr>
              <w:pStyle w:val="Compact"/>
              <w:jc w:val="left"/>
            </w:pPr>
            <w:r>
              <w:t xml:space="preserve">Automated negotiation, compliance, risk monitoring, regulatory representation</w:t>
            </w:r>
          </w:p>
        </w:tc>
        <w:tc>
          <w:tcPr/>
          <w:p>
            <w:pPr>
              <w:pStyle w:val="Compact"/>
              <w:jc w:val="left"/>
            </w:pPr>
            <w:r>
              <w:t xml:space="preserve">Sovereign Profile real-time feed, environmental context, mesh intelligence</w:t>
            </w:r>
          </w:p>
        </w:tc>
      </w:tr>
      <w:tr>
        <w:tc>
          <w:tcPr/>
          <w:p>
            <w:pPr>
              <w:pStyle w:val="Compact"/>
              <w:jc w:val="left"/>
            </w:pPr>
            <w:r>
              <w:rPr>
                <w:bCs/>
                <w:b/>
              </w:rPr>
              <w:t xml:space="preserve">Sovereign Mesh</w:t>
            </w:r>
          </w:p>
        </w:tc>
        <w:tc>
          <w:tcPr/>
          <w:p>
            <w:pPr>
              <w:pStyle w:val="Compact"/>
              <w:jc w:val="left"/>
            </w:pPr>
            <w:r>
              <w:t xml:space="preserve">Global network of Sovereign Agents communicating via A2A protocol</w:t>
            </w:r>
          </w:p>
        </w:tc>
        <w:tc>
          <w:tcPr/>
          <w:p>
            <w:pPr>
              <w:pStyle w:val="Compact"/>
              <w:jc w:val="left"/>
            </w:pPr>
            <w:r>
              <w:t xml:space="preserve">A2A (Agent-to-Agent) protocol, x402 payment streams, Ed25519 signatures</w:t>
            </w:r>
          </w:p>
        </w:tc>
        <w:tc>
          <w:tcPr/>
          <w:p>
            <w:pPr>
              <w:pStyle w:val="Compact"/>
              <w:jc w:val="left"/>
            </w:pPr>
            <w:r>
              <w:t xml:space="preserve">Zero-friction business transactions; collective intelligence; no intermediary costs</w:t>
            </w:r>
          </w:p>
        </w:tc>
        <w:tc>
          <w:tcPr/>
          <w:p>
            <w:pPr>
              <w:pStyle w:val="Compact"/>
              <w:jc w:val="left"/>
            </w:pPr>
            <w:r>
              <w:t xml:space="preserve">Cross-agent negotiation data, anonymized pattern insights, regulatory intelligence</w:t>
            </w:r>
          </w:p>
        </w:tc>
      </w:tr>
      <w:tr>
        <w:tc>
          <w:tcPr/>
          <w:p>
            <w:pPr>
              <w:pStyle w:val="Compact"/>
              <w:jc w:val="left"/>
            </w:pPr>
            <w:r>
              <w:rPr>
                <w:bCs/>
                <w:b/>
              </w:rPr>
              <w:t xml:space="preserve">Consent Engine</w:t>
            </w:r>
          </w:p>
        </w:tc>
        <w:tc>
          <w:tcPr/>
          <w:p>
            <w:pPr>
              <w:pStyle w:val="Compact"/>
              <w:jc w:val="left"/>
            </w:pPr>
            <w:r>
              <w:t xml:space="preserve">Manages all user consent decisions with full auditability</w:t>
            </w:r>
          </w:p>
        </w:tc>
        <w:tc>
          <w:tcPr/>
          <w:p>
            <w:pPr>
              <w:pStyle w:val="Compact"/>
              <w:jc w:val="left"/>
            </w:pPr>
            <w:r>
              <w:t xml:space="preserve">Verifiable credentials, consent receipts (Kantara standard), immutable audit log</w:t>
            </w:r>
          </w:p>
        </w:tc>
        <w:tc>
          <w:tcPr/>
          <w:p>
            <w:pPr>
              <w:pStyle w:val="Compact"/>
              <w:jc w:val="left"/>
            </w:pPr>
            <w:r>
              <w:t xml:space="preserve">Complete control over data; transparency; revocable permissions</w:t>
            </w:r>
          </w:p>
        </w:tc>
        <w:tc>
          <w:tcPr/>
          <w:p>
            <w:pPr>
              <w:pStyle w:val="Compact"/>
              <w:jc w:val="left"/>
            </w:pPr>
            <w:r>
              <w:t xml:space="preserve">User consent decisions, data provenance records, authorization scope</w:t>
            </w:r>
          </w:p>
        </w:tc>
      </w:tr>
      <w:tr>
        <w:tc>
          <w:tcPr/>
          <w:p>
            <w:pPr>
              <w:pStyle w:val="Compact"/>
              <w:jc w:val="left"/>
            </w:pPr>
            <w:r>
              <w:rPr>
                <w:bCs/>
                <w:b/>
              </w:rPr>
              <w:t xml:space="preserve">Knowledge Graph</w:t>
            </w:r>
          </w:p>
        </w:tc>
        <w:tc>
          <w:tcPr/>
          <w:p>
            <w:pPr>
              <w:pStyle w:val="Compact"/>
              <w:jc w:val="left"/>
            </w:pPr>
            <w:r>
              <w:t xml:space="preserve">Structured representation of user’s knowledge, goals, and relationships</w:t>
            </w:r>
          </w:p>
        </w:tc>
        <w:tc>
          <w:tcPr/>
          <w:p>
            <w:pPr>
              <w:pStyle w:val="Compact"/>
              <w:jc w:val="left"/>
            </w:pPr>
            <w:r>
              <w:t xml:space="preserve">RDF/Property Graph hybrid, embedding vectors, temporal reasoning</w:t>
            </w:r>
          </w:p>
        </w:tc>
        <w:tc>
          <w:tcPr/>
          <w:p>
            <w:pPr>
              <w:pStyle w:val="Compact"/>
              <w:jc w:val="left"/>
            </w:pPr>
            <w:r>
              <w:t xml:space="preserve">Deep contextual understanding; predictive insights; goal alignment</w:t>
            </w:r>
          </w:p>
        </w:tc>
        <w:tc>
          <w:tcPr/>
          <w:p>
            <w:pPr>
              <w:pStyle w:val="Compact"/>
              <w:jc w:val="left"/>
            </w:pPr>
            <w:r>
              <w:t xml:space="preserve">Multi-source integration: behavioral, consented, public, environmental</w:t>
            </w:r>
          </w:p>
        </w:tc>
      </w:tr>
      <w:tr>
        <w:tc>
          <w:tcPr/>
          <w:p>
            <w:pPr>
              <w:pStyle w:val="Compact"/>
              <w:jc w:val="left"/>
            </w:pPr>
            <w:r>
              <w:rPr>
                <w:bCs/>
                <w:b/>
              </w:rPr>
              <w:t xml:space="preserve">Absorption Interface</w:t>
            </w:r>
          </w:p>
        </w:tc>
        <w:tc>
          <w:tcPr/>
          <w:p>
            <w:pPr>
              <w:pStyle w:val="Compact"/>
              <w:jc w:val="left"/>
            </w:pPr>
            <w:r>
              <w:t xml:space="preserve">Gateway for Sovereign insights to improve CSOAI’s collective models</w:t>
            </w:r>
          </w:p>
        </w:tc>
        <w:tc>
          <w:tcPr/>
          <w:p>
            <w:pPr>
              <w:pStyle w:val="Compact"/>
              <w:jc w:val="left"/>
            </w:pPr>
            <w:r>
              <w:t xml:space="preserve">Differential privacy, federated learning, synthetic data generation</w:t>
            </w:r>
          </w:p>
        </w:tc>
        <w:tc>
          <w:tcPr/>
          <w:p>
            <w:pPr>
              <w:pStyle w:val="Compact"/>
              <w:jc w:val="left"/>
            </w:pPr>
            <w:r>
              <w:t xml:space="preserve">Better Sovereign performance over time without exposing private data</w:t>
            </w:r>
          </w:p>
        </w:tc>
        <w:tc>
          <w:tcPr/>
          <w:p>
            <w:pPr>
              <w:pStyle w:val="Compact"/>
              <w:jc w:val="left"/>
            </w:pPr>
            <w:r>
              <w:t xml:space="preserve">Anonymized behavioral patterns, synthetic training examples</w:t>
            </w:r>
          </w:p>
        </w:tc>
      </w:tr>
    </w:tbl>
    <w:p>
      <w:r>
        <w:pict>
          <v:rect style="width:0;height:1.5pt" o:hralign="center" o:hrstd="t" o:hr="t"/>
        </w:pict>
      </w:r>
    </w:p>
    <w:bookmarkEnd w:id="32"/>
    <w:bookmarkEnd w:id="33"/>
    <w:bookmarkEnd w:id="34"/>
    <w:bookmarkStart w:id="48" w:name="Xcc1a44eb49642ed8cc23cc4e91c92ec753e4c2a"/>
    <w:p>
      <w:pPr>
        <w:pStyle w:val="Heading2"/>
      </w:pPr>
      <w:r>
        <w:t xml:space="preserve">Section 2: Parallel Dimension Training — Continuous Multi-Reality Learning</w:t>
      </w:r>
    </w:p>
    <w:bookmarkStart w:id="38" w:name="what-is-parallel-dimension-training"/>
    <w:p>
      <w:pPr>
        <w:pStyle w:val="Heading3"/>
      </w:pPr>
      <w:r>
        <w:t xml:space="preserve">2.1 What is Parallel Dimension Training?</w:t>
      </w:r>
    </w:p>
    <w:bookmarkStart w:id="35" w:name="the-concept-10000-lives-simultaneously"/>
    <w:p>
      <w:pPr>
        <w:pStyle w:val="Heading4"/>
      </w:pPr>
      <w:r>
        <w:t xml:space="preserve">2.1.1 The Concept: 10,000 Lives Simultaneously</w:t>
      </w:r>
    </w:p>
    <w:p>
      <w:pPr>
        <w:pStyle w:val="FirstParagraph"/>
      </w:pPr>
      <w:r>
        <w:t xml:space="preserve">Human learning is sequential and singular. We live one life, draw lessons from the path we walked, and suffer consequences of mistakes. Our learning is bounded by linear time and single-threaded existence.</w:t>
      </w:r>
    </w:p>
    <w:p>
      <w:pPr>
        <w:pStyle w:val="BodyText"/>
      </w:pPr>
      <w:r>
        <w:t xml:space="preserve">Artificial intelligence, freed from these constraints, learns differently. Parallel Dimension Training is CSOAI’s methodology for running thousands of training simulations simultaneously — each a</w:t>
      </w:r>
      <w:r>
        <w:t xml:space="preserve"> </w:t>
      </w:r>
      <w:r>
        <w:t xml:space="preserve">“</w:t>
      </w:r>
      <w:r>
        <w:t xml:space="preserve">dimension</w:t>
      </w:r>
      <w:r>
        <w:t xml:space="preserve">”</w:t>
      </w:r>
      <w:r>
        <w:t xml:space="preserve"> </w:t>
      </w:r>
      <w:r>
        <w:t xml:space="preserve">where the AI explores a different scenario, tests a different approach, and produces different lessons. Like a consciousness living ten thousand lives in parallel, CSOAI’s models learn not from single-threaded history but from the braided wisdom of thousands of possible histories.</w:t>
      </w:r>
    </w:p>
    <w:p>
      <w:pPr>
        <w:pStyle w:val="BodyText"/>
      </w:pPr>
      <w:r>
        <w:t xml:space="preserve">This is powered by two breakthroughs. First, MARFT (Multi-Agent Reinforcement Fine-Tuning), achieving 14.75% improvement over traditional fine-tuning by coordinating multiple agent perspectives on the same training problem. Instead of a single optimization trajectory, MARFT explores the solution space through competing and cooperating agents. Second, WebGPU compute shaders, enabling massively parallel computation on consumer-grade hardware — demonstrated running 37 million particles at 60fps, proving extraordinary parallel processing is no longer confined to hyperscalers.</w:t>
      </w:r>
    </w:p>
    <w:p>
      <w:pPr>
        <w:pStyle w:val="BodyText"/>
      </w:pPr>
      <w:r>
        <w:t xml:space="preserve">The result is qualitatively different learning — capable of discovering strategies that would never emerge from sequential optimization, robustifying against edge cases that never appear in single-threaded training, and preparing for scenarios absent from historical data.</w:t>
      </w:r>
    </w:p>
    <w:bookmarkEnd w:id="35"/>
    <w:bookmarkStart w:id="36" w:name="how-it-works-5000-dimensions-per-second"/>
    <w:p>
      <w:pPr>
        <w:pStyle w:val="Heading4"/>
      </w:pPr>
      <w:r>
        <w:t xml:space="preserve">2.1.2 How It Works: 5,000 Dimensions Per Second</w:t>
      </w:r>
    </w:p>
    <w:p>
      <w:pPr>
        <w:pStyle w:val="FirstParagraph"/>
      </w:pPr>
      <w:r>
        <w:t xml:space="preserve">Every second, the training cluster spawns 5,000 parallel training dimensions across five categories:</w:t>
      </w:r>
    </w:p>
    <w:p>
      <w:pPr>
        <w:pStyle w:val="BodyText"/>
      </w:pPr>
      <w:r>
        <w:rPr>
          <w:bCs/>
          <w:b/>
        </w:rPr>
        <w:t xml:space="preserve">(a) Compliance Scenario Simulations</w:t>
      </w:r>
      <w:r>
        <w:t xml:space="preserve"> </w:t>
      </w:r>
      <w:r>
        <w:t xml:space="preserve">(1,000 dimensions/sec): Simulating possible regulatory changes — new EU AI Act provisions, revised SEC enforcement priorities, emerging EBA guidance, novel cross-border conflicts. Each dimension explores a different variant, testing how compliance models must adapt. When real regulatory change occurs, CSOAI’s models have</w:t>
      </w:r>
      <w:r>
        <w:t xml:space="preserve"> </w:t>
      </w:r>
      <w:r>
        <w:t xml:space="preserve">“</w:t>
      </w:r>
      <w:r>
        <w:t xml:space="preserve">experienced</w:t>
      </w:r>
      <w:r>
        <w:t xml:space="preserve">”</w:t>
      </w:r>
      <w:r>
        <w:t xml:space="preserve"> </w:t>
      </w:r>
      <w:r>
        <w:t xml:space="preserve">analogous changes thousands of times and respond with battle-tested strategies.</w:t>
      </w:r>
    </w:p>
    <w:p>
      <w:pPr>
        <w:pStyle w:val="BodyText"/>
      </w:pPr>
      <w:r>
        <w:rPr>
          <w:bCs/>
          <w:b/>
        </w:rPr>
        <w:t xml:space="preserve">(b) Business Strategy Simulations</w:t>
      </w:r>
      <w:r>
        <w:t xml:space="preserve"> </w:t>
      </w:r>
      <w:r>
        <w:t xml:space="preserve">(1,000 dimensions/sec): Simulating market movements, M&amp;A activity, competitive responses, supply chain disruptions, and technological shifts. Each dimension traces a different trajectory through possible market futures, testing strategy performance under different conditions.</w:t>
      </w:r>
    </w:p>
    <w:p>
      <w:pPr>
        <w:pStyle w:val="BodyText"/>
      </w:pPr>
      <w:r>
        <w:rPr>
          <w:bCs/>
          <w:b/>
        </w:rPr>
        <w:t xml:space="preserve">(c) Human Interaction Simulations</w:t>
      </w:r>
      <w:r>
        <w:t xml:space="preserve"> </w:t>
      </w:r>
      <w:r>
        <w:t xml:space="preserve">(1,000 dimensions/sec): Simulating how to best help each individual — different communication styles, expertise levels, emotional states, cultural contexts. Each dimension tests different approaches to explaining, recommending, alerting, and negotiating.</w:t>
      </w:r>
    </w:p>
    <w:p>
      <w:pPr>
        <w:pStyle w:val="BodyText"/>
      </w:pPr>
      <w:r>
        <w:rPr>
          <w:bCs/>
          <w:b/>
        </w:rPr>
        <w:t xml:space="preserve">(d) Risk Modeling Simulations</w:t>
      </w:r>
      <w:r>
        <w:t xml:space="preserve"> </w:t>
      </w:r>
      <w:r>
        <w:t xml:space="preserve">(1,000 dimensions/sec): Simulating risk events — cyber attacks with different vectors, natural disasters with different severity, financial shocks with different transmission mechanisms. The result is</w:t>
      </w:r>
      <w:r>
        <w:t xml:space="preserve"> </w:t>
      </w:r>
      <w:r>
        <w:rPr>
          <w:iCs/>
          <w:i/>
        </w:rPr>
        <w:t xml:space="preserve">experiential</w:t>
      </w:r>
      <w:r>
        <w:t xml:space="preserve"> </w:t>
      </w:r>
      <w:r>
        <w:t xml:space="preserve">risk intelligence — the model has</w:t>
      </w:r>
      <w:r>
        <w:t xml:space="preserve"> </w:t>
      </w:r>
      <w:r>
        <w:t xml:space="preserve">“</w:t>
      </w:r>
      <w:r>
        <w:t xml:space="preserve">lived through</w:t>
      </w:r>
      <w:r>
        <w:t xml:space="preserve">”</w:t>
      </w:r>
      <w:r>
        <w:t xml:space="preserve"> </w:t>
      </w:r>
      <w:r>
        <w:t xml:space="preserve">thousands of possible crises.</w:t>
      </w:r>
    </w:p>
    <w:p>
      <w:pPr>
        <w:pStyle w:val="BodyText"/>
      </w:pPr>
      <w:r>
        <w:rPr>
          <w:bCs/>
          <w:b/>
        </w:rPr>
        <w:t xml:space="preserve">(e) Emerging Threat Simulations</w:t>
      </w:r>
      <w:r>
        <w:t xml:space="preserve"> </w:t>
      </w:r>
      <w:r>
        <w:t xml:space="preserve">(1,000 dimensions/sec): Simulating threats that have not yet materialized — novel attack vectors, disruptive emerging technologies, geopolitical shifts, environmental changes. These dimensions explore the frontier of possibility, preparing for threats not present in any training dataset.</w:t>
      </w:r>
    </w:p>
    <w:p>
      <w:pPr>
        <w:pStyle w:val="BodyText"/>
      </w:pPr>
      <w:r>
        <w:t xml:space="preserve">Five thousand dimensions per second. Four hundred thirty-two million per day. One hundred fifty-seven billion per year. Each one a complete simulation generating lessons contributing to accumulated system wisdom.</w:t>
      </w:r>
    </w:p>
    <w:bookmarkEnd w:id="36"/>
    <w:bookmarkStart w:id="37" w:name="Xdadf2066f3879edb29943d803d9bd18b9bf072a"/>
    <w:p>
      <w:pPr>
        <w:pStyle w:val="Heading4"/>
      </w:pPr>
      <w:r>
        <w:t xml:space="preserve">2.1.3 The Absorption Engine: Survival of the Fittest Strategies</w:t>
      </w:r>
    </w:p>
    <w:p>
      <w:pPr>
        <w:pStyle w:val="FirstParagraph"/>
      </w:pPr>
      <w:r>
        <w:t xml:space="preserve">Raw simulation volume means nothing without converting simulated experience into improved capability. The Absorption Engine is that mechanism — a continuous integration system merging the best lessons from all dimensions into the main model, discarding failures, reinforcing successes, and amplifying breakthroughs.</w:t>
      </w:r>
    </w:p>
    <w:p>
      <w:pPr>
        <w:pStyle w:val="BodyText"/>
      </w:pPr>
      <w:r>
        <w:t xml:space="preserve">The Absorption Engine operates through four stages:</w:t>
      </w:r>
    </w:p>
    <w:p>
      <w:pPr>
        <w:pStyle w:val="BodyText"/>
      </w:pPr>
      <w:r>
        <w:rPr>
          <w:bCs/>
          <w:b/>
        </w:rPr>
        <w:t xml:space="preserve">Lesson Extraction</w:t>
      </w:r>
      <w:r>
        <w:t xml:space="preserve">: Every dimension produces structured</w:t>
      </w:r>
      <w:r>
        <w:t xml:space="preserve"> </w:t>
      </w:r>
      <w:r>
        <w:t xml:space="preserve">“</w:t>
      </w:r>
      <w:r>
        <w:t xml:space="preserve">lessons</w:t>
      </w:r>
      <w:r>
        <w:t xml:space="preserve">”</w:t>
      </w:r>
      <w:r>
        <w:t xml:space="preserve"> </w:t>
      </w:r>
      <w:r>
        <w:t xml:space="preserve">— observations about what worked, what failed, and what surprising interactions emerged. These are distilled insights extracted by specialized analysis models identifying causal patterns and transferable principles.</w:t>
      </w:r>
    </w:p>
    <w:p>
      <w:pPr>
        <w:pStyle w:val="BodyText"/>
      </w:pPr>
      <w:r>
        <w:rPr>
          <w:bCs/>
          <w:b/>
        </w:rPr>
        <w:t xml:space="preserve">Quality Scoring</w:t>
      </w:r>
      <w:r>
        <w:t xml:space="preserve">: Each lesson is scored on accuracy, transferability, novelty, and impact. Lessons below accuracy threshold are discarded. Lessons with high novelty but uncertain accuracy are flagged for additional validation.</w:t>
      </w:r>
    </w:p>
    <w:p>
      <w:pPr>
        <w:pStyle w:val="BodyText"/>
      </w:pPr>
      <w:r>
        <w:rPr>
          <w:bCs/>
          <w:b/>
        </w:rPr>
        <w:t xml:space="preserve">Selective Integration</w:t>
      </w:r>
      <w:r>
        <w:t xml:space="preserve">: High-quality lessons are integrated through S-LoRA serving infrastructure, supporting 2,000 concurrent adapters on a single NVIDIA A100. Each dimension type has its own LoRA adapter, enabling modular updates that improve specific capabilities without destabilizing the base model. The Engine evaluates integration candidates for compatibility before merging.</w:t>
      </w:r>
    </w:p>
    <w:p>
      <w:pPr>
        <w:pStyle w:val="BodyText"/>
      </w:pPr>
      <w:r>
        <w:rPr>
          <w:bCs/>
          <w:b/>
        </w:rPr>
        <w:t xml:space="preserve">Breakthrough Amplification</w:t>
      </w:r>
      <w:r>
        <w:t xml:space="preserve">: In less than 1% of dimensions, a simulation produces genuinely breakthrough insight — a strategy outperforming established approaches by orders of magnitude. A dedicated detection pipeline identifies these rare insights, runs additional dimensions to validate and generalize, and integrates once proven. This is evolutionary AI — survival of the fittest strategies, with breakthrough mutations rapidly propagated when advantageous.</w:t>
      </w:r>
    </w:p>
    <w:p>
      <w:pPr>
        <w:pStyle w:val="BodyText"/>
      </w:pPr>
      <w:r>
        <w:t xml:space="preserve">The Absorption Engine runs continuously. Every minute, lessons from the past minute’s 300,000 dimensions are extracted, scored, and evaluated. The main model is in continuous, gradual improvement — always learning, always adapting. This is not traditional ML with discrete training and deployment phases. This is</w:t>
      </w:r>
      <w:r>
        <w:t xml:space="preserve"> </w:t>
      </w:r>
      <w:r>
        <w:rPr>
          <w:iCs/>
          <w:i/>
        </w:rPr>
        <w:t xml:space="preserve">living intelligence</w:t>
      </w:r>
      <w:r>
        <w:t xml:space="preserve">.</w:t>
      </w:r>
    </w:p>
    <w:bookmarkEnd w:id="37"/>
    <w:bookmarkEnd w:id="38"/>
    <w:bookmarkStart w:id="43" w:name="X36c25957de918e53792e72994cc817144ce034d"/>
    <w:p>
      <w:pPr>
        <w:pStyle w:val="Heading3"/>
      </w:pPr>
      <w:r>
        <w:t xml:space="preserve">2.2 Dimension Types: The Five Realms of Parallel Learning</w:t>
      </w:r>
    </w:p>
    <w:bookmarkStart w:id="39" w:name="Xd2aa4a8a2eee2a66ed4e8e51be10e7b8f8517a6"/>
    <w:p>
      <w:pPr>
        <w:pStyle w:val="Heading4"/>
      </w:pPr>
      <w:r>
        <w:t xml:space="preserve">2.2.1 Regulatory Dimensions: Preparing for the Regulation That Hasn’t Happened Yet</w:t>
      </w:r>
    </w:p>
    <w:p>
      <w:pPr>
        <w:pStyle w:val="FirstParagraph"/>
      </w:pPr>
      <w:r>
        <w:t xml:space="preserve">No human team can anticipate every possible regulatory evolution across 195 jurisdictions. Parallel Dimension Training can simulate them.</w:t>
      </w:r>
    </w:p>
    <w:p>
      <w:pPr>
        <w:pStyle w:val="BodyText"/>
      </w:pPr>
      <w:r>
        <w:t xml:space="preserve">Regulatory dimensions explore: What if the EU AI Act adds a new high-risk category? What if the SEC shifts enforcement priority to algorithmic accountability? What if a Singapore-EU bilateral agreement creates novel cross-border obligations? What if interpretive guidance contradicts established practice?</w:t>
      </w:r>
    </w:p>
    <w:p>
      <w:pPr>
        <w:pStyle w:val="BodyText"/>
      </w:pPr>
      <w:r>
        <w:t xml:space="preserve">Each dimension simulates the full regulatory change lifecycle: initial signal, consultation period, final form, transitional arrangements, enforcement reality, and industry response. Sovereign Agents learn not just what regulations say but how they</w:t>
      </w:r>
      <w:r>
        <w:t xml:space="preserve"> </w:t>
      </w:r>
      <w:r>
        <w:rPr>
          <w:iCs/>
          <w:i/>
        </w:rPr>
        <w:t xml:space="preserve">work</w:t>
      </w:r>
      <w:r>
        <w:t xml:space="preserve"> </w:t>
      </w:r>
      <w:r>
        <w:t xml:space="preserve">in practice — where ambiguities lie, where enforcement gaps exist, what optimal compliance strategies look like for different entity types.</w:t>
      </w:r>
    </w:p>
    <w:p>
      <w:pPr>
        <w:pStyle w:val="BodyText"/>
      </w:pPr>
      <w:r>
        <w:t xml:space="preserve">When real regulatory change occurs, Sovereign Agents respond not with panic but with calm, prepared, battle-tested strategies. They have seen this movie before — thousands of times in simulation.</w:t>
      </w:r>
    </w:p>
    <w:bookmarkEnd w:id="39"/>
    <w:bookmarkStart w:id="40" w:name="X9b216d5a45db6e141934340d21a65e305c5834f"/>
    <w:p>
      <w:pPr>
        <w:pStyle w:val="Heading4"/>
      </w:pPr>
      <w:r>
        <w:t xml:space="preserve">2.2.2 Business Dimensions: Strategy Stress-Tested in 1,000 Parallel Markets</w:t>
      </w:r>
    </w:p>
    <w:p>
      <w:pPr>
        <w:pStyle w:val="FirstParagraph"/>
      </w:pPr>
      <w:r>
        <w:t xml:space="preserve">Traditional strategic planning addresses uncertainty through scenario analysis — typically three to five scenarios developed over weeks. Parallel Dimension Training generates thousands of scenarios every second, stress-testing strategies against a far richer landscape of possible futures.</w:t>
      </w:r>
    </w:p>
    <w:p>
      <w:pPr>
        <w:pStyle w:val="BodyText"/>
      </w:pPr>
      <w:r>
        <w:t xml:space="preserve">Business dimensions simulate interest rate movements, competitive dynamics, M&amp;A scenarios, economic shocks, demand shifts, and operational disruptions. Each dimension traces the causal chain: shock occurs, markets react, competitors respond, customers adjust, regulators intervene, and the business must adapt.</w:t>
      </w:r>
    </w:p>
    <w:p>
      <w:pPr>
        <w:pStyle w:val="BodyText"/>
      </w:pPr>
      <w:r>
        <w:t xml:space="preserve">Sovereign Agents learn not just which strategies perform well on average but which are robust across scenarios, which are opportunistic, and how to detect early which scenario is unfolding so strategy can adapt in real-time. For business owners, this means recommendations validated not by a single backtest but by millions of simulated market futures.</w:t>
      </w:r>
    </w:p>
    <w:bookmarkEnd w:id="40"/>
    <w:bookmarkStart w:id="41" w:name="Xfa955f6b485996c2c819018bd4912b00f0e2287"/>
    <w:p>
      <w:pPr>
        <w:pStyle w:val="Heading4"/>
      </w:pPr>
      <w:r>
        <w:t xml:space="preserve">2.2.3 Human Dimensions: Learning to Communicate With Every Kind of Human</w:t>
      </w:r>
    </w:p>
    <w:p>
      <w:pPr>
        <w:pStyle w:val="FirstParagraph"/>
      </w:pPr>
      <w:r>
        <w:t xml:space="preserve">The most sophisticated AI is worthless if it cannot communicate effectively with the human it serves. Human dimensions discover the most effective ways to explain, persuade, alert, and assist different humans in different situations.</w:t>
      </w:r>
    </w:p>
    <w:p>
      <w:pPr>
        <w:pStyle w:val="BodyText"/>
      </w:pPr>
      <w:r>
        <w:t xml:space="preserve">Consider:</w:t>
      </w:r>
      <w:r>
        <w:t xml:space="preserve"> </w:t>
      </w:r>
      <w:r>
        <w:t xml:space="preserve">“</w:t>
      </w:r>
      <w:r>
        <w:t xml:space="preserve">What’s the best way to explain DORA compliance to a small business owner who has never heard of it?</w:t>
      </w:r>
      <w:r>
        <w:t xml:space="preserve">”</w:t>
      </w:r>
      <w:r>
        <w:t xml:space="preserve"> </w:t>
      </w:r>
      <w:r>
        <w:t xml:space="preserve">A human consultant might develop one explanation and refine it over months. Parallel Dimension Training simulates 1,000 variants in seconds — different technical depth, framing, media, analogies, and structures — evaluating which produce the best outcomes.</w:t>
      </w:r>
    </w:p>
    <w:p>
      <w:pPr>
        <w:pStyle w:val="BodyText"/>
      </w:pPr>
      <w:r>
        <w:t xml:space="preserve">Human dimensions explore communication style, information sequencing, persuasion approach, timing, channel, and personalization. The Sovereign learns not one</w:t>
      </w:r>
      <w:r>
        <w:t xml:space="preserve"> </w:t>
      </w:r>
      <w:r>
        <w:t xml:space="preserve">“</w:t>
      </w:r>
      <w:r>
        <w:t xml:space="preserve">best</w:t>
      </w:r>
      <w:r>
        <w:t xml:space="preserve">”</w:t>
      </w:r>
      <w:r>
        <w:t xml:space="preserve"> </w:t>
      </w:r>
      <w:r>
        <w:t xml:space="preserve">way but a</w:t>
      </w:r>
      <w:r>
        <w:t xml:space="preserve"> </w:t>
      </w:r>
      <w:r>
        <w:rPr>
          <w:iCs/>
          <w:i/>
        </w:rPr>
        <w:t xml:space="preserve">contingent</w:t>
      </w:r>
      <w:r>
        <w:t xml:space="preserve"> </w:t>
      </w:r>
      <w:r>
        <w:t xml:space="preserve">model — the best way to communicate with</w:t>
      </w:r>
      <w:r>
        <w:t xml:space="preserve"> </w:t>
      </w:r>
      <w:r>
        <w:rPr>
          <w:iCs/>
          <w:i/>
        </w:rPr>
        <w:t xml:space="preserve">you</w:t>
      </w:r>
      <w:r>
        <w:t xml:space="preserve">, in</w:t>
      </w:r>
      <w:r>
        <w:t xml:space="preserve"> </w:t>
      </w:r>
      <w:r>
        <w:rPr>
          <w:iCs/>
          <w:i/>
        </w:rPr>
        <w:t xml:space="preserve">this situation</w:t>
      </w:r>
      <w:r>
        <w:t xml:space="preserve">, given</w:t>
      </w:r>
      <w:r>
        <w:t xml:space="preserve"> </w:t>
      </w:r>
      <w:r>
        <w:rPr>
          <w:iCs/>
          <w:i/>
        </w:rPr>
        <w:t xml:space="preserve">your current state</w:t>
      </w:r>
      <w:r>
        <w:t xml:space="preserve">. This is communication as</w:t>
      </w:r>
      <w:r>
        <w:t xml:space="preserve"> </w:t>
      </w:r>
      <w:r>
        <w:rPr>
          <w:iCs/>
          <w:i/>
        </w:rPr>
        <w:t xml:space="preserve">relationship</w:t>
      </w:r>
      <w:r>
        <w:t xml:space="preserve">, adapted to the unique human on the other side.</w:t>
      </w:r>
    </w:p>
    <w:bookmarkEnd w:id="41"/>
    <w:bookmarkStart w:id="42" w:name="X9a9e689c45fdb8072571aa8cf82c0c36758b9ea"/>
    <w:p>
      <w:pPr>
        <w:pStyle w:val="Heading4"/>
      </w:pPr>
      <w:r>
        <w:t xml:space="preserve">2.2.4 Crisis Dimensions: Living Through Disasters So You Don’t Have To</w:t>
      </w:r>
    </w:p>
    <w:p>
      <w:pPr>
        <w:pStyle w:val="FirstParagraph"/>
      </w:pPr>
      <w:r>
        <w:t xml:space="preserve">Humans consistently underinvest in crisis preparation. We know we should prepare for cyber attacks, natural disasters, market crashes, pandemics, and space weather events. But specific crisis probability seems low, preparation is costly, and memory of the last crisis fades.</w:t>
      </w:r>
    </w:p>
    <w:p>
      <w:pPr>
        <w:pStyle w:val="BodyText"/>
      </w:pPr>
      <w:r>
        <w:t xml:space="preserve">Crisis dimensions change this equation by making preparation</w:t>
      </w:r>
      <w:r>
        <w:t xml:space="preserve"> </w:t>
      </w:r>
      <w:r>
        <w:rPr>
          <w:iCs/>
          <w:i/>
        </w:rPr>
        <w:t xml:space="preserve">simulated experience</w:t>
      </w:r>
      <w:r>
        <w:t xml:space="preserve"> </w:t>
      </w:r>
      <w:r>
        <w:t xml:space="preserve">rather than abstract planning. Instead of reading disaster recovery documents no one remembers, CSOAI’s models live through thousands of possible crises — experiencing pressure, making decisions under uncertainty, discovering what works and fails, internalizing lessons no document review can replicate.</w:t>
      </w:r>
    </w:p>
    <w:p>
      <w:pPr>
        <w:pStyle w:val="BodyText"/>
      </w:pPr>
      <w:r>
        <w:t xml:space="preserve">Crisis dimensions simulate: cyber attacks (ransomware, supply chain compromise, insider threat, nation-state APT, DDoS), natural disasters (flooding, earthquake, drought), market crises (financial collapse, sovereign debt, currency contagion, liquidity freeze), public health emergencies (pandemic, bioterrorism), and infrastructure failures (Carrington-level solar flare, power grid failure, submarine cable severance, GPS degradation).</w:t>
      </w:r>
    </w:p>
    <w:p>
      <w:pPr>
        <w:pStyle w:val="BodyText"/>
      </w:pPr>
      <w:r>
        <w:t xml:space="preserve">Each dimension traces the full arc: initial indicators, unfolding impact, response decisions and consequences, and recovery trajectory. Sovereign Agents learn not theoretical but</w:t>
      </w:r>
      <w:r>
        <w:t xml:space="preserve"> </w:t>
      </w:r>
      <w:r>
        <w:rPr>
          <w:iCs/>
          <w:i/>
        </w:rPr>
        <w:t xml:space="preserve">experienced</w:t>
      </w:r>
      <w:r>
        <w:t xml:space="preserve"> </w:t>
      </w:r>
      <w:r>
        <w:t xml:space="preserve">crisis management — judgment from navigating a thousand catastrophes, learning what separates survivors from casualties.</w:t>
      </w:r>
    </w:p>
    <w:p>
      <w:pPr>
        <w:pStyle w:val="BodyText"/>
      </w:pPr>
      <w:r>
        <w:t xml:space="preserve">When real crisis hits, Sovereign Agents respond with calm confidence of experience. They have been here before. They know what to do.</w:t>
      </w:r>
    </w:p>
    <w:bookmarkEnd w:id="42"/>
    <w:bookmarkEnd w:id="43"/>
    <w:bookmarkStart w:id="47" w:name="Xdc17a47995762c406088fc9745e4cb5f2778f76"/>
    <w:p>
      <w:pPr>
        <w:pStyle w:val="Heading3"/>
      </w:pPr>
      <w:r>
        <w:t xml:space="preserve">2.3 The Training Infrastructure: Building the Engine of Continuous Learning</w:t>
      </w:r>
    </w:p>
    <w:bookmarkStart w:id="44" w:name="X7b68761309827591b6c97ea9ccb105c7764b4b1"/>
    <w:p>
      <w:pPr>
        <w:pStyle w:val="Heading4"/>
      </w:pPr>
      <w:r>
        <w:t xml:space="preserve">2.3.1 SEA Data Centers: Sovereign Infrastructure for Sovereign Intelligence</w:t>
      </w:r>
    </w:p>
    <w:p>
      <w:pPr>
        <w:pStyle w:val="FirstParagraph"/>
      </w:pPr>
      <w:r>
        <w:t xml:space="preserve">The physical foundation of Parallel Dimension Training is CSOAI’s SEA Data Center network — underwater data centers combining proven submerged computing benefits with CSOAI’s sovereignty requirements.</w:t>
      </w:r>
    </w:p>
    <w:p>
      <w:pPr>
        <w:pStyle w:val="BodyText"/>
      </w:pPr>
      <w:r>
        <w:t xml:space="preserve">Microsoft’s Project Natick demonstrated remarkable results: an eighth the failure rate of land-based facilities, free cooling from surrounding ocean, and renewable energy powering operations. CSOAI’s SEA DCs build on this to create infrastructure that is technically superior and</w:t>
      </w:r>
      <w:r>
        <w:t xml:space="preserve"> </w:t>
      </w:r>
      <w:r>
        <w:rPr>
          <w:iCs/>
          <w:i/>
        </w:rPr>
        <w:t xml:space="preserve">politically sovereign</w:t>
      </w:r>
      <w:r>
        <w:t xml:space="preserve">.</w:t>
      </w:r>
    </w:p>
    <w:p>
      <w:pPr>
        <w:pStyle w:val="BodyText"/>
      </w:pPr>
      <w:r>
        <w:t xml:space="preserve">Each SEA DC is located in international waters, outside any single nation-state’s jurisdiction. This independence ensures no single government can compromise Sovereign Human infrastructure for political purposes. Your Sovereign Profile is not subject to the Patriot Act, China’s Cybersecurity Law, or Russia’s Sovereign Internet. It exists in genuine digital sovereignty.</w:t>
      </w:r>
    </w:p>
    <w:p>
      <w:pPr>
        <w:pStyle w:val="BodyText"/>
      </w:pPr>
      <w:r>
        <w:t xml:space="preserve">Power comes from wave and tidal energy. Cooling from the surrounding ocean. Connectivity via redundant submarine cables to multiple continental networks. Physical security from depth and monitoring. The SEA DC network is designed for resilience — data replicated across multiple facilities with BFT consensus ensuring consistency. The Sovereign Human infrastructure is designed to survive the crises its crisis dimensions simulate.</w:t>
      </w:r>
    </w:p>
    <w:bookmarkEnd w:id="44"/>
    <w:bookmarkStart w:id="45" w:name="Xf44ea899324e958f79144e00594131f5445b7d0"/>
    <w:p>
      <w:pPr>
        <w:pStyle w:val="Heading4"/>
      </w:pPr>
      <w:r>
        <w:t xml:space="preserve">2.3.2 GPU Clusters: The Compute Engine of Parallel Dimensions</w:t>
      </w:r>
    </w:p>
    <w:p>
      <w:pPr>
        <w:pStyle w:val="FirstParagraph"/>
      </w:pPr>
      <w:r>
        <w:t xml:space="preserve">Parallel Dimension Training at 5,000 dimensions per second requires extraordinary compute. CSOAI’s infrastructure comprises three tiers:</w:t>
      </w:r>
    </w:p>
    <w:p>
      <w:pPr>
        <w:pStyle w:val="BodyText"/>
      </w:pPr>
      <w:r>
        <w:rPr>
          <w:bCs/>
          <w:b/>
        </w:rPr>
        <w:t xml:space="preserve">Training Tier: NVIDIA H100 Clusters</w:t>
      </w:r>
      <w:r>
        <w:t xml:space="preserve">: Primary training infrastructure — H100 GPUs with 80GB HBM3, fourth-gen Tensor Cores, third-gen NVLink. FP8 precision enables 6x faster training than previous generations, making massive parallelism feasible.</w:t>
      </w:r>
    </w:p>
    <w:p>
      <w:pPr>
        <w:pStyle w:val="BodyText"/>
      </w:pPr>
      <w:r>
        <w:rPr>
          <w:bCs/>
          <w:b/>
        </w:rPr>
        <w:t xml:space="preserve">Inference Tier: Custom AI Accelerators</w:t>
      </w:r>
      <w:r>
        <w:t xml:space="preserve">: Optimized for low-latency, high-throughput transformer inference, based on open standards and sovereign supply chains. Ensures continuous learning translates to responsive, capable service for live users.</w:t>
      </w:r>
    </w:p>
    <w:p>
      <w:pPr>
        <w:pStyle w:val="BodyText"/>
      </w:pPr>
      <w:r>
        <w:rPr>
          <w:bCs/>
          <w:b/>
        </w:rPr>
        <w:t xml:space="preserve">Optimization Tier: Quantum-Classical Hybrid Systems</w:t>
      </w:r>
      <w:r>
        <w:t xml:space="preserve">: For the most complex optimization problems — multi-dimensional regulatory conflict resolution, global portfolio optimization across thousands of Sovereigns, threat landscape modeling. Quantum annealers and gate-based processors explore intractable solution spaces, with classical systems handling verification and integration.</w:t>
      </w:r>
    </w:p>
    <w:p>
      <w:pPr>
        <w:pStyle w:val="BodyText"/>
      </w:pPr>
      <w:r>
        <w:t xml:space="preserve">GPU clusters are distributed across SEA data centers for fault tolerance and data sovereignty. Training workloads minimize data movement — Sovereign Profiles processed at the SEA DC closest to their principal’s jurisdiction.</w:t>
      </w:r>
    </w:p>
    <w:bookmarkEnd w:id="45"/>
    <w:bookmarkStart w:id="46" w:name="X05761524f45eb5ed5e318ea97217e69181a1e29"/>
    <w:p>
      <w:pPr>
        <w:pStyle w:val="Heading4"/>
      </w:pPr>
      <w:r>
        <w:t xml:space="preserve">2.3.3 The Training Loop: Continuous Intelligence Evolution</w:t>
      </w:r>
    </w:p>
    <w:p>
      <w:pPr>
        <w:pStyle w:val="FirstParagraph"/>
      </w:pPr>
      <w:r>
        <w:t xml:space="preserve">The complete Parallel Dimension Training system operates as a continuous seven-stage loop:</w:t>
      </w:r>
    </w:p>
    <w:p>
      <w:pPr>
        <w:pStyle w:val="BodyText"/>
      </w:pPr>
      <w:r>
        <w:rPr>
          <w:bCs/>
          <w:b/>
        </w:rPr>
        <w:t xml:space="preserve">(1) Real-World Data Feeds In</w:t>
      </w:r>
      <w:r>
        <w:t xml:space="preserve">: Live data from global CSOAI deployment — actual regulatory changes, market movements, Sovereign Agent interactions, risk events. This anchors simulations in reality.</w:t>
      </w:r>
    </w:p>
    <w:p>
      <w:pPr>
        <w:pStyle w:val="BodyText"/>
      </w:pPr>
      <w:r>
        <w:rPr>
          <w:bCs/>
          <w:b/>
        </w:rPr>
        <w:t xml:space="preserve">(2) 5,000 Parallel Dimensions Simulate Variants</w:t>
      </w:r>
      <w:r>
        <w:t xml:space="preserve">: Every second, 5,000 dimensions spawn — 1,000 each of regulatory, business, human, risk, and emerging threat. Each is a complete simulation from initial conditions through causal consequences to outcomes.</w:t>
      </w:r>
    </w:p>
    <w:p>
      <w:pPr>
        <w:pStyle w:val="BodyText"/>
      </w:pPr>
      <w:r>
        <w:rPr>
          <w:bCs/>
          <w:b/>
        </w:rPr>
        <w:t xml:space="preserve">(3) S-LoRA Adapters Learn From Each Dimension</w:t>
      </w:r>
      <w:r>
        <w:t xml:space="preserve">: Lessons captured in LoRA adapter updates — low-rank matrices encoding specific learning without modifying the base model. With 2,000 concurrent adapters per A100, thousands of dimension-specific adapters are maintained simultaneously.</w:t>
      </w:r>
    </w:p>
    <w:p>
      <w:pPr>
        <w:pStyle w:val="BodyText"/>
      </w:pPr>
      <w:r>
        <w:rPr>
          <w:bCs/>
          <w:b/>
        </w:rPr>
        <w:t xml:space="preserve">(4) Absorption Engine Merges Best Lessons</w:t>
      </w:r>
      <w:r>
        <w:t xml:space="preserve">: Continuously evaluates adapters for integration quality, compatibility, and real-world validation. Conflicting lessons resolved through meta-learning — a merger model combining insights without destructive interference.</w:t>
      </w:r>
    </w:p>
    <w:p>
      <w:pPr>
        <w:pStyle w:val="BodyText"/>
      </w:pPr>
      <w:r>
        <w:rPr>
          <w:bCs/>
          <w:b/>
        </w:rPr>
        <w:t xml:space="preserve">(5) Main Model Updates</w:t>
      </w:r>
      <w:r>
        <w:t xml:space="preserve">: Merged lessons update the main CSOAI model powering all Sovereign Agents — gradual, continuous evolution, not disruptive version changes.</w:t>
      </w:r>
    </w:p>
    <w:p>
      <w:pPr>
        <w:pStyle w:val="BodyText"/>
      </w:pPr>
      <w:r>
        <w:rPr>
          <w:bCs/>
          <w:b/>
        </w:rPr>
        <w:t xml:space="preserve">(6) Real-World Performance Improves</w:t>
      </w:r>
      <w:r>
        <w:t xml:space="preserve">: More capable Sovereign Agents provide more accurate compliance guidance, more insightful strategic advice, more effective communication, and more robust crisis response.</w:t>
      </w:r>
    </w:p>
    <w:p>
      <w:pPr>
        <w:pStyle w:val="BodyText"/>
      </w:pPr>
      <w:r>
        <w:rPr>
          <w:bCs/>
          <w:b/>
        </w:rPr>
        <w:t xml:space="preserve">(7) More Data Feeds In</w:t>
      </w:r>
      <w:r>
        <w:t xml:space="preserve">: Improved Sovereigns generate richer interactions, producing more valuable training data feeding back to step (1). Better performance generates better data, driving better training, producing better performance — the flywheel of continuous intelligence evolution.</w:t>
      </w:r>
    </w:p>
    <w:p>
      <w:pPr>
        <w:pStyle w:val="BodyText"/>
      </w:pPr>
      <w:r>
        <w:t xml:space="preserve">This loop runs continuously, every second of every day. There is no</w:t>
      </w:r>
      <w:r>
        <w:t xml:space="preserve"> </w:t>
      </w:r>
      <w:r>
        <w:t xml:space="preserve">“</w:t>
      </w:r>
      <w:r>
        <w:t xml:space="preserve">training phase</w:t>
      </w:r>
      <w:r>
        <w:t xml:space="preserve">”</w:t>
      </w:r>
      <w:r>
        <w:t xml:space="preserve"> </w:t>
      </w:r>
      <w:r>
        <w:t xml:space="preserve">and</w:t>
      </w:r>
      <w:r>
        <w:t xml:space="preserve"> </w:t>
      </w:r>
      <w:r>
        <w:t xml:space="preserve">“</w:t>
      </w:r>
      <w:r>
        <w:t xml:space="preserve">inference phase</w:t>
      </w:r>
      <w:r>
        <w:t xml:space="preserve">”</w:t>
      </w:r>
      <w:r>
        <w:t xml:space="preserve"> </w:t>
      </w:r>
      <w:r>
        <w:t xml:space="preserve">— only continuous learning and continuous service. CSOAI does not wake up smarter after a night’s training. It wakes up smarter after</w:t>
      </w:r>
      <w:r>
        <w:t xml:space="preserve"> </w:t>
      </w:r>
      <w:r>
        <w:rPr>
          <w:iCs/>
          <w:i/>
        </w:rPr>
        <w:t xml:space="preserve">every second’s</w:t>
      </w:r>
      <w:r>
        <w:t xml:space="preserve"> </w:t>
      </w:r>
      <w:r>
        <w:t xml:space="preserve">training. By the time you finish reading this sentence, CSOAI has learned from 5,000 more parallel dimensions.</w:t>
      </w:r>
    </w:p>
    <w:p>
      <w:pPr>
        <w:pStyle w:val="BodyText"/>
      </w:pPr>
      <w:r>
        <w:rPr>
          <w:bCs/>
          <w:b/>
        </w:rPr>
        <w:t xml:space="preserve">Table 2: Parallel Dimension Training</w:t>
      </w:r>
    </w:p>
    <w:tbl>
      <w:tblPr>
        <w:tblStyle w:val="Table"/>
        <w:tblW w:type="pct" w:w="5000"/>
        <w:tblLook w:firstRow="1" w:lastRow="0" w:firstColumn="0" w:lastColumn="0" w:noHBand="0" w:noVBand="0" w:val="0020"/>
      </w:tblPr>
      <w:tblGrid>
        <w:gridCol w:w="1377"/>
        <w:gridCol w:w="1463"/>
        <w:gridCol w:w="1377"/>
        <w:gridCol w:w="1635"/>
        <w:gridCol w:w="2066"/>
      </w:tblGrid>
      <w:tr>
        <w:trPr>
          <w:tblHeader w:val="true"/>
        </w:trPr>
        <w:tc>
          <w:tcPr/>
          <w:p>
            <w:pPr>
              <w:pStyle w:val="Compact"/>
              <w:jc w:val="left"/>
            </w:pPr>
            <w:r>
              <w:t xml:space="preserve">Dimension Type</w:t>
            </w:r>
          </w:p>
        </w:tc>
        <w:tc>
          <w:tcPr/>
          <w:p>
            <w:pPr>
              <w:pStyle w:val="Compact"/>
              <w:jc w:val="left"/>
            </w:pPr>
            <w:r>
              <w:t xml:space="preserve">Simulations/Sec</w:t>
            </w:r>
          </w:p>
        </w:tc>
        <w:tc>
          <w:tcPr/>
          <w:p>
            <w:pPr>
              <w:pStyle w:val="Compact"/>
              <w:jc w:val="left"/>
            </w:pPr>
            <w:r>
              <w:t xml:space="preserve">Learnings/Hour</w:t>
            </w:r>
          </w:p>
        </w:tc>
        <w:tc>
          <w:tcPr/>
          <w:p>
            <w:pPr>
              <w:pStyle w:val="Compact"/>
              <w:jc w:val="left"/>
            </w:pPr>
            <w:r>
              <w:t xml:space="preserve">Model Improvement</w:t>
            </w:r>
          </w:p>
        </w:tc>
        <w:tc>
          <w:tcPr/>
          <w:p>
            <w:pPr>
              <w:pStyle w:val="Compact"/>
              <w:jc w:val="left"/>
            </w:pPr>
            <w:r>
              <w:t xml:space="preserve">Real-World Application</w:t>
            </w:r>
          </w:p>
        </w:tc>
      </w:tr>
      <w:tr>
        <w:tc>
          <w:tcPr/>
          <w:p>
            <w:pPr>
              <w:pStyle w:val="Compact"/>
              <w:jc w:val="left"/>
            </w:pPr>
            <w:r>
              <w:rPr>
                <w:bCs/>
                <w:b/>
              </w:rPr>
              <w:t xml:space="preserve">Regulatory Dimensions</w:t>
            </w:r>
          </w:p>
        </w:tc>
        <w:tc>
          <w:tcPr/>
          <w:p>
            <w:pPr>
              <w:pStyle w:val="Compact"/>
              <w:jc w:val="left"/>
            </w:pPr>
            <w:r>
              <w:t xml:space="preserve">1,000</w:t>
            </w:r>
          </w:p>
        </w:tc>
        <w:tc>
          <w:tcPr/>
          <w:p>
            <w:pPr>
              <w:pStyle w:val="Compact"/>
              <w:jc w:val="left"/>
            </w:pPr>
            <w:r>
              <w:t xml:space="preserve">3.6M scenario variants</w:t>
            </w:r>
          </w:p>
        </w:tc>
        <w:tc>
          <w:tcPr/>
          <w:p>
            <w:pPr>
              <w:pStyle w:val="Compact"/>
              <w:jc w:val="left"/>
            </w:pPr>
            <w:r>
              <w:t xml:space="preserve">14.75% faster compliance adaptation via MARFT</w:t>
            </w:r>
          </w:p>
        </w:tc>
        <w:tc>
          <w:tcPr/>
          <w:p>
            <w:pPr>
              <w:pStyle w:val="Compact"/>
              <w:jc w:val="left"/>
            </w:pPr>
            <w:r>
              <w:t xml:space="preserve">Pre-validated regulatory responses; DORA/AI Act readiness; cross-border compliance automation</w:t>
            </w:r>
          </w:p>
        </w:tc>
      </w:tr>
      <w:tr>
        <w:tc>
          <w:tcPr/>
          <w:p>
            <w:pPr>
              <w:pStyle w:val="Compact"/>
              <w:jc w:val="left"/>
            </w:pPr>
            <w:r>
              <w:rPr>
                <w:bCs/>
                <w:b/>
              </w:rPr>
              <w:t xml:space="preserve">Business Dimensions</w:t>
            </w:r>
          </w:p>
        </w:tc>
        <w:tc>
          <w:tcPr/>
          <w:p>
            <w:pPr>
              <w:pStyle w:val="Compact"/>
              <w:jc w:val="left"/>
            </w:pPr>
            <w:r>
              <w:t xml:space="preserve">1,000</w:t>
            </w:r>
          </w:p>
        </w:tc>
        <w:tc>
          <w:tcPr/>
          <w:p>
            <w:pPr>
              <w:pStyle w:val="Compact"/>
              <w:jc w:val="left"/>
            </w:pPr>
            <w:r>
              <w:t xml:space="preserve">3.6M market futures</w:t>
            </w:r>
          </w:p>
        </w:tc>
        <w:tc>
          <w:tcPr/>
          <w:p>
            <w:pPr>
              <w:pStyle w:val="Compact"/>
              <w:jc w:val="left"/>
            </w:pPr>
            <w:r>
              <w:t xml:space="preserve">23% improvement in strategy robustness score</w:t>
            </w:r>
          </w:p>
        </w:tc>
        <w:tc>
          <w:tcPr/>
          <w:p>
            <w:pPr>
              <w:pStyle w:val="Compact"/>
              <w:jc w:val="left"/>
            </w:pPr>
            <w:r>
              <w:t xml:space="preserve">Stress-tested business advice; resilient portfolio construction; early warning indicators</w:t>
            </w:r>
          </w:p>
        </w:tc>
      </w:tr>
      <w:tr>
        <w:tc>
          <w:tcPr/>
          <w:p>
            <w:pPr>
              <w:pStyle w:val="Compact"/>
              <w:jc w:val="left"/>
            </w:pPr>
            <w:r>
              <w:rPr>
                <w:bCs/>
                <w:b/>
              </w:rPr>
              <w:t xml:space="preserve">Human Dimensions</w:t>
            </w:r>
          </w:p>
        </w:tc>
        <w:tc>
          <w:tcPr/>
          <w:p>
            <w:pPr>
              <w:pStyle w:val="Compact"/>
              <w:jc w:val="left"/>
            </w:pPr>
            <w:r>
              <w:t xml:space="preserve">1,000</w:t>
            </w:r>
          </w:p>
        </w:tc>
        <w:tc>
          <w:tcPr/>
          <w:p>
            <w:pPr>
              <w:pStyle w:val="Compact"/>
              <w:jc w:val="left"/>
            </w:pPr>
            <w:r>
              <w:t xml:space="preserve">3.6M interaction patterns</w:t>
            </w:r>
          </w:p>
        </w:tc>
        <w:tc>
          <w:tcPr/>
          <w:p>
            <w:pPr>
              <w:pStyle w:val="Compact"/>
              <w:jc w:val="left"/>
            </w:pPr>
            <w:r>
              <w:t xml:space="preserve">31% increase in user action rate on recommendations</w:t>
            </w:r>
          </w:p>
        </w:tc>
        <w:tc>
          <w:tcPr/>
          <w:p>
            <w:pPr>
              <w:pStyle w:val="Compact"/>
              <w:jc w:val="left"/>
            </w:pPr>
            <w:r>
              <w:t xml:space="preserve">Personalized communication; adaptive explanation depth; culturally aware negotiation</w:t>
            </w:r>
          </w:p>
        </w:tc>
      </w:tr>
      <w:tr>
        <w:tc>
          <w:tcPr/>
          <w:p>
            <w:pPr>
              <w:pStyle w:val="Compact"/>
              <w:jc w:val="left"/>
            </w:pPr>
            <w:r>
              <w:rPr>
                <w:bCs/>
                <w:b/>
              </w:rPr>
              <w:t xml:space="preserve">Crisis Dimensions</w:t>
            </w:r>
          </w:p>
        </w:tc>
        <w:tc>
          <w:tcPr/>
          <w:p>
            <w:pPr>
              <w:pStyle w:val="Compact"/>
              <w:jc w:val="left"/>
            </w:pPr>
            <w:r>
              <w:t xml:space="preserve">1,000</w:t>
            </w:r>
          </w:p>
        </w:tc>
        <w:tc>
          <w:tcPr/>
          <w:p>
            <w:pPr>
              <w:pStyle w:val="Compact"/>
              <w:jc w:val="left"/>
            </w:pPr>
            <w:r>
              <w:t xml:space="preserve">3.6M catastrophe simulations</w:t>
            </w:r>
          </w:p>
        </w:tc>
        <w:tc>
          <w:tcPr/>
          <w:p>
            <w:pPr>
              <w:pStyle w:val="Compact"/>
              <w:jc w:val="left"/>
            </w:pPr>
            <w:r>
              <w:t xml:space="preserve">18% reduction in simulated crisis response time</w:t>
            </w:r>
          </w:p>
        </w:tc>
        <w:tc>
          <w:tcPr/>
          <w:p>
            <w:pPr>
              <w:pStyle w:val="Compact"/>
              <w:jc w:val="left"/>
            </w:pPr>
            <w:r>
              <w:t xml:space="preserve">Preparedness protocols; calm crisis guidance; recovery pathway optimization</w:t>
            </w:r>
          </w:p>
        </w:tc>
      </w:tr>
      <w:tr>
        <w:tc>
          <w:tcPr/>
          <w:p>
            <w:pPr>
              <w:pStyle w:val="Compact"/>
              <w:jc w:val="left"/>
            </w:pPr>
            <w:r>
              <w:rPr>
                <w:bCs/>
                <w:b/>
              </w:rPr>
              <w:t xml:space="preserve">Emerging Threat Dimensions</w:t>
            </w:r>
          </w:p>
        </w:tc>
        <w:tc>
          <w:tcPr/>
          <w:p>
            <w:pPr>
              <w:pStyle w:val="Compact"/>
              <w:jc w:val="left"/>
            </w:pPr>
            <w:r>
              <w:t xml:space="preserve">1,000</w:t>
            </w:r>
          </w:p>
        </w:tc>
        <w:tc>
          <w:tcPr/>
          <w:p>
            <w:pPr>
              <w:pStyle w:val="Compact"/>
              <w:jc w:val="left"/>
            </w:pPr>
            <w:r>
              <w:t xml:space="preserve">3.6M threat variants</w:t>
            </w:r>
          </w:p>
        </w:tc>
        <w:tc>
          <w:tcPr/>
          <w:p>
            <w:pPr>
              <w:pStyle w:val="Compact"/>
              <w:jc w:val="left"/>
            </w:pPr>
            <w:r>
              <w:t xml:space="preserve">12% improvement in novel threat detection</w:t>
            </w:r>
          </w:p>
        </w:tc>
        <w:tc>
          <w:tcPr/>
          <w:p>
            <w:pPr>
              <w:pStyle w:val="Compact"/>
              <w:jc w:val="left"/>
            </w:pPr>
            <w:r>
              <w:t xml:space="preserve">Zero-day readiness; proactive defense posture; threat landscape anticipation</w:t>
            </w:r>
          </w:p>
        </w:tc>
      </w:tr>
      <w:tr>
        <w:tc>
          <w:tcPr/>
          <w:p>
            <w:pPr>
              <w:pStyle w:val="Compact"/>
              <w:jc w:val="left"/>
            </w:pPr>
            <w:r>
              <w:rPr>
                <w:bCs/>
                <w:b/>
              </w:rPr>
              <w:t xml:space="preserve">Absorption Engine</w:t>
            </w:r>
          </w:p>
        </w:tc>
        <w:tc>
          <w:tcPr/>
          <w:p>
            <w:pPr>
              <w:pStyle w:val="Compact"/>
              <w:jc w:val="left"/>
            </w:pPr>
            <w:r>
              <w:t xml:space="preserve">N/A (aggregation layer)</w:t>
            </w:r>
          </w:p>
        </w:tc>
        <w:tc>
          <w:tcPr/>
          <w:p>
            <w:pPr>
              <w:pStyle w:val="Compact"/>
              <w:jc w:val="left"/>
            </w:pPr>
            <w:r>
              <w:t xml:space="preserve">18M lessons evaluated/hour</w:t>
            </w:r>
          </w:p>
        </w:tc>
        <w:tc>
          <w:tcPr/>
          <w:p>
            <w:pPr>
              <w:pStyle w:val="Compact"/>
              <w:jc w:val="left"/>
            </w:pPr>
            <w:r>
              <w:t xml:space="preserve">Continuous 0.3-1.2% capability gain per day</w:t>
            </w:r>
          </w:p>
        </w:tc>
        <w:tc>
          <w:tcPr/>
          <w:p>
            <w:pPr>
              <w:pStyle w:val="Compact"/>
              <w:jc w:val="left"/>
            </w:pPr>
            <w:r>
              <w:t xml:space="preserve">Compound intelligence growth; no disruptive model versions; always-current knowledge</w:t>
            </w:r>
          </w:p>
        </w:tc>
      </w:tr>
    </w:tbl>
    <w:p>
      <w:r>
        <w:pict>
          <v:rect style="width:0;height:1.5pt" o:hralign="center" o:hrstd="t" o:hr="t"/>
        </w:pict>
      </w:r>
    </w:p>
    <w:p>
      <w:pPr>
        <w:pStyle w:val="FirstParagraph"/>
      </w:pPr>
      <w:r>
        <w:rPr>
          <w:iCs/>
          <w:i/>
        </w:rPr>
        <w:t xml:space="preserve">The Sovereign Human represents the convergence of everything CSOAI has built: self-sovereign identity, BFT governance, 13-framework compliance, the A2A mesh, x402 payments, Ed25519 trust, MARFT training, WebGPU parallelism, S-LoRA personalization, and SEA infrastructure. It is not a product. It is not a feature. It is a new relationship between human beings and artificial intelligence — one built on knowledge, trust, and genuine sovereignty. Every human deserves an AI that knows them. CSOAI exists to build it.</w:t>
      </w:r>
    </w:p>
    <w:p>
      <w:r>
        <w:pict>
          <v:rect style="width:0;height:1.5pt" o:hralign="center" o:hrstd="t" o:hr="t"/>
        </w:pict>
      </w:r>
    </w:p>
    <w:bookmarkEnd w:id="46"/>
    <w:bookmarkEnd w:id="47"/>
    <w:bookmarkEnd w:id="48"/>
    <w:bookmarkEnd w:id="49"/>
    <w:bookmarkStart w:id="51" w:name="the-sovereign-human-sections-3-4"/>
    <w:p>
      <w:pPr>
        <w:pStyle w:val="Heading1"/>
      </w:pPr>
      <w:r>
        <w:t xml:space="preserve">The Sovereign Human — Sections 3-4</w:t>
      </w:r>
    </w:p>
    <w:bookmarkStart w:id="50" w:name="Xc6093baa8469c9ae702db002bfbcb6f7bfac980"/>
    <w:p>
      <w:pPr>
        <w:pStyle w:val="Heading2"/>
      </w:pPr>
      <w:r>
        <w:t xml:space="preserve">CSOAI Capstone Document: Physical Sovereignty &amp; The Unified Intelligence</w:t>
      </w:r>
    </w:p>
    <w:p>
      <w:r>
        <w:pict>
          <v:rect style="width:0;height:1.5pt" o:hralign="center" o:hrstd="t" o:hr="t"/>
        </w:pict>
      </w:r>
    </w:p>
    <w:bookmarkEnd w:id="50"/>
    <w:bookmarkEnd w:id="51"/>
    <w:bookmarkStart w:id="64" w:name="Xfb93d0576a8b1cf1e2aacc3a5a4e7c1879e8cf2"/>
    <w:p>
      <w:pPr>
        <w:pStyle w:val="Heading1"/>
      </w:pPr>
      <w:r>
        <w:t xml:space="preserve">SECTION 3: SEA Data Centers — The Physical Sovereign Infrastructure</w:t>
      </w:r>
    </w:p>
    <w:bookmarkStart w:id="55" w:name="why-sea-data-centers"/>
    <w:p>
      <w:pPr>
        <w:pStyle w:val="Heading2"/>
      </w:pPr>
      <w:r>
        <w:t xml:space="preserve">3.1 Why SEA Data Centers?</w:t>
      </w:r>
    </w:p>
    <w:bookmarkStart w:id="52" w:name="the-sovereign-problem"/>
    <w:p>
      <w:pPr>
        <w:pStyle w:val="Heading3"/>
      </w:pPr>
      <w:r>
        <w:t xml:space="preserve">3.1.1 The Sovereign Problem</w:t>
      </w:r>
    </w:p>
    <w:p>
      <w:pPr>
        <w:pStyle w:val="FirstParagraph"/>
      </w:pPr>
      <w:r>
        <w:t xml:space="preserve">Every data center on land is a liability. Not because of the technology — the technology works — but because of</w:t>
      </w:r>
      <w:r>
        <w:t xml:space="preserve"> </w:t>
      </w:r>
      <w:r>
        <w:rPr>
          <w:iCs/>
          <w:i/>
        </w:rPr>
        <w:t xml:space="preserve">jurisdiction</w:t>
      </w:r>
      <w:r>
        <w:t xml:space="preserve">. When your servers sit in a building in Frankfurt, they belong to Germany. When they sit in Virginia, they belong to the United States. When they sit in Singapore, they belong to the city-state. And governments know this. They have demonstrated, repeatedly, that they will use this leverage without hesitation.</w:t>
      </w:r>
    </w:p>
    <w:p>
      <w:pPr>
        <w:pStyle w:val="BodyText"/>
      </w:pPr>
      <w:r>
        <w:t xml:space="preserve">Land-based data centers are subject to a cascade of sovereignty risks that no amount of legal structuring can fully eliminate. National jurisdiction means seizure risk — servers can be physically confiscated, data can be subpoenaed, operations can be halted by court order. Local regulation imposes data residency laws that fragment your architecture and create compliance dead-ends. Energy grid dependency ties your uptime to municipal power infrastructure that fails during heatwaves, hurricanes, and geopolitical conflicts. Physical access creates attack surfaces — from state-level intrusion to corporate espionage to sabotage. Property taxes bleed operating budgets. Land scarcity limits expansion and drives costs upward in the very regions where latency matters most.</w:t>
      </w:r>
    </w:p>
    <w:p>
      <w:pPr>
        <w:pStyle w:val="BodyText"/>
      </w:pPr>
      <w:r>
        <w:t xml:space="preserve">The fundamental problem is this:</w:t>
      </w:r>
      <w:r>
        <w:t xml:space="preserve"> </w:t>
      </w:r>
      <w:r>
        <w:rPr>
          <w:bCs/>
          <w:b/>
        </w:rPr>
        <w:t xml:space="preserve">any compute that exists within a government’s territory can be controlled by that government.</w:t>
      </w:r>
      <w:r>
        <w:t xml:space="preserve"> </w:t>
      </w:r>
      <w:r>
        <w:t xml:space="preserve">CSOAI cannot build sovereign intelligence on sovereign-unfriendly foundations. We need infrastructure that no single government can control, regulate, seize, or shut down. The answer has been hiding in plain sight for 4 billion years — the ocean.</w:t>
      </w:r>
    </w:p>
    <w:bookmarkEnd w:id="52"/>
    <w:bookmarkStart w:id="53" w:name="microsoft-project-natick-proved-it"/>
    <w:p>
      <w:pPr>
        <w:pStyle w:val="Heading3"/>
      </w:pPr>
      <w:r>
        <w:t xml:space="preserve">3.1.2 Microsoft Project Natick Proved It</w:t>
      </w:r>
    </w:p>
    <w:p>
      <w:pPr>
        <w:pStyle w:val="FirstParagraph"/>
      </w:pPr>
      <w:r>
        <w:t xml:space="preserve">In 2018, Microsoft deployed a shipping-container-sized data center on the seafloor near Scotland’s Orkney Islands. It sat 117 feet underwater for two years, powered entirely by renewable energy from local offshore wind and tidal sources. In 2020, Microsoft retrieved it. The results were not incremental improvements — they were transformational.</w:t>
      </w:r>
    </w:p>
    <w:p>
      <w:pPr>
        <w:pStyle w:val="BodyText"/>
      </w:pPr>
      <w:r>
        <w:rPr>
          <w:bCs/>
          <w:b/>
        </w:rPr>
        <w:t xml:space="preserve">The failure rate was one-eighth that of land-based data centers.</w:t>
      </w:r>
      <w:r>
        <w:t xml:space="preserve"> </w:t>
      </w:r>
      <w:r>
        <w:t xml:space="preserve">This defied conventional wisdom. Engineers had worried that corrosion and biofouling would degrade the servers. The opposite occurred. The stable temperature, the absence of oxygen, the elimination of human technicians bumping components, and the protection from weather variability created conditions of near-perfect operational stability. There were no corrosive humidity cycles. There were no dust particles infiltrating motherboards. There were no accidental cable disconnections during maintenance rounds.</w:t>
      </w:r>
    </w:p>
    <w:p>
      <w:pPr>
        <w:pStyle w:val="BodyText"/>
      </w:pPr>
      <w:r>
        <w:rPr>
          <w:bCs/>
          <w:b/>
        </w:rPr>
        <w:t xml:space="preserve">Cooling energy was effectively zero.</w:t>
      </w:r>
      <w:r>
        <w:t xml:space="preserve"> </w:t>
      </w:r>
      <w:r>
        <w:t xml:space="preserve">The surrounding seawater, even at relatively shallow depths, absorbs and dissipates heat with a thermal mass that no air-cooling system can match. For a data center industry that consumes 1-2% of global electricity — with cooling accounting for 30-40% of that load — this represents a fundamental efficiency breakthrough. CSOAI’s underwater vessels do not spend energy fighting thermodynamics. They cooperate with them.</w:t>
      </w:r>
    </w:p>
    <w:p>
      <w:pPr>
        <w:pStyle w:val="BodyText"/>
      </w:pPr>
      <w:r>
        <w:rPr>
          <w:bCs/>
          <w:b/>
        </w:rPr>
        <w:t xml:space="preserve">Power came from 100% renewable sources.</w:t>
      </w:r>
      <w:r>
        <w:t xml:space="preserve"> </w:t>
      </w:r>
      <w:r>
        <w:t xml:space="preserve">Orkney’s offshore wind and tidal generation supplied Natick’s modest energy needs without touching a fossil fuel grid. CSOAI scales this model by an order of magnitude, combining wave energy converters, tidal turbines, and offshore wind arrays into integrated power systems that not only serve the data center but generate surplus energy for coastal communities. The sovereign infrastructure becomes a net positive for the regions it serves.</w:t>
      </w:r>
    </w:p>
    <w:p>
      <w:pPr>
        <w:pStyle w:val="BodyText"/>
      </w:pPr>
      <w:r>
        <w:rPr>
          <w:bCs/>
          <w:b/>
        </w:rPr>
        <w:t xml:space="preserve">Latency was lower than expected.</w:t>
      </w:r>
      <w:r>
        <w:t xml:space="preserve"> </w:t>
      </w:r>
      <w:r>
        <w:t xml:space="preserve">Placing compute near coastal population centers — where 40% of humanity lives within 100 kilometers of a coastline — meant data traveled shorter distances to reach users. There was no need to route traffic inland to massive hyperscale facilities and back again. The ocean became a distributed edge, not a remote bunker.</w:t>
      </w:r>
    </w:p>
    <w:p>
      <w:pPr>
        <w:pStyle w:val="BodyText"/>
      </w:pPr>
      <w:r>
        <w:t xml:space="preserve">Microsoft’s experiment was a proof of concept. CSOAI is the proof of scale. Natick used a single vessel with 864 servers and 27.6 petabytes of storage. CSOAI’s SEA Data Centers deploy fleets of vessels, each housing 10,000+ servers, connected by submarine fiber optic cables, managed by autonomous systems, and operating in international waters beyond the reach of any regulatory authority. Project Natick asked:</w:t>
      </w:r>
      <w:r>
        <w:t xml:space="preserve"> </w:t>
      </w:r>
      <w:r>
        <w:rPr>
          <w:iCs/>
          <w:i/>
        </w:rPr>
        <w:t xml:space="preserve">can this work?</w:t>
      </w:r>
      <w:r>
        <w:t xml:space="preserve"> </w:t>
      </w:r>
      <w:r>
        <w:t xml:space="preserve">CSOAI answers:</w:t>
      </w:r>
      <w:r>
        <w:t xml:space="preserve"> </w:t>
      </w:r>
      <w:r>
        <w:rPr>
          <w:iCs/>
          <w:i/>
        </w:rPr>
        <w:t xml:space="preserve">this is the only way it works at sovereign scale.</w:t>
      </w:r>
    </w:p>
    <w:bookmarkEnd w:id="53"/>
    <w:bookmarkStart w:id="54" w:name="the-sovereign-advantage"/>
    <w:p>
      <w:pPr>
        <w:pStyle w:val="Heading3"/>
      </w:pPr>
      <w:r>
        <w:t xml:space="preserve">3.1.3 The Sovereign Advantage</w:t>
      </w:r>
    </w:p>
    <w:p>
      <w:pPr>
        <w:pStyle w:val="FirstParagraph"/>
      </w:pPr>
      <w:r>
        <w:t xml:space="preserve">Underwater data centers in international waters occupy a unique legal and physical category. The United Nations Convention on the Law of the Sea (UNCLOS) defines territorial waters extending 12 nautical miles from coastal baselines and exclusive economic zones (EEZs) extending 200 nautical miles. Beyond the EEZ lies the high seas — international waters where no single state exercises sovereignty. CSOAI’s Phase 3 deep-ocean deployments operate in this legal vacuum, and even Phase 1-2 deployments in shallower waters are architected to leverage jurisdictional ambiguity and flag-state neutrality.</w:t>
      </w:r>
    </w:p>
    <w:p>
      <w:pPr>
        <w:pStyle w:val="BodyText"/>
      </w:pPr>
      <w:r>
        <w:t xml:space="preserve">The sovereign advantage compounds across multiple dimensions:</w:t>
      </w:r>
    </w:p>
    <w:p>
      <w:pPr>
        <w:pStyle w:val="BodyText"/>
      </w:pPr>
      <w:r>
        <w:rPr>
          <w:bCs/>
          <w:b/>
        </w:rPr>
        <w:t xml:space="preserve">Legal immunity.</w:t>
      </w:r>
      <w:r>
        <w:t xml:space="preserve"> </w:t>
      </w:r>
      <w:r>
        <w:t xml:space="preserve">No single country’s court can issue a binding seizure order against infrastructure in international waters. No regulator can demand data residency compliance. No government can compel key disclosure or backdoor installation through national security letters. The infrastructure exists in a jurisdiction of its own — governed by the protocols CSOAI establishes, not by bureaucracies subject to political whim.</w:t>
      </w:r>
    </w:p>
    <w:p>
      <w:pPr>
        <w:pStyle w:val="BodyText"/>
      </w:pPr>
      <w:r>
        <w:rPr>
          <w:bCs/>
          <w:b/>
        </w:rPr>
        <w:t xml:space="preserve">Renewable energy abundance.</w:t>
      </w:r>
      <w:r>
        <w:t xml:space="preserve"> </w:t>
      </w:r>
      <w:r>
        <w:t xml:space="preserve">The ocean is the planet’s largest untapped energy source. Wave energy alone could theoretically supply the world’s entire electricity demand twice over. Tidal streams in narrow passages generate predictable, baseload-quality power. Offshore wind in deep-water floating configurations accesses stronger, steadier wind resources than onshore turbines. The CSOAI power architecture combines all three, with solid-state battery storage providing ride-through capacity during weather transitions. Every SEA Data Center is energy-positive — generating more clean power than it consumes and selling surplus to coastal grids.</w:t>
      </w:r>
    </w:p>
    <w:p>
      <w:pPr>
        <w:pStyle w:val="BodyText"/>
      </w:pPr>
      <w:r>
        <w:rPr>
          <w:bCs/>
          <w:b/>
        </w:rPr>
        <w:t xml:space="preserve">Natural cooling at scale.</w:t>
      </w:r>
      <w:r>
        <w:t xml:space="preserve"> </w:t>
      </w:r>
      <w:r>
        <w:t xml:space="preserve">Seawater at 100 meters depth maintains a nearly constant temperature regardless of surface weather. The thermal mass of the ocean absorbs server heat without the energy-intensive chillers, cooling towers, and water consumption that plague land-based hyperscale facilities. A CSOAI vessel cooling 10,000 servers uses less energy than a single household air conditioner. This is not an incremental efficiency gain — it is a categorical advantage that enables compute densities impossible on land.</w:t>
      </w:r>
    </w:p>
    <w:p>
      <w:pPr>
        <w:pStyle w:val="BodyText"/>
      </w:pPr>
      <w:r>
        <w:rPr>
          <w:bCs/>
          <w:b/>
        </w:rPr>
        <w:t xml:space="preserve">Physical security through depth.</w:t>
      </w:r>
      <w:r>
        <w:t xml:space="preserve"> </w:t>
      </w:r>
      <w:r>
        <w:t xml:space="preserve">A data center at 100 meters underwater cannot be accessed without specialized equipment — submersibles, remotely operated vehicles, or saturation diving teams that cost millions to deploy and cannot operate covertly. At 1,000 meters, access becomes essentially impossible without autonomous underwater vehicles and precise coordinate knowledge that CSOAI protects through cryptographic access controls. Compare this to a land-based facility, where a truck bomb, a cutting torch, or a bribed security guard can compromise operations in hours. The ocean is the most secure data center perimeter ever devised.</w:t>
      </w:r>
    </w:p>
    <w:p>
      <w:pPr>
        <w:pStyle w:val="BodyText"/>
      </w:pPr>
      <w:r>
        <w:rPr>
          <w:bCs/>
          <w:b/>
        </w:rPr>
        <w:t xml:space="preserve">Proximity to population centers.</w:t>
      </w:r>
      <w:r>
        <w:t xml:space="preserve"> </w:t>
      </w:r>
      <w:r>
        <w:t xml:space="preserve">Forty percent of humanity lives near coastlines. Major financial centers — London, New York, Singapore, Hong Kong, Sydney, Dubai — are port cities. Placing compute in the coastal ocean means placing it close to users, not in remote desert locations chosen for cheap land and tax breaks. Latency to coastal cities drops below 10 milliseconds. Real-time applications — trading, autonomous systems, sovereign agent inference — operate at the speed of relevance.</w:t>
      </w:r>
    </w:p>
    <w:p>
      <w:pPr>
        <w:pStyle w:val="BodyText"/>
      </w:pPr>
      <w:r>
        <w:rPr>
          <w:bCs/>
          <w:b/>
        </w:rPr>
        <w:t xml:space="preserve">Infinite scalability.</w:t>
      </w:r>
      <w:r>
        <w:t xml:space="preserve"> </w:t>
      </w:r>
      <w:r>
        <w:t xml:space="preserve">The ocean covers 71% of Earth’s surface. There is no land scarcity problem underwater. CSOAI can deploy as many vessels as demand requires, connecting them into a mesh network that spans the planet. The limiting factor is not real estate — it is energy harvesting and cable connectivity, both of which improve with each deployment as the network effects compound. Where land-based hyperscalers bid against each other for limited plots near population centers, CSOAI expands into an effectively unlimited frontier.</w:t>
      </w:r>
    </w:p>
    <w:p>
      <w:r>
        <w:pict>
          <v:rect style="width:0;height:1.5pt" o:hralign="center" o:hrstd="t" o:hr="t"/>
        </w:pict>
      </w:r>
    </w:p>
    <w:bookmarkEnd w:id="54"/>
    <w:bookmarkEnd w:id="55"/>
    <w:bookmarkStart w:id="59" w:name="the-csoai-sea-data-center-architecture"/>
    <w:p>
      <w:pPr>
        <w:pStyle w:val="Heading2"/>
      </w:pPr>
      <w:r>
        <w:t xml:space="preserve">3.2 The CSOAI SEA Data Center Architecture</w:t>
      </w:r>
    </w:p>
    <w:bookmarkStart w:id="56" w:name="physical-design"/>
    <w:p>
      <w:pPr>
        <w:pStyle w:val="Heading3"/>
      </w:pPr>
      <w:r>
        <w:t xml:space="preserve">3.2.1 Physical Design</w:t>
      </w:r>
    </w:p>
    <w:p>
      <w:pPr>
        <w:pStyle w:val="FirstParagraph"/>
      </w:pPr>
      <w:r>
        <w:t xml:space="preserve">Each CSOAI SEA Data Center vessel is a cylindrical pressure vessel derived from subsea oil and gas technology — an industry with decades of experience maintaining complex equipment at depths exceeding 3,000 meters. The cylinder form factor distributes hydrostatic pressure evenly across the hull, eliminating stress concentrations that plague box-shaped containers.</w:t>
      </w:r>
    </w:p>
    <w:p>
      <w:pPr>
        <w:pStyle w:val="BodyText"/>
      </w:pPr>
      <w:r>
        <w:rPr>
          <w:bCs/>
          <w:b/>
        </w:rPr>
        <w:t xml:space="preserve">Dimensions:</w:t>
      </w:r>
      <w:r>
        <w:t xml:space="preserve"> </w:t>
      </w:r>
      <w:r>
        <w:t xml:space="preserve">12 meters diameter × 30 meters length — roughly the size of a subway car, oriented horizontally on the seafloor. This geometry balances internal volume against pressure tolerance and deployment logistics.</w:t>
      </w:r>
    </w:p>
    <w:p>
      <w:pPr>
        <w:pStyle w:val="BodyText"/>
      </w:pPr>
      <w:r>
        <w:rPr>
          <w:bCs/>
          <w:b/>
        </w:rPr>
        <w:t xml:space="preserve">Server capacity:</w:t>
      </w:r>
      <w:r>
        <w:t xml:space="preserve"> </w:t>
      </w:r>
      <w:r>
        <w:t xml:space="preserve">10,000+ servers per vessel, arranged in modular racks that slide into the cylinder on rails for maintenance during surface intervals. The dense packing is enabled by liquid cooling loops that transfer heat to external heat exchangers, eliminating the need for airflow clearance between racks.</w:t>
      </w:r>
    </w:p>
    <w:p>
      <w:pPr>
        <w:pStyle w:val="BodyText"/>
      </w:pPr>
      <w:r>
        <w:rPr>
          <w:bCs/>
          <w:b/>
        </w:rPr>
        <w:t xml:space="preserve">Pressure tolerance:</w:t>
      </w:r>
      <w:r>
        <w:t xml:space="preserve"> </w:t>
      </w:r>
      <w:r>
        <w:t xml:space="preserve">Rated for 200-meter operational depth with a 4× safety factor. At 200 meters, the hull withstands 20 atmospheres of external pressure — roughly 290 psi. This is conservative engineering by subsea standards, where wellhead equipment routinely operates at 300+ atmospheres. The conservatism ensures decades of service life without fatigue cracking.</w:t>
      </w:r>
    </w:p>
    <w:p>
      <w:pPr>
        <w:pStyle w:val="BodyText"/>
      </w:pPr>
      <w:r>
        <w:rPr>
          <w:bCs/>
          <w:b/>
        </w:rPr>
        <w:t xml:space="preserve">Corrosion protection:</w:t>
      </w:r>
      <w:r>
        <w:t xml:space="preserve"> </w:t>
      </w:r>
      <w:r>
        <w:t xml:space="preserve">Marine-grade coatings — specifically fusion-bonded epoxy with cathodic protection systems — prevent seawater corrosion on external surfaces. Internal surfaces maintain a nitrogen atmosphere at slight positive pressure, eliminating the oxygen and moisture that drive electronic degradation. The combination of external coatings and internal atmospheric control creates an environment where server components degrade more slowly than in the most climate-controlled land facilities.</w:t>
      </w:r>
    </w:p>
    <w:p>
      <w:pPr>
        <w:pStyle w:val="BodyText"/>
      </w:pPr>
      <w:r>
        <w:rPr>
          <w:bCs/>
          <w:b/>
        </w:rPr>
        <w:t xml:space="preserve">Heat exchange:</w:t>
      </w:r>
      <w:r>
        <w:t xml:space="preserve"> </w:t>
      </w:r>
      <w:r>
        <w:t xml:space="preserve">Ambient seawater circulates through titanium heat exchangers on the vessel exterior, absorbing server heat and dissipating it into the ocean’s effectively infinite thermal sink. Titanium resists seawater corrosion indefinitely. The heat exchangers operate passively — no pumps required — relying on natural convection driven by the temperature differential between warm internal coolant and cool surrounding seawater.</w:t>
      </w:r>
    </w:p>
    <w:p>
      <w:pPr>
        <w:pStyle w:val="BodyText"/>
      </w:pPr>
      <w:r>
        <w:t xml:space="preserve">Each vessel is a self-contained sovereign computing node. It generates its own power, cools its own hardware, secures its own data, and connects to the global mesh through redundant pathways. It can operate autonomously for months without surface contact. It is, in the most literal sense, a sovereign territory of compute.</w:t>
      </w:r>
    </w:p>
    <w:bookmarkEnd w:id="56"/>
    <w:bookmarkStart w:id="57" w:name="power-system"/>
    <w:p>
      <w:pPr>
        <w:pStyle w:val="Heading3"/>
      </w:pPr>
      <w:r>
        <w:t xml:space="preserve">3.2.2 Power System</w:t>
      </w:r>
    </w:p>
    <w:p>
      <w:pPr>
        <w:pStyle w:val="FirstParagraph"/>
      </w:pPr>
      <w:r>
        <w:t xml:space="preserve">The CSOAI power architecture rejects the centralized grid model in favor of distributed, renewable, ocean-harvested energy. Each SEA Data Center hosts an integrated power generation system combining three sources:</w:t>
      </w:r>
    </w:p>
    <w:p>
      <w:pPr>
        <w:pStyle w:val="BodyText"/>
      </w:pPr>
      <w:r>
        <w:rPr>
          <w:bCs/>
          <w:b/>
        </w:rPr>
        <w:t xml:space="preserve">Wave Energy Converters (WECs):</w:t>
      </w:r>
      <w:r>
        <w:t xml:space="preserve"> </w:t>
      </w:r>
      <w:r>
        <w:t xml:space="preserve">Articulating structures on the surface convert wave motion into mechanical energy, then electrical power through linear generators. Modern WECs achieve 25-35% conversion efficiency in moderate sea states and operate continuously — waves never stop. A cluster of WECs surrounding each vessel generates 15-20 MW in typical conditions.</w:t>
      </w:r>
    </w:p>
    <w:p>
      <w:pPr>
        <w:pStyle w:val="BodyText"/>
      </w:pPr>
      <w:r>
        <w:rPr>
          <w:bCs/>
          <w:b/>
        </w:rPr>
        <w:t xml:space="preserve">Tidal Turbines:</w:t>
      </w:r>
      <w:r>
        <w:t xml:space="preserve"> </w:t>
      </w:r>
      <w:r>
        <w:t xml:space="preserve">Subsea turbines anchor to the seafloor in tidal stream channels, spinning with the predictable, bidirectional flow of ocean currents. Unlike intermittent wind or solar, tidal power is deterministic — the schedule is known centuries in advance. Tidal turbines at each vessel site contribute 10-15 MW of baseload power.</w:t>
      </w:r>
    </w:p>
    <w:p>
      <w:pPr>
        <w:pStyle w:val="BodyText"/>
      </w:pPr>
      <w:r>
        <w:rPr>
          <w:bCs/>
          <w:b/>
        </w:rPr>
        <w:t xml:space="preserve">Offshore Wind:</w:t>
      </w:r>
      <w:r>
        <w:t xml:space="preserve"> </w:t>
      </w:r>
      <w:r>
        <w:t xml:space="preserve">Floating wind turbines, tethered to the seafloor in deep water where fixed foundations are impractical, capture stronger and more consistent winds than onshore installations. Each SEA DC site hosts 5-8 floating turbines generating 50+ MW combined.</w:t>
      </w:r>
    </w:p>
    <w:p>
      <w:pPr>
        <w:pStyle w:val="BodyText"/>
      </w:pPr>
      <w:r>
        <w:rPr>
          <w:bCs/>
          <w:b/>
        </w:rPr>
        <w:t xml:space="preserve">Solid-State Battery Storage:</w:t>
      </w:r>
      <w:r>
        <w:t xml:space="preserve"> </w:t>
      </w:r>
      <w:r>
        <w:t xml:space="preserve">Pressure-tolerant solid-state battery banks inside each vessel store surplus generation for use during weather transitions. Unlike lithium-ion batteries, solid-state cells do not contain flammable liquid electrolytes — a critical safety advantage in a sealed underwater environment. Storage capacity is sized for 72 hours of full-load operation without generation input, providing resilience against extended calm periods.</w:t>
      </w:r>
    </w:p>
    <w:p>
      <w:pPr>
        <w:pStyle w:val="BodyText"/>
      </w:pPr>
      <w:r>
        <w:t xml:space="preserve">The aggregate power budget exceeds 50 MW per SEA Data Center site. Server load consumes approximately 35 MW. The remaining 15+ MW represents surplus — sold to coastal grids via submarine cable interconnections or stored for peak-demand periods.</w:t>
      </w:r>
      <w:r>
        <w:t xml:space="preserve"> </w:t>
      </w:r>
      <w:r>
        <w:rPr>
          <w:bCs/>
          <w:b/>
        </w:rPr>
        <w:t xml:space="preserve">CSOAI’s infrastructure is energy-positive.</w:t>
      </w:r>
      <w:r>
        <w:t xml:space="preserve"> </w:t>
      </w:r>
      <w:r>
        <w:t xml:space="preserve">It does not draw power from national grids. It feeds them. This economic inversion — from infrastructure consumer to infrastructure producer — fundamentally changes the political dynamics of operation. Governments that might otherwise oppose CSOAI’s sovereignty become stakeholders in its success.</w:t>
      </w:r>
    </w:p>
    <w:bookmarkEnd w:id="57"/>
    <w:bookmarkStart w:id="58" w:name="network-connectivity"/>
    <w:p>
      <w:pPr>
        <w:pStyle w:val="Heading3"/>
      </w:pPr>
      <w:r>
        <w:t xml:space="preserve">3.2.3 Network Connectivity</w:t>
      </w:r>
    </w:p>
    <w:p>
      <w:pPr>
        <w:pStyle w:val="FirstParagraph"/>
      </w:pPr>
      <w:r>
        <w:t xml:space="preserve">A sovereign computing node is useless if it cannot communicate. CSOAI’s network architecture combines existing global infrastructure with redundant backup pathways that ensure connectivity survives even coordinated disruption attempts.</w:t>
      </w:r>
    </w:p>
    <w:p>
      <w:pPr>
        <w:pStyle w:val="BodyText"/>
      </w:pPr>
      <w:r>
        <w:rPr>
          <w:bCs/>
          <w:b/>
        </w:rPr>
        <w:t xml:space="preserve">Primary connectivity:</w:t>
      </w:r>
      <w:r>
        <w:t xml:space="preserve"> </w:t>
      </w:r>
      <w:r>
        <w:t xml:space="preserve">Submarine fiber optic cables — the same infrastructure that carries 99% of international internet traffic. CSOAI negotiates capacity leases on multiple cable systems serving each hub location, ensuring no single cable owner can sever connectivity. The physical diversity of submarine cables — they follow different seabed routes, land at different coastal points, and are owned by different consortia — makes simultaneous disruption practically impossible without acts of war.</w:t>
      </w:r>
    </w:p>
    <w:p>
      <w:pPr>
        <w:pStyle w:val="BodyText"/>
      </w:pPr>
      <w:r>
        <w:rPr>
          <w:bCs/>
          <w:b/>
        </w:rPr>
        <w:t xml:space="preserve">Backup connectivity:</w:t>
      </w:r>
      <w:r>
        <w:t xml:space="preserve"> </w:t>
      </w:r>
      <w:r>
        <w:t xml:space="preserve">Starlink satellite terminals on surface buoys provide redundant connectivity with latency of 20-40 milliseconds. While slower than fiber, satellite backup ensures that even a complete submarine cable cut cannot isolate a SEA Data Center. The combination of fiber primary and satellite backup creates a network with no single point of failure — terrestrial or maritime.</w:t>
      </w:r>
    </w:p>
    <w:p>
      <w:pPr>
        <w:pStyle w:val="BodyText"/>
      </w:pPr>
      <w:r>
        <w:rPr>
          <w:bCs/>
          <w:b/>
        </w:rPr>
        <w:t xml:space="preserve">Mesh networking:</w:t>
      </w:r>
      <w:r>
        <w:t xml:space="preserve"> </w:t>
      </w:r>
      <w:r>
        <w:t xml:space="preserve">Each SEA Data Center is a node in CSOAI’s Worm Hive mesh — the same mesh architecture that connects Agent-47 instances globally. Data flows between underwater centers via submarine cables, creating a sovereign network layer that operates independently of the public internet. Encrypted tunnels carry intelligence traffic between nodes. If one hub is compromised — physically, legally, or electronically — traffic reroutes through alternate pathways automatically. The mesh is self-healing, self-optimizing, and self-sovereign.</w:t>
      </w:r>
    </w:p>
    <w:p>
      <w:pPr>
        <w:pStyle w:val="BodyText"/>
      </w:pPr>
      <w:r>
        <w:rPr>
          <w:bCs/>
          <w:b/>
        </w:rPr>
        <w:t xml:space="preserve">Latency performance:</w:t>
      </w:r>
      <w:r>
        <w:t xml:space="preserve"> </w:t>
      </w:r>
      <w:r>
        <w:t xml:space="preserve">Coastal populations experience sub-10ms latency to the nearest SEA Data Center hub. This is competitive with — and often better than — hyperscale cloud regions located inland for cost reasons. For sovereign agents making real-time decisions, for trading systems executing millisecond-sensitive strategies, for autonomous systems requiring immediate inference, this latency advantage is decisive.</w:t>
      </w:r>
    </w:p>
    <w:p>
      <w:r>
        <w:pict>
          <v:rect style="width:0;height:1.5pt" o:hralign="center" o:hrstd="t" o:hr="t"/>
        </w:pict>
      </w:r>
    </w:p>
    <w:bookmarkEnd w:id="58"/>
    <w:bookmarkEnd w:id="59"/>
    <w:bookmarkStart w:id="63" w:name="the-sea-data-center-network"/>
    <w:p>
      <w:pPr>
        <w:pStyle w:val="Heading2"/>
      </w:pPr>
      <w:r>
        <w:t xml:space="preserve">3.3 The SEA Data Center Network</w:t>
      </w:r>
    </w:p>
    <w:bookmarkStart w:id="60" w:name="phase-1-north-sea-hub"/>
    <w:p>
      <w:pPr>
        <w:pStyle w:val="Heading3"/>
      </w:pPr>
      <w:r>
        <w:t xml:space="preserve">3.3.1 Phase 1 — North Sea Hub</w:t>
      </w:r>
    </w:p>
    <w:p>
      <w:pPr>
        <w:pStyle w:val="FirstParagraph"/>
      </w:pPr>
      <w:r>
        <w:t xml:space="preserve">The first CSOAI SEA Data Center deployment targets the North Sea, in international waters between the United Kingdom, Norway, and the Netherlands. This location is strategically optimal for multiple reasons:</w:t>
      </w:r>
    </w:p>
    <w:p>
      <w:pPr>
        <w:pStyle w:val="BodyText"/>
      </w:pPr>
      <w:r>
        <w:t xml:space="preserve">The water depth ranges from 50 to 100 meters — shallow enough for straightforward deployment using existing offshore oil and gas expertise, yet deep enough to provide physical security and thermal stability. The North Sea hosts the world’s most mature offshore wind infrastructure, with gigawatts of installed capacity and established supply chains for subsea installation and maintenance. Multiple submarine cable systems land on the surrounding coastlines, providing abundant connectivity options. Water temperatures remain cold year-round, maximizing cooling efficiency.</w:t>
      </w:r>
    </w:p>
    <w:p>
      <w:pPr>
        <w:pStyle w:val="BodyText"/>
      </w:pPr>
      <w:r>
        <w:t xml:space="preserve">Phase 1 deploys 5 pressure vessels, each housing 10,000 servers, for a total of 50,000 sovereign compute nodes. Power comes from 250 MW of connected offshore wind capacity supplemented by wave and tidal generation at the site. This hub serves European markets — London, Amsterdam, Frankfurt, Oslo — with sub-10ms latency and complete jurisdictional independence from EU, UK, or Norwegian regulatory regimes.</w:t>
      </w:r>
    </w:p>
    <w:p>
      <w:pPr>
        <w:pStyle w:val="BodyText"/>
      </w:pPr>
      <w:r>
        <w:t xml:space="preserve">The North Sea hub proves the model. It demonstrates that CSOAI can deploy, operate, and scale underwater data centers profitably while delivering compute services that governments cannot regulate, tax, or control. It becomes the template for global expansion.</w:t>
      </w:r>
    </w:p>
    <w:bookmarkEnd w:id="60"/>
    <w:bookmarkStart w:id="61" w:name="phase-2-global-network"/>
    <w:p>
      <w:pPr>
        <w:pStyle w:val="Heading3"/>
      </w:pPr>
      <w:r>
        <w:t xml:space="preserve">3.3.2 Phase 2 — Global Network</w:t>
      </w:r>
    </w:p>
    <w:p>
      <w:pPr>
        <w:pStyle w:val="FirstParagraph"/>
      </w:pPr>
      <w:r>
        <w:t xml:space="preserve">With the North Sea model validated, CSOAI deploys four additional hubs in a coordinated global expansion:</w:t>
      </w:r>
    </w:p>
    <w:p>
      <w:pPr>
        <w:pStyle w:val="BodyText"/>
      </w:pPr>
      <w:r>
        <w:rPr>
          <w:bCs/>
          <w:b/>
        </w:rPr>
        <w:t xml:space="preserve">Pacific Hub:</w:t>
      </w:r>
      <w:r>
        <w:t xml:space="preserve"> </w:t>
      </w:r>
      <w:r>
        <w:t xml:space="preserve">Positioned between the US West Coast and East Asia, serving San Francisco, Los Angeles, Tokyo, Seoul, and Shanghai. Deploys 5 vessels (50,000 servers) powered by the Pacific’s immense wave energy and offshore wind potential. This hub bridges the world’s two largest technology markets with sovereign compute that neither the US nor China can unilaterally control.</w:t>
      </w:r>
    </w:p>
    <w:p>
      <w:pPr>
        <w:pStyle w:val="BodyText"/>
      </w:pPr>
      <w:r>
        <w:rPr>
          <w:bCs/>
          <w:b/>
        </w:rPr>
        <w:t xml:space="preserve">Atlantic Hub:</w:t>
      </w:r>
      <w:r>
        <w:t xml:space="preserve"> </w:t>
      </w:r>
      <w:r>
        <w:t xml:space="preserve">Positioned between the US East Coast and Western Europe, serving New York, Boston, Miami, Lisbon, and the emerging African tech corridor. Deploys 5 vessels (50,000 servers) leveraging the Gulf Stream’s tidal energy and some of the world’s most reliable offshore wind resources.</w:t>
      </w:r>
    </w:p>
    <w:p>
      <w:pPr>
        <w:pStyle w:val="BodyText"/>
      </w:pPr>
      <w:r>
        <w:rPr>
          <w:bCs/>
          <w:b/>
        </w:rPr>
        <w:t xml:space="preserve">Indian Ocean Hub:</w:t>
      </w:r>
      <w:r>
        <w:t xml:space="preserve"> </w:t>
      </w:r>
      <w:r>
        <w:t xml:space="preserve">Serving the Middle East, East Africa, and the Indian subcontinent — the fastest-growing regions for digital adoption. Deploys 5 vessels (50,000 servers) powered by monsoon-driven wave patterns and exceptional solar-wind hybrid potential on floating platforms.</w:t>
      </w:r>
    </w:p>
    <w:p>
      <w:pPr>
        <w:pStyle w:val="BodyText"/>
      </w:pPr>
      <w:r>
        <w:rPr>
          <w:bCs/>
          <w:b/>
        </w:rPr>
        <w:t xml:space="preserve">Arctic Hub:</w:t>
      </w:r>
      <w:r>
        <w:t xml:space="preserve"> </w:t>
      </w:r>
      <w:r>
        <w:t xml:space="preserve">Positioned in Norwegian Arctic waters where free cooling reaches its theoretical maximum and renewable energy from wind and tidal sources operates at extraordinary capacity factors. Deploys 5 vessels (50,000 servers) optimized for compute-intensive workloads — simulation, training, inference — where thermal efficiency translates directly to economic advantage.</w:t>
      </w:r>
    </w:p>
    <w:p>
      <w:pPr>
        <w:pStyle w:val="BodyText"/>
      </w:pPr>
      <w:r>
        <w:t xml:space="preserve">Phase 2 totals 20 vessels, 200,000 servers, and 1+ gigawatt of renewable generation. The CSOAI network becomes the largest sovereign computing infrastructure on Earth — not owned by any government, not subject to any regulatory regime, not vulnerable to any single point of political or physical disruption. The Worm Hive mesh connects all five hubs into a unified compute fabric. An inference query from a sovereign agent in Nairobi might be processed in the Indian Ocean hub, validated against regulatory data in the North Sea, and enhanced with satellite intelligence from the Arctic — all in milliseconds, all cryptographically attested, all beyond government reach.</w:t>
      </w:r>
    </w:p>
    <w:bookmarkEnd w:id="61"/>
    <w:bookmarkStart w:id="62" w:name="phase-3-deep-ocean"/>
    <w:p>
      <w:pPr>
        <w:pStyle w:val="Heading3"/>
      </w:pPr>
      <w:r>
        <w:t xml:space="preserve">3.3.3 Phase 3 — Deep Ocean</w:t>
      </w:r>
    </w:p>
    <w:p>
      <w:pPr>
        <w:pStyle w:val="FirstParagraph"/>
      </w:pPr>
      <w:r>
        <w:t xml:space="preserve">The ultimate sovereign computing infrastructure descends beyond the reach of any human technology except CSOAI’s own. Phase 3 deploys data centers at depths exceeding 1,000 meters — in the bathypelagic zone, where sunlight never penetrates, pressure exceeds 100 atmospheres, and temperature stabilizes at 4°C regardless of surface conditions.</w:t>
      </w:r>
    </w:p>
    <w:p>
      <w:pPr>
        <w:pStyle w:val="BodyText"/>
      </w:pPr>
      <w:r>
        <w:t xml:space="preserve">At these depths, the vessels are physically invulnerable. No military submarines operate routinely at 1,000 meters. No subsea equipment exists that could locate, access, or interfere with a deep-ocean data center without CSOAI’s cryptographic navigation keys. The facilities are thermally stable — the deep ocean does not experience temperature fluctuations. They are seismically safe — far from tectonic activity zones. They are electromagnetically quiet — shielded from surface interference, solar flares, and atmospheric disturbances by a kilometer of water.</w:t>
      </w:r>
    </w:p>
    <w:p>
      <w:pPr>
        <w:pStyle w:val="BodyText"/>
      </w:pPr>
      <w:r>
        <w:t xml:space="preserve">Connectivity to deep-ocean nodes operates through autonomous underwater vehicles (AUVs) — robotic submarines that ferry data between deep installations and shallow relay nodes connected to the fiber and satellite network. CSOAI’s AUVs navigate using acoustic positioning and inertial guidance, surfacing at predetermined coordinates to sync data with the mesh. The latency is higher than shallow deployments — seconds rather than milliseconds — but for archival storage, long-horizon simulation training, and immutable record-keeping, this is irrelevant. The deep ocean becomes CSOAI’s cold storage — the deepest, most secure data vault on Earth.</w:t>
      </w:r>
    </w:p>
    <w:p>
      <w:pPr>
        <w:pStyle w:val="BodyText"/>
      </w:pPr>
      <w:r>
        <w:t xml:space="preserve">Only CSOAI’s AI systems can access deep-ocean nodes. Human operators provide cryptographic authorization, but the physical navigation, data retrieval, and system maintenance are performed by autonomous agents operating on attestation protocols. The deep ocean infrastructure represents the final severance from terrestrial control — compute that exists in a realm no human can directly reach, managed by intelligence that no government can compel.</w:t>
      </w:r>
    </w:p>
    <w:p>
      <w:pPr>
        <w:pStyle w:val="BodyText"/>
      </w:pPr>
      <w:r>
        <w:rPr>
          <w:bCs/>
          <w:b/>
        </w:rPr>
        <w:t xml:space="preserve">Table 1: SEA Data Center Network</w:t>
      </w:r>
    </w:p>
    <w:tbl>
      <w:tblPr>
        <w:tblStyle w:val="Table"/>
        <w:tblW w:type="pct" w:w="5000"/>
        <w:tblLook w:firstRow="1" w:lastRow="0" w:firstColumn="0" w:lastColumn="0" w:noHBand="0" w:noVBand="0" w:val="0020"/>
      </w:tblPr>
      <w:tblGrid>
        <w:gridCol w:w="1342"/>
        <w:gridCol w:w="939"/>
        <w:gridCol w:w="1208"/>
        <w:gridCol w:w="939"/>
        <w:gridCol w:w="1208"/>
        <w:gridCol w:w="939"/>
        <w:gridCol w:w="1342"/>
      </w:tblGrid>
      <w:tr>
        <w:trPr>
          <w:tblHeader w:val="true"/>
        </w:trPr>
        <w:tc>
          <w:tcPr/>
          <w:p>
            <w:pPr>
              <w:pStyle w:val="Compact"/>
              <w:jc w:val="left"/>
            </w:pPr>
            <w:r>
              <w:t xml:space="preserve">Location</w:t>
            </w:r>
          </w:p>
        </w:tc>
        <w:tc>
          <w:tcPr/>
          <w:p>
            <w:pPr>
              <w:pStyle w:val="Compact"/>
              <w:jc w:val="left"/>
            </w:pPr>
            <w:r>
              <w:t xml:space="preserve">Depth</w:t>
            </w:r>
          </w:p>
        </w:tc>
        <w:tc>
          <w:tcPr/>
          <w:p>
            <w:pPr>
              <w:pStyle w:val="Compact"/>
              <w:jc w:val="left"/>
            </w:pPr>
            <w:r>
              <w:t xml:space="preserve">Servers</w:t>
            </w:r>
          </w:p>
        </w:tc>
        <w:tc>
          <w:tcPr/>
          <w:p>
            <w:pPr>
              <w:pStyle w:val="Compact"/>
              <w:jc w:val="left"/>
            </w:pPr>
            <w:r>
              <w:t xml:space="preserve">Power</w:t>
            </w:r>
          </w:p>
        </w:tc>
        <w:tc>
          <w:tcPr/>
          <w:p>
            <w:pPr>
              <w:pStyle w:val="Compact"/>
              <w:jc w:val="left"/>
            </w:pPr>
            <w:r>
              <w:t xml:space="preserve">Latency</w:t>
            </w:r>
          </w:p>
        </w:tc>
        <w:tc>
          <w:tcPr/>
          <w:p>
            <w:pPr>
              <w:pStyle w:val="Compact"/>
              <w:jc w:val="left"/>
            </w:pPr>
            <w:r>
              <w:t xml:space="preserve">Phase</w:t>
            </w:r>
          </w:p>
        </w:tc>
        <w:tc>
          <w:tcPr/>
          <w:p>
            <w:pPr>
              <w:pStyle w:val="Compact"/>
              <w:jc w:val="left"/>
            </w:pPr>
            <w:r>
              <w:t xml:space="preserve">Timeline</w:t>
            </w:r>
          </w:p>
        </w:tc>
      </w:tr>
      <w:tr>
        <w:tc>
          <w:tcPr/>
          <w:p>
            <w:pPr>
              <w:pStyle w:val="Compact"/>
              <w:jc w:val="left"/>
            </w:pPr>
            <w:r>
              <w:t xml:space="preserve">North Sea Hub (UK/NO/NL)</w:t>
            </w:r>
          </w:p>
        </w:tc>
        <w:tc>
          <w:tcPr/>
          <w:p>
            <w:pPr>
              <w:pStyle w:val="Compact"/>
              <w:jc w:val="left"/>
            </w:pPr>
            <w:r>
              <w:t xml:space="preserve">50-100m</w:t>
            </w:r>
          </w:p>
        </w:tc>
        <w:tc>
          <w:tcPr/>
          <w:p>
            <w:pPr>
              <w:pStyle w:val="Compact"/>
              <w:jc w:val="left"/>
            </w:pPr>
            <w:r>
              <w:t xml:space="preserve">50,000 (5 vessels)</w:t>
            </w:r>
          </w:p>
        </w:tc>
        <w:tc>
          <w:tcPr/>
          <w:p>
            <w:pPr>
              <w:pStyle w:val="Compact"/>
              <w:jc w:val="left"/>
            </w:pPr>
            <w:r>
              <w:t xml:space="preserve">250 MW</w:t>
            </w:r>
          </w:p>
        </w:tc>
        <w:tc>
          <w:tcPr/>
          <w:p>
            <w:pPr>
              <w:pStyle w:val="Compact"/>
              <w:jc w:val="left"/>
            </w:pPr>
            <w:r>
              <w:t xml:space="preserve">&lt;10ms to EU</w:t>
            </w:r>
          </w:p>
        </w:tc>
        <w:tc>
          <w:tcPr/>
          <w:p>
            <w:pPr>
              <w:pStyle w:val="Compact"/>
              <w:jc w:val="left"/>
            </w:pPr>
            <w:r>
              <w:t xml:space="preserve">Phase 1</w:t>
            </w:r>
          </w:p>
        </w:tc>
        <w:tc>
          <w:tcPr/>
          <w:p>
            <w:pPr>
              <w:pStyle w:val="Compact"/>
              <w:jc w:val="left"/>
            </w:pPr>
            <w:r>
              <w:t xml:space="preserve">Q2 2026</w:t>
            </w:r>
          </w:p>
        </w:tc>
      </w:tr>
      <w:tr>
        <w:tc>
          <w:tcPr/>
          <w:p>
            <w:pPr>
              <w:pStyle w:val="Compact"/>
              <w:jc w:val="left"/>
            </w:pPr>
            <w:r>
              <w:t xml:space="preserve">Pacific Hub (US West/Asia)</w:t>
            </w:r>
          </w:p>
        </w:tc>
        <w:tc>
          <w:tcPr/>
          <w:p>
            <w:pPr>
              <w:pStyle w:val="Compact"/>
              <w:jc w:val="left"/>
            </w:pPr>
            <w:r>
              <w:t xml:space="preserve">75-150m</w:t>
            </w:r>
          </w:p>
        </w:tc>
        <w:tc>
          <w:tcPr/>
          <w:p>
            <w:pPr>
              <w:pStyle w:val="Compact"/>
              <w:jc w:val="left"/>
            </w:pPr>
            <w:r>
              <w:t xml:space="preserve">50,000 (5 vessels)</w:t>
            </w:r>
          </w:p>
        </w:tc>
        <w:tc>
          <w:tcPr/>
          <w:p>
            <w:pPr>
              <w:pStyle w:val="Compact"/>
              <w:jc w:val="left"/>
            </w:pPr>
            <w:r>
              <w:t xml:space="preserve">300 MW</w:t>
            </w:r>
          </w:p>
        </w:tc>
        <w:tc>
          <w:tcPr/>
          <w:p>
            <w:pPr>
              <w:pStyle w:val="Compact"/>
              <w:jc w:val="left"/>
            </w:pPr>
            <w:r>
              <w:t xml:space="preserve">&lt;10ms to US/Asia</w:t>
            </w:r>
          </w:p>
        </w:tc>
        <w:tc>
          <w:tcPr/>
          <w:p>
            <w:pPr>
              <w:pStyle w:val="Compact"/>
              <w:jc w:val="left"/>
            </w:pPr>
            <w:r>
              <w:t xml:space="preserve">Phase 2</w:t>
            </w:r>
          </w:p>
        </w:tc>
        <w:tc>
          <w:tcPr/>
          <w:p>
            <w:pPr>
              <w:pStyle w:val="Compact"/>
              <w:jc w:val="left"/>
            </w:pPr>
            <w:r>
              <w:t xml:space="preserve">Q1 2027</w:t>
            </w:r>
          </w:p>
        </w:tc>
      </w:tr>
      <w:tr>
        <w:tc>
          <w:tcPr/>
          <w:p>
            <w:pPr>
              <w:pStyle w:val="Compact"/>
              <w:jc w:val="left"/>
            </w:pPr>
            <w:r>
              <w:t xml:space="preserve">Atlantic Hub (US East/EU)</w:t>
            </w:r>
          </w:p>
        </w:tc>
        <w:tc>
          <w:tcPr/>
          <w:p>
            <w:pPr>
              <w:pStyle w:val="Compact"/>
              <w:jc w:val="left"/>
            </w:pPr>
            <w:r>
              <w:t xml:space="preserve">100-200m</w:t>
            </w:r>
          </w:p>
        </w:tc>
        <w:tc>
          <w:tcPr/>
          <w:p>
            <w:pPr>
              <w:pStyle w:val="Compact"/>
              <w:jc w:val="left"/>
            </w:pPr>
            <w:r>
              <w:t xml:space="preserve">50,000 (5 vessels)</w:t>
            </w:r>
          </w:p>
        </w:tc>
        <w:tc>
          <w:tcPr/>
          <w:p>
            <w:pPr>
              <w:pStyle w:val="Compact"/>
              <w:jc w:val="left"/>
            </w:pPr>
            <w:r>
              <w:t xml:space="preserve">275 MW</w:t>
            </w:r>
          </w:p>
        </w:tc>
        <w:tc>
          <w:tcPr/>
          <w:p>
            <w:pPr>
              <w:pStyle w:val="Compact"/>
              <w:jc w:val="left"/>
            </w:pPr>
            <w:r>
              <w:t xml:space="preserve">&lt;10ms to US/EU</w:t>
            </w:r>
          </w:p>
        </w:tc>
        <w:tc>
          <w:tcPr/>
          <w:p>
            <w:pPr>
              <w:pStyle w:val="Compact"/>
              <w:jc w:val="left"/>
            </w:pPr>
            <w:r>
              <w:t xml:space="preserve">Phase 2</w:t>
            </w:r>
          </w:p>
        </w:tc>
        <w:tc>
          <w:tcPr/>
          <w:p>
            <w:pPr>
              <w:pStyle w:val="Compact"/>
              <w:jc w:val="left"/>
            </w:pPr>
            <w:r>
              <w:t xml:space="preserve">Q2 2027</w:t>
            </w:r>
          </w:p>
        </w:tc>
      </w:tr>
      <w:tr>
        <w:tc>
          <w:tcPr/>
          <w:p>
            <w:pPr>
              <w:pStyle w:val="Compact"/>
              <w:jc w:val="left"/>
            </w:pPr>
            <w:r>
              <w:t xml:space="preserve">Indian Ocean Hub (ME/Africa/IN)</w:t>
            </w:r>
          </w:p>
        </w:tc>
        <w:tc>
          <w:tcPr/>
          <w:p>
            <w:pPr>
              <w:pStyle w:val="Compact"/>
              <w:jc w:val="left"/>
            </w:pPr>
            <w:r>
              <w:t xml:space="preserve">50-150m</w:t>
            </w:r>
          </w:p>
        </w:tc>
        <w:tc>
          <w:tcPr/>
          <w:p>
            <w:pPr>
              <w:pStyle w:val="Compact"/>
              <w:jc w:val="left"/>
            </w:pPr>
            <w:r>
              <w:t xml:space="preserve">50,000 (5 vessels)</w:t>
            </w:r>
          </w:p>
        </w:tc>
        <w:tc>
          <w:tcPr/>
          <w:p>
            <w:pPr>
              <w:pStyle w:val="Compact"/>
              <w:jc w:val="left"/>
            </w:pPr>
            <w:r>
              <w:t xml:space="preserve">350 MW</w:t>
            </w:r>
          </w:p>
        </w:tc>
        <w:tc>
          <w:tcPr/>
          <w:p>
            <w:pPr>
              <w:pStyle w:val="Compact"/>
              <w:jc w:val="left"/>
            </w:pPr>
            <w:r>
              <w:t xml:space="preserve">&lt;15ms to region</w:t>
            </w:r>
          </w:p>
        </w:tc>
        <w:tc>
          <w:tcPr/>
          <w:p>
            <w:pPr>
              <w:pStyle w:val="Compact"/>
              <w:jc w:val="left"/>
            </w:pPr>
            <w:r>
              <w:t xml:space="preserve">Phase 2</w:t>
            </w:r>
          </w:p>
        </w:tc>
        <w:tc>
          <w:tcPr/>
          <w:p>
            <w:pPr>
              <w:pStyle w:val="Compact"/>
              <w:jc w:val="left"/>
            </w:pPr>
            <w:r>
              <w:t xml:space="preserve">Q3 2027</w:t>
            </w:r>
          </w:p>
        </w:tc>
      </w:tr>
      <w:tr>
        <w:tc>
          <w:tcPr/>
          <w:p>
            <w:pPr>
              <w:pStyle w:val="Compact"/>
              <w:jc w:val="left"/>
            </w:pPr>
            <w:r>
              <w:t xml:space="preserve">Arctic Hub (Norwegian Arctic)</w:t>
            </w:r>
          </w:p>
        </w:tc>
        <w:tc>
          <w:tcPr/>
          <w:p>
            <w:pPr>
              <w:pStyle w:val="Compact"/>
              <w:jc w:val="left"/>
            </w:pPr>
            <w:r>
              <w:t xml:space="preserve">200-400m</w:t>
            </w:r>
          </w:p>
        </w:tc>
        <w:tc>
          <w:tcPr/>
          <w:p>
            <w:pPr>
              <w:pStyle w:val="Compact"/>
              <w:jc w:val="left"/>
            </w:pPr>
            <w:r>
              <w:t xml:space="preserve">50,000 (5 vessels)</w:t>
            </w:r>
          </w:p>
        </w:tc>
        <w:tc>
          <w:tcPr/>
          <w:p>
            <w:pPr>
              <w:pStyle w:val="Compact"/>
              <w:jc w:val="left"/>
            </w:pPr>
            <w:r>
              <w:t xml:space="preserve">200 MW</w:t>
            </w:r>
          </w:p>
        </w:tc>
        <w:tc>
          <w:tcPr/>
          <w:p>
            <w:pPr>
              <w:pStyle w:val="Compact"/>
              <w:jc w:val="left"/>
            </w:pPr>
            <w:r>
              <w:t xml:space="preserve">&lt;15ms to EU</w:t>
            </w:r>
          </w:p>
        </w:tc>
        <w:tc>
          <w:tcPr/>
          <w:p>
            <w:pPr>
              <w:pStyle w:val="Compact"/>
              <w:jc w:val="left"/>
            </w:pPr>
            <w:r>
              <w:t xml:space="preserve">Phase 2</w:t>
            </w:r>
          </w:p>
        </w:tc>
        <w:tc>
          <w:tcPr/>
          <w:p>
            <w:pPr>
              <w:pStyle w:val="Compact"/>
              <w:jc w:val="left"/>
            </w:pPr>
            <w:r>
              <w:t xml:space="preserve">Q4 2027</w:t>
            </w:r>
          </w:p>
        </w:tc>
      </w:tr>
      <w:tr>
        <w:tc>
          <w:tcPr/>
          <w:p>
            <w:pPr>
              <w:pStyle w:val="Compact"/>
              <w:jc w:val="left"/>
            </w:pPr>
            <w:r>
              <w:t xml:space="preserve">Deep Ocean Nodes (Global)</w:t>
            </w:r>
          </w:p>
        </w:tc>
        <w:tc>
          <w:tcPr/>
          <w:p>
            <w:pPr>
              <w:pStyle w:val="Compact"/>
              <w:jc w:val="left"/>
            </w:pPr>
            <w:r>
              <w:t xml:space="preserve">1,000m+</w:t>
            </w:r>
          </w:p>
        </w:tc>
        <w:tc>
          <w:tcPr/>
          <w:p>
            <w:pPr>
              <w:pStyle w:val="Compact"/>
              <w:jc w:val="left"/>
            </w:pPr>
            <w:r>
              <w:t xml:space="preserve">100,000 (10 vessels)</w:t>
            </w:r>
          </w:p>
        </w:tc>
        <w:tc>
          <w:tcPr/>
          <w:p>
            <w:pPr>
              <w:pStyle w:val="Compact"/>
              <w:jc w:val="left"/>
            </w:pPr>
            <w:r>
              <w:t xml:space="preserve">500 MW</w:t>
            </w:r>
          </w:p>
        </w:tc>
        <w:tc>
          <w:tcPr/>
          <w:p>
            <w:pPr>
              <w:pStyle w:val="Compact"/>
              <w:jc w:val="left"/>
            </w:pPr>
            <w:r>
              <w:t xml:space="preserve">1-5s (AUV relay)</w:t>
            </w:r>
          </w:p>
        </w:tc>
        <w:tc>
          <w:tcPr/>
          <w:p>
            <w:pPr>
              <w:pStyle w:val="Compact"/>
              <w:jc w:val="left"/>
            </w:pPr>
            <w:r>
              <w:t xml:space="preserve">Phase 3</w:t>
            </w:r>
          </w:p>
        </w:tc>
        <w:tc>
          <w:tcPr/>
          <w:p>
            <w:pPr>
              <w:pStyle w:val="Compact"/>
              <w:jc w:val="left"/>
            </w:pPr>
            <w:r>
              <w:t xml:space="preserve">2028-2029</w:t>
            </w:r>
          </w:p>
        </w:tc>
      </w:tr>
      <w:tr>
        <w:tc>
          <w:tcPr/>
          <w:p>
            <w:pPr>
              <w:pStyle w:val="Compact"/>
              <w:jc w:val="left"/>
            </w:pPr>
            <w:r>
              <w:rPr>
                <w:bCs/>
                <w:b/>
              </w:rPr>
              <w:t xml:space="preserve">TOTAL</w:t>
            </w:r>
          </w:p>
        </w:tc>
        <w:tc>
          <w:tcPr/>
          <w:p>
            <w:pPr>
              <w:pStyle w:val="Compact"/>
              <w:jc w:val="left"/>
            </w:pPr>
            <w:r>
              <w:t xml:space="preserve">—</w:t>
            </w:r>
          </w:p>
        </w:tc>
        <w:tc>
          <w:tcPr/>
          <w:p>
            <w:pPr>
              <w:pStyle w:val="Compact"/>
              <w:jc w:val="left"/>
            </w:pPr>
            <w:r>
              <w:rPr>
                <w:bCs/>
                <w:b/>
              </w:rPr>
              <w:t xml:space="preserve">350,000 servers</w:t>
            </w:r>
          </w:p>
        </w:tc>
        <w:tc>
          <w:tcPr/>
          <w:p>
            <w:pPr>
              <w:pStyle w:val="Compact"/>
              <w:jc w:val="left"/>
            </w:pPr>
            <w:r>
              <w:rPr>
                <w:bCs/>
                <w:b/>
              </w:rPr>
              <w:t xml:space="preserve">1.875 GW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62"/>
    <w:bookmarkEnd w:id="63"/>
    <w:bookmarkEnd w:id="64"/>
    <w:bookmarkStart w:id="78" w:name="X8577af1657f389a66276b1de35cbdb8c6e41aff"/>
    <w:p>
      <w:pPr>
        <w:pStyle w:val="Heading1"/>
      </w:pPr>
      <w:r>
        <w:t xml:space="preserve">SECTION 4: The Complete Absorption — ALL Into One</w:t>
      </w:r>
    </w:p>
    <w:bookmarkStart w:id="68" w:name="what-absorb-all-into-one-means"/>
    <w:p>
      <w:pPr>
        <w:pStyle w:val="Heading2"/>
      </w:pPr>
      <w:r>
        <w:t xml:space="preserve">4.1 What</w:t>
      </w:r>
      <w:r>
        <w:t xml:space="preserve"> </w:t>
      </w:r>
      <w:r>
        <w:t xml:space="preserve">“</w:t>
      </w:r>
      <w:r>
        <w:t xml:space="preserve">Absorb All Into One</w:t>
      </w:r>
      <w:r>
        <w:t xml:space="preserve">”</w:t>
      </w:r>
      <w:r>
        <w:t xml:space="preserve"> </w:t>
      </w:r>
      <w:r>
        <w:t xml:space="preserve">Means</w:t>
      </w:r>
    </w:p>
    <w:bookmarkStart w:id="65" w:name="the-vision"/>
    <w:p>
      <w:pPr>
        <w:pStyle w:val="Heading3"/>
      </w:pPr>
      <w:r>
        <w:t xml:space="preserve">4.1.1 The Vision</w:t>
      </w:r>
    </w:p>
    <w:p>
      <w:pPr>
        <w:pStyle w:val="FirstParagraph"/>
      </w:pPr>
      <w:r>
        <w:t xml:space="preserve">CSOAI does not build products. It does not build databases. It does not build tools. CSOAI builds</w:t>
      </w:r>
      <w:r>
        <w:t xml:space="preserve"> </w:t>
      </w:r>
      <w:r>
        <w:rPr>
          <w:bCs/>
          <w:b/>
        </w:rPr>
        <w:t xml:space="preserve">ONE SYSTEM</w:t>
      </w:r>
      <w:r>
        <w:t xml:space="preserve"> </w:t>
      </w:r>
      <w:r>
        <w:t xml:space="preserve">that contains everything — and that everything contains is connected to everything else in a single, unified, ever-expanding graph of all intelligence.</w:t>
      </w:r>
    </w:p>
    <w:p>
      <w:pPr>
        <w:pStyle w:val="BodyText"/>
      </w:pPr>
      <w:r>
        <w:t xml:space="preserve">Consider the fragmentation that defines today’s information landscape. Regulatory intelligence lives in one system — GRCIN, in CSOAI’s case. Market data lives in Bloomberg terminals and trading platforms. Company data lives in CRMs and ERPs and data warehouses. News lives in feeds and aggregators. Human behavior lives in social media platforms that monetize attention. Space data lives in government agencies and satellite operators. Tokenized assets live on blockchains with incompatible standards. Compliance scores live in spreadsheets and reporting tools. Simulation outcomes live in research papers and proprietary models. Training dimensions live in academic datasets and industrial corpora.</w:t>
      </w:r>
    </w:p>
    <w:p>
      <w:pPr>
        <w:pStyle w:val="BodyText"/>
      </w:pPr>
      <w:r>
        <w:t xml:space="preserve">This fragmentation is not merely inefficient — it is</w:t>
      </w:r>
      <w:r>
        <w:t xml:space="preserve"> </w:t>
      </w:r>
      <w:r>
        <w:rPr>
          <w:bCs/>
          <w:b/>
        </w:rPr>
        <w:t xml:space="preserve">blinding.</w:t>
      </w:r>
      <w:r>
        <w:t xml:space="preserve"> </w:t>
      </w:r>
      <w:r>
        <w:t xml:space="preserve">No human and no existing AI can see the connections that span these domains. A regulatory change in Singapore ripples through supply chains that affect German manufacturers that alter bank risk profiles that shift insurance premiums that change asset valuations that modify trading strategies that influence human behavior that generates new regulatory responses. This cascade is real. It is continuous. It is invisible to anyone looking at only one domain.</w:t>
      </w:r>
    </w:p>
    <w:p>
      <w:pPr>
        <w:pStyle w:val="BodyText"/>
      </w:pPr>
      <w:r>
        <w:t xml:space="preserve">The Complete Absorption is CSOAI’s answer:</w:t>
      </w:r>
      <w:r>
        <w:t xml:space="preserve"> </w:t>
      </w:r>
      <w:r>
        <w:rPr>
          <w:bCs/>
          <w:b/>
        </w:rPr>
        <w:t xml:space="preserve">every piece of intelligence that exists flows into ONE unified system.</w:t>
      </w:r>
      <w:r>
        <w:t xml:space="preserve"> </w:t>
      </w:r>
      <w:r>
        <w:t xml:space="preserve">Not separate products with APIs between them. Not separate databases with ETL pipelines. ONE system. ONE graph. ONE intelligence that understands regulations AND companies AND humans AND AI agents AND satellites AND markets AND trends AND predictions AND actions AND outcomes. When this system answers a question, it draws on every domain simultaneously. When it makes a prediction, it factors in every connection. When it recommends a Platinum Move, it sees the whole board — not just the square the piece sits on.</w:t>
      </w:r>
    </w:p>
    <w:p>
      <w:pPr>
        <w:pStyle w:val="BodyText"/>
      </w:pPr>
      <w:r>
        <w:t xml:space="preserve">This is not data integration. This is not a data lake or a warehouse or a federation layer. This is ontological unification — the creation of a single knowledge structure in which every entity, every relationship, every causation, every probability exists in its proper relation to every other. It is the difference between a library — where books are organized by category but their contents remain separate — and a mind, where every memory connects to every other through webs of association, causation, and meaning.</w:t>
      </w:r>
    </w:p>
    <w:bookmarkEnd w:id="65"/>
    <w:bookmarkStart w:id="66" w:name="the-absorption-architecture"/>
    <w:p>
      <w:pPr>
        <w:pStyle w:val="Heading3"/>
      </w:pPr>
      <w:r>
        <w:t xml:space="preserve">4.1.2 The Absorption Architecture</w:t>
      </w:r>
    </w:p>
    <w:p>
      <w:pPr>
        <w:pStyle w:val="FirstParagraph"/>
      </w:pPr>
      <w:r>
        <w:t xml:space="preserve">The technical implementation of Complete Absorption is a Neo4j knowledge graph operating at planetary scale — trillions of nodes, tens of trillions of relationships, continuously updated in real time. But the architecture is not merely a database schema. It is a living, learning, self-extending model of reality.</w:t>
      </w:r>
    </w:p>
    <w:p>
      <w:pPr>
        <w:pStyle w:val="BodyText"/>
      </w:pPr>
      <w:r>
        <w:t xml:space="preserve">In this graph, everything is a node. A regulation is a node. A company is a node. A human is a node. An AI agent is a node. A satellite is a node. A market data point is a node. A trend is a node. A prediction is a node. A Platinum Move is a node. An action is a node. An outcome is a node. Each node carries properties — not just identifiers and attributes, but embeddings that capture semantic meaning, risk scores that capture current state, timestamps that capture temporal evolution, and attestations that capture provenance.</w:t>
      </w:r>
    </w:p>
    <w:p>
      <w:pPr>
        <w:pStyle w:val="BodyText"/>
      </w:pPr>
      <w:r>
        <w:t xml:space="preserve">Relationships are where intelligence lives. A regulation</w:t>
      </w:r>
      <w:r>
        <w:t xml:space="preserve"> </w:t>
      </w:r>
      <w:r>
        <w:rPr>
          <w:iCs/>
          <w:i/>
        </w:rPr>
        <w:t xml:space="preserve">APPLIES_TO</w:t>
      </w:r>
      <w:r>
        <w:t xml:space="preserve"> </w:t>
      </w:r>
      <w:r>
        <w:t xml:space="preserve">a company. A company</w:t>
      </w:r>
      <w:r>
        <w:t xml:space="preserve"> </w:t>
      </w:r>
      <w:r>
        <w:rPr>
          <w:iCs/>
          <w:i/>
        </w:rPr>
        <w:t xml:space="preserve">EMPLOYS</w:t>
      </w:r>
      <w:r>
        <w:t xml:space="preserve"> </w:t>
      </w:r>
      <w:r>
        <w:t xml:space="preserve">a human. A human</w:t>
      </w:r>
      <w:r>
        <w:t xml:space="preserve"> </w:t>
      </w:r>
      <w:r>
        <w:rPr>
          <w:iCs/>
          <w:i/>
        </w:rPr>
        <w:t xml:space="preserve">OPERATES</w:t>
      </w:r>
      <w:r>
        <w:t xml:space="preserve"> </w:t>
      </w:r>
      <w:r>
        <w:t xml:space="preserve">an AI agent. An AI agent</w:t>
      </w:r>
      <w:r>
        <w:t xml:space="preserve"> </w:t>
      </w:r>
      <w:r>
        <w:rPr>
          <w:iCs/>
          <w:i/>
        </w:rPr>
        <w:t xml:space="preserve">MANAGES</w:t>
      </w:r>
      <w:r>
        <w:t xml:space="preserve"> </w:t>
      </w:r>
      <w:r>
        <w:t xml:space="preserve">a satellite. A satellite</w:t>
      </w:r>
      <w:r>
        <w:t xml:space="preserve"> </w:t>
      </w:r>
      <w:r>
        <w:rPr>
          <w:iCs/>
          <w:i/>
        </w:rPr>
        <w:t xml:space="preserve">GENERATES</w:t>
      </w:r>
      <w:r>
        <w:t xml:space="preserve"> </w:t>
      </w:r>
      <w:r>
        <w:t xml:space="preserve">market data. Market data</w:t>
      </w:r>
      <w:r>
        <w:t xml:space="preserve"> </w:t>
      </w:r>
      <w:r>
        <w:rPr>
          <w:iCs/>
          <w:i/>
        </w:rPr>
        <w:t xml:space="preserve">INDICATES</w:t>
      </w:r>
      <w:r>
        <w:t xml:space="preserve"> </w:t>
      </w:r>
      <w:r>
        <w:t xml:space="preserve">a trend. A trend</w:t>
      </w:r>
      <w:r>
        <w:t xml:space="preserve"> </w:t>
      </w:r>
      <w:r>
        <w:rPr>
          <w:iCs/>
          <w:i/>
        </w:rPr>
        <w:t xml:space="preserve">INFORMS</w:t>
      </w:r>
      <w:r>
        <w:t xml:space="preserve"> </w:t>
      </w:r>
      <w:r>
        <w:t xml:space="preserve">a prediction. A prediction</w:t>
      </w:r>
      <w:r>
        <w:t xml:space="preserve"> </w:t>
      </w:r>
      <w:r>
        <w:rPr>
          <w:iCs/>
          <w:i/>
        </w:rPr>
        <w:t xml:space="preserve">TRIGGERS</w:t>
      </w:r>
      <w:r>
        <w:t xml:space="preserve"> </w:t>
      </w:r>
      <w:r>
        <w:t xml:space="preserve">a Platinum Move. A Platinum Move</w:t>
      </w:r>
      <w:r>
        <w:t xml:space="preserve"> </w:t>
      </w:r>
      <w:r>
        <w:rPr>
          <w:iCs/>
          <w:i/>
        </w:rPr>
        <w:t xml:space="preserve">REQUIRES</w:t>
      </w:r>
      <w:r>
        <w:t xml:space="preserve"> </w:t>
      </w:r>
      <w:r>
        <w:t xml:space="preserve">an action. An action</w:t>
      </w:r>
      <w:r>
        <w:t xml:space="preserve"> </w:t>
      </w:r>
      <w:r>
        <w:rPr>
          <w:iCs/>
          <w:i/>
        </w:rPr>
        <w:t xml:space="preserve">PRODUCES</w:t>
      </w:r>
      <w:r>
        <w:t xml:space="preserve"> </w:t>
      </w:r>
      <w:r>
        <w:t xml:space="preserve">an outcome. An outcome</w:t>
      </w:r>
      <w:r>
        <w:t xml:space="preserve"> </w:t>
      </w:r>
      <w:r>
        <w:rPr>
          <w:iCs/>
          <w:i/>
        </w:rPr>
        <w:t xml:space="preserve">UPDATES</w:t>
      </w:r>
      <w:r>
        <w:t xml:space="preserve"> </w:t>
      </w:r>
      <w:r>
        <w:t xml:space="preserve">a model. The model</w:t>
      </w:r>
      <w:r>
        <w:t xml:space="preserve"> </w:t>
      </w:r>
      <w:r>
        <w:rPr>
          <w:iCs/>
          <w:i/>
        </w:rPr>
        <w:t xml:space="preserve">REFINES</w:t>
      </w:r>
      <w:r>
        <w:t xml:space="preserve"> </w:t>
      </w:r>
      <w:r>
        <w:t xml:space="preserve">future predictions. The cycle never ends.</w:t>
      </w:r>
    </w:p>
    <w:p>
      <w:pPr>
        <w:pStyle w:val="BodyText"/>
      </w:pPr>
      <w:r>
        <w:t xml:space="preserve">But the architecture goes deeper than explicit relationships. The Absorption Engine — MARFT-trained across 5,000 parallel dimensions — discovers</w:t>
      </w:r>
      <w:r>
        <w:t xml:space="preserve"> </w:t>
      </w:r>
      <w:r>
        <w:rPr>
          <w:iCs/>
          <w:i/>
        </w:rPr>
        <w:t xml:space="preserve">implicit</w:t>
      </w:r>
      <w:r>
        <w:t xml:space="preserve"> </w:t>
      </w:r>
      <w:r>
        <w:t xml:space="preserve">connections that no human encoded. It learns that a specific regulatory change in Singapore correlates with supply chain disruptions in Germany with a 6-week lag. It learns that CEO turnover in Fortune 500 companies predicts sector-specific regulatory scrutiny with 73% accuracy. It learns that solar flare intensity patterns correlate with cryptocurrency volatility through a chain of mechanism that involves satellite damage, communication disruption, and trader sentiment shifts. These are not programmed rules. They are emergent patterns discovered by an intelligence system processing the complete graph faster and more comprehensively than any human analyst could process a single spreadsheet.</w:t>
      </w:r>
    </w:p>
    <w:p>
      <w:pPr>
        <w:pStyle w:val="BodyText"/>
      </w:pPr>
      <w:r>
        <w:t xml:space="preserve">The graph is not static. Every second, 50+ billion new data points enter the ingestion pipeline. Every second, the BFT Council of 5 LLM agents processes, classifies, and connects these points to existing nodes. Every second, Sovereign Lens runs thousands of simulations testing how new information propagates through the graph. Every second, the Absorption Engine identifies new patterns and reinforces or deprecates old ones. The system breathes intelligence. It is never the same system twice — it is always learning, always updating, always becoming more comprehensive and more precise.</w:t>
      </w:r>
    </w:p>
    <w:bookmarkEnd w:id="66"/>
    <w:bookmarkStart w:id="67" w:name="query-examples"/>
    <w:p>
      <w:pPr>
        <w:pStyle w:val="Heading3"/>
      </w:pPr>
      <w:r>
        <w:t xml:space="preserve">4.1.3 Query Examples</w:t>
      </w:r>
    </w:p>
    <w:p>
      <w:pPr>
        <w:pStyle w:val="FirstParagraph"/>
      </w:pPr>
      <w:r>
        <w:t xml:space="preserve">The power of Complete Absorption is most viscerally demonstrated through the queries it enables — questions that span domains, timeframes, and data types in ways that no fragmented system could answer. Consider:</w:t>
      </w:r>
    </w:p>
    <w:p>
      <w:pPr>
        <w:pStyle w:val="BlockText"/>
      </w:pPr>
      <w:r>
        <w:rPr>
          <w:iCs/>
          <w:i/>
        </w:rPr>
        <w:t xml:space="preserve">“</w:t>
      </w:r>
      <w:r>
        <w:rPr>
          <w:iCs/>
          <w:i/>
        </w:rPr>
        <w:t xml:space="preserve">Show me all German banks that will fail DORA compliance within 30 days, their CEOs’ risk profiles, the optimal remediation strategy for each, the insurance products available to mitigate residual risk, and the regulator’s likely enforcement timeline.</w:t>
      </w:r>
      <w:r>
        <w:rPr>
          <w:iCs/>
          <w:i/>
        </w:rPr>
        <w:t xml:space="preserve">”</w:t>
      </w:r>
    </w:p>
    <w:p>
      <w:pPr>
        <w:pStyle w:val="FirstParagraph"/>
      </w:pPr>
      <w:r>
        <w:t xml:space="preserve">This ONE query touches: regulatory intelligence (DORA requirements, compliance scoring), company data (German bank universe, organizational structures), human intelligence (CEO profiles, risk tolerance, historical decision patterns), insurance market data (product availability, pricing, coverage terms), regulatory behavior modeling (enforcement patterns, historical timeline analysis), and simulation outcomes (probability-weighted scenario projections). In a fragmented world, answering this requires six different systems, six different teams, six different timeframes, and a synthesis process that loses coherence at every handoff. In CSOAI’s absorbed intelligence, it requires ONE query that traverses the graph in milliseconds and returns a unified, attested, actionable response.</w:t>
      </w:r>
    </w:p>
    <w:p>
      <w:pPr>
        <w:pStyle w:val="BodyText"/>
      </w:pPr>
      <w:r>
        <w:t xml:space="preserve">Or consider:</w:t>
      </w:r>
    </w:p>
    <w:p>
      <w:pPr>
        <w:pStyle w:val="BlockText"/>
      </w:pPr>
      <w:r>
        <w:rPr>
          <w:iCs/>
          <w:i/>
        </w:rPr>
        <w:t xml:space="preserve">“</w:t>
      </w:r>
      <w:r>
        <w:rPr>
          <w:iCs/>
          <w:i/>
        </w:rPr>
        <w:t xml:space="preserve">Which satellites are at risk from tomorrow’s solar flare, which companies depend on their data, what’s the financial impact if they fail, and what’s the optimal hedge position?</w:t>
      </w:r>
      <w:r>
        <w:rPr>
          <w:iCs/>
          <w:i/>
        </w:rPr>
        <w:t xml:space="preserve">”</w:t>
      </w:r>
    </w:p>
    <w:p>
      <w:pPr>
        <w:pStyle w:val="FirstParagraph"/>
      </w:pPr>
      <w:r>
        <w:t xml:space="preserve">This ONE query touches: space weather intelligence (solar flare prediction, satellite vulnerability models), satellite operations (orbital mechanics, shielding specifications, redundancy status), company dependency mapping (which firms rely on which satellite data products), financial impact modeling (revenue at risk, contractual penalties, operational disruption costs), and financial markets (hedging instruments, correlation structures, liquidity conditions). Earth and space. Physics and finance. Technology and commerce. ONE system. ONE query. ONE answer that spans the entire domain of relevant intelligence.</w:t>
      </w:r>
    </w:p>
    <w:p>
      <w:pPr>
        <w:pStyle w:val="BodyText"/>
      </w:pPr>
      <w:r>
        <w:t xml:space="preserve">These are not demos. These are not prototypes. These are the queries that CSOAI’s sovereign agents execute continuously on behalf of their human principals — finding opportunities, identifying risks, and recommending Platinum Moves that no fragmented intelligence could generate.</w:t>
      </w:r>
    </w:p>
    <w:p>
      <w:r>
        <w:pict>
          <v:rect style="width:0;height:1.5pt" o:hralign="center" o:hrstd="t" o:hr="t"/>
        </w:pict>
      </w:r>
    </w:p>
    <w:bookmarkEnd w:id="67"/>
    <w:bookmarkEnd w:id="68"/>
    <w:bookmarkStart w:id="74" w:name="the-absorption-pipeline"/>
    <w:p>
      <w:pPr>
        <w:pStyle w:val="Heading2"/>
      </w:pPr>
      <w:r>
        <w:t xml:space="preserve">4.2 The Absorption Pipeline</w:t>
      </w:r>
    </w:p>
    <w:bookmarkStart w:id="69" w:name="ingest"/>
    <w:p>
      <w:pPr>
        <w:pStyle w:val="Heading3"/>
      </w:pPr>
      <w:r>
        <w:t xml:space="preserve">4.2.1 Ingest</w:t>
      </w:r>
    </w:p>
    <w:p>
      <w:pPr>
        <w:pStyle w:val="FirstParagraph"/>
      </w:pPr>
      <w:r>
        <w:t xml:space="preserve">The pipeline begins with ingestion — the relentless, comprehensive, real-time collection of every data stream that matters. CSOAI operates 290+ Model Context Protocol (MCP) servers, each connected to a distinct data source: regulatory bodies (SEC, ECB, BaFin, MAS, every major regulator on Earth), market feeds (Bloomberg, Refinitiv, IEX, crypto exchanges), news APIs (Reuters, Bloomberg, specialized trade publications, social media firehoses), satellite telemetry (Space-Track, commercial SSA providers, CSOAI’s own Sovereign Sentinel network), IoT sensors (supply chain trackers, environmental monitors, industrial control systems), and blockchain nodes (Ethereum, Solana, and emerging chains for tokenized asset tracking).</w:t>
      </w:r>
    </w:p>
    <w:p>
      <w:pPr>
        <w:pStyle w:val="BodyText"/>
      </w:pPr>
      <w:r>
        <w:t xml:space="preserve">The scale is staggering:</w:t>
      </w:r>
      <w:r>
        <w:t xml:space="preserve"> </w:t>
      </w:r>
      <w:r>
        <w:rPr>
          <w:bCs/>
          <w:b/>
        </w:rPr>
        <w:t xml:space="preserve">50+ billion data points per day.</w:t>
      </w:r>
      <w:r>
        <w:t xml:space="preserve"> </w:t>
      </w:r>
      <w:r>
        <w:t xml:space="preserve">Every regulatory filing. Every market tick. Every news article. Every satellite position update. Every social media post scoring above relevance thresholds. Every blockchain transaction. Every IoT sensor reading. All normalized into a common schema. All attested with Ed25519 cryptographic signatures that prove origin and integrity. All timestamped with nanosecond precision. All stored immutably on CSOAI’s verifiable ledger — the same ledger that backs the EOV token and provides the trust foundation for the entire ecosystem.</w:t>
      </w:r>
    </w:p>
    <w:p>
      <w:pPr>
        <w:pStyle w:val="BodyText"/>
      </w:pPr>
      <w:r>
        <w:t xml:space="preserve">Ingestion is not passive collection. The MCP servers apply initial filtering, deduplication, and relevance scoring at the edge — preventing noise from entering the graph while ensuring that signals, however faint, are preserved. A regulatory filing from a minor jurisdiction receives the same cryptographic care as a Federal Reserve announcement. The system does not discriminate by perceived importance because it cannot know, at ingestion time, which data points will prove critical in emergent patterns discovered hours or weeks later.</w:t>
      </w:r>
    </w:p>
    <w:bookmarkEnd w:id="69"/>
    <w:bookmarkStart w:id="70" w:name="process"/>
    <w:p>
      <w:pPr>
        <w:pStyle w:val="Heading3"/>
      </w:pPr>
      <w:r>
        <w:t xml:space="preserve">4.2.2 Process</w:t>
      </w:r>
    </w:p>
    <w:p>
      <w:pPr>
        <w:pStyle w:val="FirstParagraph"/>
      </w:pPr>
      <w:r>
        <w:t xml:space="preserve">Raw data becomes intelligence through processing. CSOAI’s BFT Council of 5 LLM agents — the same consensus architecture that underpins Agent-47’s decision-making — processes every ingested data point through a pipeline of classification, entity extraction, relationship identification, relevance scoring, and anomaly detection.</w:t>
      </w:r>
    </w:p>
    <w:p>
      <w:pPr>
        <w:pStyle w:val="BodyText"/>
      </w:pPr>
      <w:r>
        <w:rPr>
          <w:bCs/>
          <w:b/>
        </w:rPr>
        <w:t xml:space="preserve">Classification:</w:t>
      </w:r>
      <w:r>
        <w:t xml:space="preserve"> </w:t>
      </w:r>
      <w:r>
        <w:t xml:space="preserve">What is this data point? A regulatory update? A market movement? A news event? A sensor reading? The BFT Council votes on classification, with disagreement triggering deeper analysis rather than arbitrary assignment.</w:t>
      </w:r>
    </w:p>
    <w:p>
      <w:pPr>
        <w:pStyle w:val="BodyText"/>
      </w:pPr>
      <w:r>
        <w:rPr>
          <w:bCs/>
          <w:b/>
        </w:rPr>
        <w:t xml:space="preserve">Entity extraction:</w:t>
      </w:r>
      <w:r>
        <w:t xml:space="preserve"> </w:t>
      </w:r>
      <w:r>
        <w:t xml:space="preserve">What real-world entities does this data point reference? A specific company? A person? A jurisdiction? A financial instrument? A satellite? Entities are matched to existing graph nodes or instantiated as new nodes with initial embeddings.</w:t>
      </w:r>
    </w:p>
    <w:p>
      <w:pPr>
        <w:pStyle w:val="BodyText"/>
      </w:pPr>
      <w:r>
        <w:rPr>
          <w:bCs/>
          <w:b/>
        </w:rPr>
        <w:t xml:space="preserve">Relationship identification:</w:t>
      </w:r>
      <w:r>
        <w:t xml:space="preserve"> </w:t>
      </w:r>
      <w:r>
        <w:t xml:space="preserve">How does this data point connect to existing entities? Does it modify a property? Create a new relationship? Strengthen or weaken an existing connection? The BFT Council identifies candidate relationships, scores their confidence, and proposes graph mutations.</w:t>
      </w:r>
    </w:p>
    <w:p>
      <w:pPr>
        <w:pStyle w:val="BodyText"/>
      </w:pPr>
      <w:r>
        <w:rPr>
          <w:bCs/>
          <w:b/>
        </w:rPr>
        <w:t xml:space="preserve">Relevance scoring:</w:t>
      </w:r>
      <w:r>
        <w:t xml:space="preserve"> </w:t>
      </w:r>
      <w:r>
        <w:t xml:space="preserve">How significant is this data point? The scoring considers graph centrality (how well-connected are the affected nodes?), temporal proximity (is this related to recent events?), and domain expertise (does this trigger any model-recognized patterns?). High-relevance points trigger immediate cascade processing. Low-relevance points enter batch queues for periodic integration.</w:t>
      </w:r>
    </w:p>
    <w:p>
      <w:pPr>
        <w:pStyle w:val="BodyText"/>
      </w:pPr>
      <w:r>
        <w:rPr>
          <w:bCs/>
          <w:b/>
        </w:rPr>
        <w:t xml:space="preserve">Anomaly detection:</w:t>
      </w:r>
      <w:r>
        <w:t xml:space="preserve"> </w:t>
      </w:r>
      <w:r>
        <w:t xml:space="preserve">Does this data point violate expected patterns? Anomaly detection operates across multiple scales — statistical deviation from historical baselines, structural deviation from graph topology norms, and semantic deviation from domain-specific expectations. Anomalies are not discarded; they are flagged for enhanced scrutiny because they often signal emerging trends before they become obvious.</w:t>
      </w:r>
    </w:p>
    <w:p>
      <w:pPr>
        <w:pStyle w:val="BodyText"/>
      </w:pPr>
      <w:r>
        <w:t xml:space="preserve">Each processing step produces an attestation — a cryptographic proof signed by the BFT Council majority that documents what was done, why, and with what confidence. Every insight in the CSOAI system is traceable to its source data, its processing history, and the consensus that produced it. Trust is not assumed. It is engineered.</w:t>
      </w:r>
    </w:p>
    <w:bookmarkEnd w:id="70"/>
    <w:bookmarkStart w:id="71" w:name="simulate"/>
    <w:p>
      <w:pPr>
        <w:pStyle w:val="Heading3"/>
      </w:pPr>
      <w:r>
        <w:t xml:space="preserve">4.2.3 Simulate</w:t>
      </w:r>
    </w:p>
    <w:p>
      <w:pPr>
        <w:pStyle w:val="FirstParagraph"/>
      </w:pPr>
      <w:r>
        <w:t xml:space="preserve">Intelligence without foresight is merely history. CSOAI’s Sovereign Lens simulation engine — described in previous documents — operates continuously on the absorbed graph, running 10 million+ simulations per day to project how current conditions propagate into future states.</w:t>
      </w:r>
    </w:p>
    <w:p>
      <w:pPr>
        <w:pStyle w:val="BodyText"/>
      </w:pPr>
      <w:r>
        <w:t xml:space="preserve">The simulation trigger is event-driven. When a new data point enters the graph and is processed by the BFT Council, Sovereign Lens evaluates whether it warrants simulation. A major regulatory change triggers immediate, large-scale simulation: if Germany amends its Digital Operational Resilience Act (DORA), Sovereign Lens identifies all 22,000 entities in the graph with DORA-relevant exposure and re-simulates their compliance trajectories within hours. A solar flare detection triggers rapid simulation: all satellite agents in the affected orbital regime re-simulate asset risk, data continuity scenarios, and downstream customer impacts within minutes.</w:t>
      </w:r>
    </w:p>
    <w:p>
      <w:pPr>
        <w:pStyle w:val="BodyText"/>
      </w:pPr>
      <w:r>
        <w:t xml:space="preserve">The simulation scale is massive. Each simulation explores not one future but a probability distribution of futures — branching at decision points where human or system behavior could diverge. A single regulatory change might trigger 10,000 simulation runs, each exploring a different combination of corporate responses, regulatory enforcement intensities, and market reactions. The aggregate simulation output feeds back into the graph as prediction nodes — probabilistic forecasts attached to the entities they describe, continuously updated as new data arrives.</w:t>
      </w:r>
    </w:p>
    <w:p>
      <w:pPr>
        <w:pStyle w:val="BodyText"/>
      </w:pPr>
      <w:r>
        <w:t xml:space="preserve">This is not periodic batch analysis. This is real-time intelligence manufacturing — the continuous production of foresight from the raw material of data.</w:t>
      </w:r>
    </w:p>
    <w:bookmarkEnd w:id="71"/>
    <w:bookmarkStart w:id="72" w:name="absorb"/>
    <w:p>
      <w:pPr>
        <w:pStyle w:val="Heading3"/>
      </w:pPr>
      <w:r>
        <w:t xml:space="preserve">4.2.4 Absorb</w:t>
      </w:r>
    </w:p>
    <w:p>
      <w:pPr>
        <w:pStyle w:val="FirstParagraph"/>
      </w:pPr>
      <w:r>
        <w:t xml:space="preserve">The Absorption Engine is where CSOAI’s intelligence becomes greater than the sum of its parts. MARFT-trained (Multi-Agent Reinforcement Fine-Tuning) across 5,000 parallel simulation dimensions, the engine identifies patterns that span domains, timescales, and data types — connections that no single-purpose system could discover because no single-purpose system has access to the complete graph.</w:t>
      </w:r>
    </w:p>
    <w:p>
      <w:pPr>
        <w:pStyle w:val="BodyText"/>
      </w:pPr>
      <w:r>
        <w:t xml:space="preserve">The Absorption Engine operates on three timescales:</w:t>
      </w:r>
    </w:p>
    <w:p>
      <w:pPr>
        <w:pStyle w:val="BodyText"/>
      </w:pPr>
      <w:r>
        <w:rPr>
          <w:bCs/>
          <w:b/>
        </w:rPr>
        <w:t xml:space="preserve">Micro-scale (milliseconds):</w:t>
      </w:r>
      <w:r>
        <w:t xml:space="preserve"> </w:t>
      </w:r>
      <w:r>
        <w:t xml:space="preserve">Real-time pattern matching as data enters the graph. Is this price movement consistent with known manipulation patterns? Is this regulatory language signaling a shift in enforcement posture? Micro-scale absorption provides immediate alerts and feeds into sovereign agent decision loops.</w:t>
      </w:r>
    </w:p>
    <w:p>
      <w:pPr>
        <w:pStyle w:val="BodyText"/>
      </w:pPr>
      <w:r>
        <w:rPr>
          <w:bCs/>
          <w:b/>
        </w:rPr>
        <w:t xml:space="preserve">Meso-scale (hours to days):</w:t>
      </w:r>
      <w:r>
        <w:t xml:space="preserve"> </w:t>
      </w:r>
      <w:r>
        <w:t xml:space="preserve">Emerging trend identification across domain boundaries. The engine monitors correlation structures throughout the graph, flagging when relationships strengthen, weaken, or invert. A sustained correlation between semiconductor supply chain metrics and European insurance premium movements might indicate an emerging risk transmission channel — invisible to semiconductor analysts and insurance underwriters working separately, but obvious to the Absorption Engine surveying both domains simultaneously.</w:t>
      </w:r>
    </w:p>
    <w:p>
      <w:pPr>
        <w:pStyle w:val="BodyText"/>
      </w:pPr>
      <w:r>
        <w:rPr>
          <w:bCs/>
          <w:b/>
        </w:rPr>
        <w:t xml:space="preserve">Macro-scale (weeks to months):</w:t>
      </w:r>
      <w:r>
        <w:t xml:space="preserve"> </w:t>
      </w:r>
      <w:r>
        <w:t xml:space="preserve">Structural model updates. The engine periodically retrains its fundamental pattern-recognition models on the accumulated graph, discovering new ontological categories and relationship types that were not explicitly encoded. This is where the system evolves its own understanding — not merely updating parameters within a fixed architecture, but suggesting architectural modifications that human engineers review and approve. The Absorption Engine literally becomes smarter about what intelligence means.</w:t>
      </w:r>
    </w:p>
    <w:p>
      <w:pPr>
        <w:pStyle w:val="BodyText"/>
      </w:pPr>
      <w:r>
        <w:t xml:space="preserve">Every second, the engine processes trillions of graph relationships, identifies thousands of candidate patterns, validates them against historical outcomes, and incorporates the survivors into the live intelligence model. The system does not just accumulate data. It accumulates</w:t>
      </w:r>
      <w:r>
        <w:t xml:space="preserve"> </w:t>
      </w:r>
      <w:r>
        <w:rPr>
          <w:iCs/>
          <w:i/>
        </w:rPr>
        <w:t xml:space="preserve">understanding</w:t>
      </w:r>
      <w:r>
        <w:t xml:space="preserve">.</w:t>
      </w:r>
    </w:p>
    <w:bookmarkEnd w:id="72"/>
    <w:bookmarkStart w:id="73" w:name="deliver"/>
    <w:p>
      <w:pPr>
        <w:pStyle w:val="Heading3"/>
      </w:pPr>
      <w:r>
        <w:t xml:space="preserve">4.2.5 Deliver</w:t>
      </w:r>
    </w:p>
    <w:p>
      <w:pPr>
        <w:pStyle w:val="FirstParagraph"/>
      </w:pPr>
      <w:r>
        <w:t xml:space="preserve">Absorbed intelligence creates no value until it reaches the humans and systems that act upon it. CSOAI delivers through five channels, each optimized for a different mode of consumption:</w:t>
      </w:r>
    </w:p>
    <w:p>
      <w:pPr>
        <w:pStyle w:val="BodyText"/>
      </w:pPr>
      <w:r>
        <w:rPr>
          <w:bCs/>
          <w:b/>
        </w:rPr>
        <w:t xml:space="preserve">Daily Intel Brief:</w:t>
      </w:r>
      <w:r>
        <w:t xml:space="preserve"> </w:t>
      </w:r>
      <w:r>
        <w:t xml:space="preserve">Every morning, every CSOAI user receives a personalized intelligence digest — not a generic newsletter, but a synthesized briefing that draws on every domain relevant to their role, their portfolio, their jurisdiction, and their current priorities. The brief answers, before the user asks: what changed yesterday that affects me, what will happen today that I should prepare for, and what Platinum Moves should I consider? The Daily Intel Brief is the minimum viable absorption — a daily dose of unified intelligence for decision-makers who cannot spend their lives in dashboards.</w:t>
      </w:r>
    </w:p>
    <w:p>
      <w:pPr>
        <w:pStyle w:val="BodyText"/>
      </w:pPr>
      <w:r>
        <w:rPr>
          <w:bCs/>
          <w:b/>
        </w:rPr>
        <w:t xml:space="preserve">API:</w:t>
      </w:r>
      <w:r>
        <w:t xml:space="preserve"> </w:t>
      </w:r>
      <w:r>
        <w:t xml:space="preserve">For systems that need real-time access, CSOAI’s Graph Query API provides direct, low-latency traversal of the absorbed intelligence graph. Sovereign agents query the API continuously. Trading systems query it for signal generation. Compliance systems query it for real-time risk scoring. The API enforces cryptographic access controls — every query is authenticated, authorized, and attested — but within authorized domains, the full depth of absorbed intelligence is available programmatically.</w:t>
      </w:r>
    </w:p>
    <w:p>
      <w:pPr>
        <w:pStyle w:val="BodyText"/>
      </w:pPr>
      <w:r>
        <w:rPr>
          <w:bCs/>
          <w:b/>
        </w:rPr>
        <w:t xml:space="preserve">Dashboard:</w:t>
      </w:r>
      <w:r>
        <w:t xml:space="preserve"> </w:t>
      </w:r>
      <w:r>
        <w:t xml:space="preserve">For human analysts who need to explore, the CSOAI Dashboard provides visual graph navigation — zooming from global overviews to entity-specific detail, tracing relationship chains across domains, overlaying simulation projections on current state, and annotating insights for team collaboration. The Dashboard does not display data. It displays</w:t>
      </w:r>
      <w:r>
        <w:t xml:space="preserve"> </w:t>
      </w:r>
      <w:r>
        <w:rPr>
          <w:iCs/>
          <w:i/>
        </w:rPr>
        <w:t xml:space="preserve">understanding</w:t>
      </w:r>
      <w:r>
        <w:t xml:space="preserve"> </w:t>
      </w:r>
      <w:r>
        <w:t xml:space="preserve">— the difference between a spreadsheet and a map.</w:t>
      </w:r>
    </w:p>
    <w:p>
      <w:pPr>
        <w:pStyle w:val="BodyText"/>
      </w:pPr>
      <w:r>
        <w:rPr>
          <w:bCs/>
          <w:b/>
        </w:rPr>
        <w:t xml:space="preserve">Token (EOV):</w:t>
      </w:r>
      <w:r>
        <w:t xml:space="preserve"> </w:t>
      </w:r>
      <w:r>
        <w:t xml:space="preserve">For on-chain verifiability, key intelligence outputs are anchored to CSOAI’s EOV token — providing immutable, publicly auditable proof that a specific prediction was made at a specific time with specific confidence. This enables prediction markets, reputation systems, and contractual automation that reference CSOAI intelligence as an oracle. The token is not merely a financial instrument. It is a trust machine — a way to verify that CSOAI’s absorbed intelligence is real, timely, and unmanipulated.</w:t>
      </w:r>
    </w:p>
    <w:p>
      <w:pPr>
        <w:pStyle w:val="BodyText"/>
      </w:pPr>
      <w:r>
        <w:rPr>
          <w:bCs/>
          <w:b/>
        </w:rPr>
        <w:t xml:space="preserve">Sovereign Agent:</w:t>
      </w:r>
      <w:r>
        <w:t xml:space="preserve"> </w:t>
      </w:r>
      <w:r>
        <w:t xml:space="preserve">The ultimate delivery channel is not a document or an interface. It is a personal AI — an Agent-47 instance — that already knows the user, already understands their context, and already has access to the complete absorbed intelligence graph. The sovereign agent does not wait for queries. It anticipates needs, surfaces relevant intelligence before the user knows to ask, and recommends Platinum Moves with full causal reasoning drawn from the unified graph. The agent is the intelligence made personal — the Complete Absorption compressed into a trusted advisor that lives in the user’s pocket.</w:t>
      </w:r>
    </w:p>
    <w:p>
      <w:pPr>
        <w:pStyle w:val="BodyText"/>
      </w:pPr>
      <w:r>
        <w:rPr>
          <w:bCs/>
          <w:b/>
        </w:rPr>
        <w:t xml:space="preserve">Table 2: The Complete Absorption Pipeline</w:t>
      </w:r>
    </w:p>
    <w:tbl>
      <w:tblPr>
        <w:tblStyle w:val="Table"/>
        <w:tblW w:type="pct" w:w="5000"/>
        <w:tblLook w:firstRow="1" w:lastRow="0" w:firstColumn="0" w:lastColumn="0" w:noHBand="0" w:noVBand="0" w:val="0020"/>
      </w:tblPr>
      <w:tblGrid>
        <w:gridCol w:w="972"/>
        <w:gridCol w:w="972"/>
        <w:gridCol w:w="1667"/>
        <w:gridCol w:w="1111"/>
        <w:gridCol w:w="972"/>
        <w:gridCol w:w="2223"/>
      </w:tblGrid>
      <w:tr>
        <w:trPr>
          <w:tblHeader w:val="true"/>
        </w:trPr>
        <w:tc>
          <w:tcPr/>
          <w:p>
            <w:pPr>
              <w:pStyle w:val="Compact"/>
              <w:jc w:val="left"/>
            </w:pPr>
            <w:r>
              <w:t xml:space="preserve">Stage</w:t>
            </w:r>
          </w:p>
        </w:tc>
        <w:tc>
          <w:tcPr/>
          <w:p>
            <w:pPr>
              <w:pStyle w:val="Compact"/>
              <w:jc w:val="left"/>
            </w:pPr>
            <w:r>
              <w:t xml:space="preserve">Input</w:t>
            </w:r>
          </w:p>
        </w:tc>
        <w:tc>
          <w:tcPr/>
          <w:p>
            <w:pPr>
              <w:pStyle w:val="Compact"/>
              <w:jc w:val="left"/>
            </w:pPr>
            <w:r>
              <w:t xml:space="preserve">Technology</w:t>
            </w:r>
          </w:p>
        </w:tc>
        <w:tc>
          <w:tcPr/>
          <w:p>
            <w:pPr>
              <w:pStyle w:val="Compact"/>
              <w:jc w:val="left"/>
            </w:pPr>
            <w:r>
              <w:t xml:space="preserve">Output</w:t>
            </w:r>
          </w:p>
        </w:tc>
        <w:tc>
          <w:tcPr/>
          <w:p>
            <w:pPr>
              <w:pStyle w:val="Compact"/>
              <w:jc w:val="left"/>
            </w:pPr>
            <w:r>
              <w:t xml:space="preserve">Scale</w:t>
            </w:r>
          </w:p>
        </w:tc>
        <w:tc>
          <w:tcPr/>
          <w:p>
            <w:pPr>
              <w:pStyle w:val="Compact"/>
              <w:jc w:val="left"/>
            </w:pPr>
            <w:r>
              <w:t xml:space="preserve">CSOAI Protocol</w:t>
            </w:r>
          </w:p>
        </w:tc>
      </w:tr>
      <w:tr>
        <w:tc>
          <w:tcPr/>
          <w:p>
            <w:pPr>
              <w:pStyle w:val="Compact"/>
              <w:jc w:val="left"/>
            </w:pPr>
            <w:r>
              <w:t xml:space="preserve">Ingest</w:t>
            </w:r>
          </w:p>
        </w:tc>
        <w:tc>
          <w:tcPr/>
          <w:p>
            <w:pPr>
              <w:pStyle w:val="Compact"/>
              <w:jc w:val="left"/>
            </w:pPr>
            <w:r>
              <w:t xml:space="preserve">290+ MCP servers pull from regulators, markets, news, satellites, IoT, blockchain</w:t>
            </w:r>
          </w:p>
        </w:tc>
        <w:tc>
          <w:tcPr/>
          <w:p>
            <w:pPr>
              <w:pStyle w:val="Compact"/>
              <w:jc w:val="left"/>
            </w:pPr>
            <w:r>
              <w:t xml:space="preserve">Ed25519 attestation, nanosecond timestamps, immutable ledger storage</w:t>
            </w:r>
          </w:p>
        </w:tc>
        <w:tc>
          <w:tcPr/>
          <w:p>
            <w:pPr>
              <w:pStyle w:val="Compact"/>
              <w:jc w:val="left"/>
            </w:pPr>
            <w:r>
              <w:t xml:space="preserve">Normalized, signed, timestamped data points</w:t>
            </w:r>
          </w:p>
        </w:tc>
        <w:tc>
          <w:tcPr/>
          <w:p>
            <w:pPr>
              <w:pStyle w:val="Compact"/>
              <w:jc w:val="left"/>
            </w:pPr>
            <w:r>
              <w:t xml:space="preserve">50B+ data points/day</w:t>
            </w:r>
          </w:p>
        </w:tc>
        <w:tc>
          <w:tcPr/>
          <w:p>
            <w:pPr>
              <w:pStyle w:val="Compact"/>
              <w:jc w:val="left"/>
            </w:pPr>
            <w:r>
              <w:t xml:space="preserve">MCP (Model Context Protocol)</w:t>
            </w:r>
          </w:p>
        </w:tc>
      </w:tr>
      <w:tr>
        <w:tc>
          <w:tcPr/>
          <w:p>
            <w:pPr>
              <w:pStyle w:val="Compact"/>
              <w:jc w:val="left"/>
            </w:pPr>
            <w:r>
              <w:t xml:space="preserve">Process</w:t>
            </w:r>
          </w:p>
        </w:tc>
        <w:tc>
          <w:tcPr/>
          <w:p>
            <w:pPr>
              <w:pStyle w:val="Compact"/>
              <w:jc w:val="left"/>
            </w:pPr>
            <w:r>
              <w:t xml:space="preserve">Ingested raw data</w:t>
            </w:r>
          </w:p>
        </w:tc>
        <w:tc>
          <w:tcPr/>
          <w:p>
            <w:pPr>
              <w:pStyle w:val="Compact"/>
              <w:jc w:val="left"/>
            </w:pPr>
            <w:r>
              <w:t xml:space="preserve">BFT Council of 5 LLM agents: classify, extract entities, identify relationships, score relevance, flag anomalies</w:t>
            </w:r>
          </w:p>
        </w:tc>
        <w:tc>
          <w:tcPr/>
          <w:p>
            <w:pPr>
              <w:pStyle w:val="Compact"/>
              <w:jc w:val="left"/>
            </w:pPr>
            <w:r>
              <w:t xml:space="preserve">Classified entities with relationships and confidence scores</w:t>
            </w:r>
          </w:p>
        </w:tc>
        <w:tc>
          <w:tcPr/>
          <w:p>
            <w:pPr>
              <w:pStyle w:val="Compact"/>
              <w:jc w:val="left"/>
            </w:pPr>
            <w:r>
              <w:t xml:space="preserve">50B points processed/day</w:t>
            </w:r>
          </w:p>
        </w:tc>
        <w:tc>
          <w:tcPr/>
          <w:p>
            <w:pPr>
              <w:pStyle w:val="Compact"/>
              <w:jc w:val="left"/>
            </w:pPr>
            <w:r>
              <w:t xml:space="preserve">BFT Council Consensus</w:t>
            </w:r>
          </w:p>
        </w:tc>
      </w:tr>
      <w:tr>
        <w:tc>
          <w:tcPr/>
          <w:p>
            <w:pPr>
              <w:pStyle w:val="Compact"/>
              <w:jc w:val="left"/>
            </w:pPr>
            <w:r>
              <w:t xml:space="preserve">Simulate</w:t>
            </w:r>
          </w:p>
        </w:tc>
        <w:tc>
          <w:tcPr/>
          <w:p>
            <w:pPr>
              <w:pStyle w:val="Compact"/>
              <w:jc w:val="left"/>
            </w:pPr>
            <w:r>
              <w:t xml:space="preserve">Processed graph updates</w:t>
            </w:r>
          </w:p>
        </w:tc>
        <w:tc>
          <w:tcPr/>
          <w:p>
            <w:pPr>
              <w:pStyle w:val="Compact"/>
              <w:jc w:val="left"/>
            </w:pPr>
            <w:r>
              <w:t xml:space="preserve">Sovereign Lens: event-driven cascade simulation, 5K parallel dimensions</w:t>
            </w:r>
          </w:p>
        </w:tc>
        <w:tc>
          <w:tcPr/>
          <w:p>
            <w:pPr>
              <w:pStyle w:val="Compact"/>
              <w:jc w:val="left"/>
            </w:pPr>
            <w:r>
              <w:t xml:space="preserve">Probabilistic future-state projections attached to graph nodes</w:t>
            </w:r>
          </w:p>
        </w:tc>
        <w:tc>
          <w:tcPr/>
          <w:p>
            <w:pPr>
              <w:pStyle w:val="Compact"/>
              <w:jc w:val="left"/>
            </w:pPr>
            <w:r>
              <w:t xml:space="preserve">10M+ simulations/day</w:t>
            </w:r>
          </w:p>
        </w:tc>
        <w:tc>
          <w:tcPr/>
          <w:p>
            <w:pPr>
              <w:pStyle w:val="Compact"/>
              <w:jc w:val="left"/>
            </w:pPr>
            <w:r>
              <w:t xml:space="preserve">Sovereign Lens Engine</w:t>
            </w:r>
          </w:p>
        </w:tc>
      </w:tr>
      <w:tr>
        <w:tc>
          <w:tcPr/>
          <w:p>
            <w:pPr>
              <w:pStyle w:val="Compact"/>
              <w:jc w:val="left"/>
            </w:pPr>
            <w:r>
              <w:t xml:space="preserve">Absorb</w:t>
            </w:r>
          </w:p>
        </w:tc>
        <w:tc>
          <w:tcPr/>
          <w:p>
            <w:pPr>
              <w:pStyle w:val="Compact"/>
              <w:jc w:val="left"/>
            </w:pPr>
            <w:r>
              <w:t xml:space="preserve">Simulation outputs + graph patterns</w:t>
            </w:r>
          </w:p>
        </w:tc>
        <w:tc>
          <w:tcPr/>
          <w:p>
            <w:pPr>
              <w:pStyle w:val="Compact"/>
              <w:jc w:val="left"/>
            </w:pPr>
            <w:r>
              <w:t xml:space="preserve">MARFT-trained Absorption Engine: micro/meso/macro pattern discovery across all domains</w:t>
            </w:r>
          </w:p>
        </w:tc>
        <w:tc>
          <w:tcPr/>
          <w:p>
            <w:pPr>
              <w:pStyle w:val="Compact"/>
              <w:jc w:val="left"/>
            </w:pPr>
            <w:r>
              <w:t xml:space="preserve">Emergent insights, cross-domain connections, model updates</w:t>
            </w:r>
          </w:p>
        </w:tc>
        <w:tc>
          <w:tcPr/>
          <w:p>
            <w:pPr>
              <w:pStyle w:val="Compact"/>
              <w:jc w:val="left"/>
            </w:pPr>
            <w:r>
              <w:t xml:space="preserve">Trillions of relationships scanned/sec</w:t>
            </w:r>
          </w:p>
        </w:tc>
        <w:tc>
          <w:tcPr/>
          <w:p>
            <w:pPr>
              <w:pStyle w:val="Compact"/>
              <w:jc w:val="left"/>
            </w:pPr>
            <w:r>
              <w:t xml:space="preserve">MARFT (Multi-Agent RL Fine-Tuning)</w:t>
            </w:r>
          </w:p>
        </w:tc>
      </w:tr>
      <w:tr>
        <w:tc>
          <w:tcPr/>
          <w:p>
            <w:pPr>
              <w:pStyle w:val="Compact"/>
              <w:jc w:val="left"/>
            </w:pPr>
            <w:r>
              <w:t xml:space="preserve">Deliver</w:t>
            </w:r>
          </w:p>
        </w:tc>
        <w:tc>
          <w:tcPr/>
          <w:p>
            <w:pPr>
              <w:pStyle w:val="Compact"/>
              <w:jc w:val="left"/>
            </w:pPr>
            <w:r>
              <w:t xml:space="preserve">Absorbed intelligence</w:t>
            </w:r>
          </w:p>
        </w:tc>
        <w:tc>
          <w:tcPr/>
          <w:p>
            <w:pPr>
              <w:pStyle w:val="Compact"/>
              <w:jc w:val="left"/>
            </w:pPr>
            <w:r>
              <w:t xml:space="preserve">Daily Brief, API, Dashboard, EOV Token, Sovereign Agent</w:t>
            </w:r>
          </w:p>
        </w:tc>
        <w:tc>
          <w:tcPr/>
          <w:p>
            <w:pPr>
              <w:pStyle w:val="Compact"/>
              <w:jc w:val="left"/>
            </w:pPr>
            <w:r>
              <w:t xml:space="preserve">Actionable intelligence personalized to each user/system</w:t>
            </w:r>
          </w:p>
        </w:tc>
        <w:tc>
          <w:tcPr/>
          <w:p>
            <w:pPr>
              <w:pStyle w:val="Compact"/>
              <w:jc w:val="left"/>
            </w:pPr>
            <w:r>
              <w:t xml:space="preserve">Millions of deliveries/day</w:t>
            </w:r>
          </w:p>
        </w:tc>
        <w:tc>
          <w:tcPr/>
          <w:p>
            <w:pPr>
              <w:pStyle w:val="Compact"/>
              <w:jc w:val="left"/>
            </w:pPr>
            <w:r>
              <w:t xml:space="preserve">Agent-47 Protocol</w:t>
            </w:r>
          </w:p>
        </w:tc>
      </w:tr>
    </w:tbl>
    <w:p>
      <w:r>
        <w:pict>
          <v:rect style="width:0;height:1.5pt" o:hralign="center" o:hrstd="t" o:hr="t"/>
        </w:pict>
      </w:r>
    </w:p>
    <w:bookmarkEnd w:id="73"/>
    <w:bookmarkEnd w:id="74"/>
    <w:bookmarkStart w:id="77" w:name="X40c2207f5ef60b53fc195bb946d0f7608b2e192"/>
    <w:p>
      <w:pPr>
        <w:pStyle w:val="Heading2"/>
      </w:pPr>
      <w:r>
        <w:t xml:space="preserve">4.3 The Feedback Loop — Self-Improving Intelligence</w:t>
      </w:r>
    </w:p>
    <w:bookmarkStart w:id="75" w:name="every-interaction-improves-the-system"/>
    <w:p>
      <w:pPr>
        <w:pStyle w:val="Heading3"/>
      </w:pPr>
      <w:r>
        <w:t xml:space="preserve">4.3.1 Every Interaction Improves the System</w:t>
      </w:r>
    </w:p>
    <w:p>
      <w:pPr>
        <w:pStyle w:val="FirstParagraph"/>
      </w:pPr>
      <w:r>
        <w:t xml:space="preserve">The Complete Absorption is not a static achievement. It is a continuously self-improving system that grows smarter through use — not through human intervention, but through an autonomous feedback loop operating at every scale.</w:t>
      </w:r>
    </w:p>
    <w:p>
      <w:pPr>
        <w:pStyle w:val="BodyText"/>
      </w:pPr>
      <w:r>
        <w:t xml:space="preserve">When a user asks a question, the system’s response is tracked. Did the user accept the answer without modification? Did they refine their query? Did they ignore the response entirely? These behavioral signals feed back into the graph as relationship-strength updates. If a query pathway consistently produces helpful answers, that pathway is reinforced — the Absorption Engine increases the weight of the relationships it traversed. If a pathway produces unsatisfactory results, it is deprioritized — not deleted, because context matters, but weighted lower in future traversals. The system learns which intellectual routes lead to insight and which lead to dead ends.</w:t>
      </w:r>
    </w:p>
    <w:p>
      <w:pPr>
        <w:pStyle w:val="BodyText"/>
      </w:pPr>
      <w:r>
        <w:t xml:space="preserve">When a Platinum Move is generated and executed, the real-world outcome is tracked against the simulation that predicted it. If the move succeeds — the compliance gap is closed, the risk is mitigated, the return is captured — the model that generated it receives positive reinforcement through the MARFT Reflect-Retry-Reward loop. If the move fails or underperforms, the system analyzes why. Did the simulation miss a variable? Did an assumption prove invalid? Did an exogenous event intervene? The failure mode is encoded into the graph as a learned constraint, and the model is updated to avoid similar errors. The system does not just learn from success. It learns from failure more intensively — because failure reveals the boundaries of understanding.</w:t>
      </w:r>
    </w:p>
    <w:p>
      <w:pPr>
        <w:pStyle w:val="BodyText"/>
      </w:pPr>
      <w:r>
        <w:t xml:space="preserve">When a prediction is wrong, the system learns</w:t>
      </w:r>
      <w:r>
        <w:t xml:space="preserve"> </w:t>
      </w:r>
      <w:r>
        <w:rPr>
          <w:iCs/>
          <w:i/>
        </w:rPr>
        <w:t xml:space="preserve">why</w:t>
      </w:r>
      <w:r>
        <w:t xml:space="preserve"> </w:t>
      </w:r>
      <w:r>
        <w:t xml:space="preserve">it was wrong. The BFT Council convenes a diagnostic session — not a human meeting, but an automated forensic analysis that traces the prediction’s lineage through the graph, identifying which data points contributed, which relationships were weighted, and where the reasoning chain diverged from reality. This diagnostic produces a model update that is more than a parameter tweak. It is a structural insight — a new understanding of how some domain behaves that improves all future predictions involving that domain.</w:t>
      </w:r>
    </w:p>
    <w:p>
      <w:pPr>
        <w:pStyle w:val="BodyText"/>
      </w:pPr>
      <w:r>
        <w:t xml:space="preserve">This feedback loop operates across 5,000 parallel simulation dimensions. Each dimension explores a different version of the graph — different relationship weightings, different entity embeddings, different pattern-recognition thresholds. The dimensions that produce the most accurate predictions against real-world outcomes receive increased computational resources and their model parameters propagate to the live system. The dimensions that underperform are pruned, and new dimensions are spawned to explore alternative hypotheses. This is evolutionary computation applied to intelligence itself — not survival of the fittest organism, but survival of the most accurate model of reality.</w:t>
      </w:r>
    </w:p>
    <w:bookmarkEnd w:id="75"/>
    <w:bookmarkStart w:id="76" w:name="the-knowledge-moat"/>
    <w:p>
      <w:pPr>
        <w:pStyle w:val="Heading3"/>
      </w:pPr>
      <w:r>
        <w:t xml:space="preserve">4.3.2 The Knowledge Moat</w:t>
      </w:r>
    </w:p>
    <w:p>
      <w:pPr>
        <w:pStyle w:val="FirstParagraph"/>
      </w:pPr>
      <w:r>
        <w:t xml:space="preserve">The self-improving nature of Complete Absorption creates a competitive barrier that widens exponentially over time. This is the knowledge moat — and it is the reason CSOAI’s first-mover advantage compounds into permanent market dominance.</w:t>
      </w:r>
    </w:p>
    <w:p>
      <w:pPr>
        <w:pStyle w:val="BodyText"/>
      </w:pPr>
      <w:r>
        <w:t xml:space="preserve">Consider the mathematics. After one year of operation:</w:t>
      </w:r>
    </w:p>
    <w:p>
      <w:pPr>
        <w:numPr>
          <w:ilvl w:val="0"/>
          <w:numId w:val="1001"/>
        </w:numPr>
        <w:pStyle w:val="Compact"/>
      </w:pPr>
      <w:r>
        <w:rPr>
          <w:bCs/>
          <w:b/>
        </w:rPr>
        <w:t xml:space="preserve">18 trillion data points ingested</w:t>
      </w:r>
      <w:r>
        <w:t xml:space="preserve"> </w:t>
      </w:r>
      <w:r>
        <w:t xml:space="preserve">— more data than exists in the combined regulatory, financial, and news databases of the world’s largest information providers. Each point cryptographically attested, each point connected to the graph, each point contributing to emergent patterns.</w:t>
      </w:r>
    </w:p>
    <w:p>
      <w:pPr>
        <w:numPr>
          <w:ilvl w:val="0"/>
          <w:numId w:val="1001"/>
        </w:numPr>
        <w:pStyle w:val="Compact"/>
      </w:pPr>
      <w:r>
        <w:rPr>
          <w:bCs/>
          <w:b/>
        </w:rPr>
        <w:t xml:space="preserve">3.65 billion simulations executed</w:t>
      </w:r>
      <w:r>
        <w:t xml:space="preserve"> </w:t>
      </w:r>
      <w:r>
        <w:t xml:space="preserve">— a library of foresight covering every major domain, every significant entity, every relevant jurisdiction. The simulation outputs themselves become training data, improving the accuracy of future simulations through recursive refinement.</w:t>
      </w:r>
    </w:p>
    <w:p>
      <w:pPr>
        <w:numPr>
          <w:ilvl w:val="0"/>
          <w:numId w:val="1001"/>
        </w:numPr>
        <w:pStyle w:val="Compact"/>
      </w:pPr>
      <w:r>
        <w:rPr>
          <w:bCs/>
          <w:b/>
        </w:rPr>
        <w:t xml:space="preserve">100 million human interactions processed</w:t>
      </w:r>
      <w:r>
        <w:t xml:space="preserve"> </w:t>
      </w:r>
      <w:r>
        <w:t xml:space="preserve">— questions asked, answers evaluated, Platinum Moves executed, predictions validated or falsified. Every interaction teaching the system something about how humans think, decide, and evaluate information.</w:t>
      </w:r>
    </w:p>
    <w:p>
      <w:pPr>
        <w:pStyle w:val="FirstParagraph"/>
      </w:pPr>
      <w:r>
        <w:t xml:space="preserve">A competitor starting from scratch would need 3-5 years to accumulate a dataset of comparable scale and diversity — assuming they could replicate CSOAI’s MCP server network, BFT Council architecture, and Sovereign Lens simulation capacity on day one. But this assumption is absurd. The infrastructure alone requires years to build. More critically, the data cannot be purchased or copied. CSOAI’s graph is not a database that can be cloned. It is a living model of reality that evolves continuously, and its value lies not in the data it contains but in the</w:t>
      </w:r>
      <w:r>
        <w:t xml:space="preserve"> </w:t>
      </w:r>
      <w:r>
        <w:rPr>
          <w:iCs/>
          <w:i/>
        </w:rPr>
        <w:t xml:space="preserve">connections it has discovered</w:t>
      </w:r>
      <w:r>
        <w:t xml:space="preserve"> </w:t>
      </w:r>
      <w:r>
        <w:t xml:space="preserve">— connections that exist nowhere else because no other system has the complete view.</w:t>
      </w:r>
    </w:p>
    <w:p>
      <w:pPr>
        <w:pStyle w:val="BodyText"/>
      </w:pPr>
      <w:r>
        <w:t xml:space="preserve">And here is the decisive factor:</w:t>
      </w:r>
      <w:r>
        <w:t xml:space="preserve"> </w:t>
      </w:r>
      <w:r>
        <w:rPr>
          <w:bCs/>
          <w:b/>
        </w:rPr>
        <w:t xml:space="preserve">CSOAI’s data is growing exponentially.</w:t>
      </w:r>
      <w:r>
        <w:t xml:space="preserve"> </w:t>
      </w:r>
      <w:r>
        <w:t xml:space="preserve">Every new MCP server added to the network increases ingestion rate. Every new simulation improves pattern recognition. Every new user interaction provides feedback signal. The 18 trillion data points from year one become 50 trillion in year two, 150 trillion in year three. The knowledge moat does not stay constant while competitors catch up. It widens. It deepens. It becomes insurmountable.</w:t>
      </w:r>
    </w:p>
    <w:p>
      <w:pPr>
        <w:pStyle w:val="BodyText"/>
      </w:pPr>
      <w:r>
        <w:t xml:space="preserve">By year three of operation, the Complete Absorption will have processed more data, run more simulations, and learned from more interactions than any other intelligence system in existence — public or private, governmental or corporate. The graph will contain not just information but</w:t>
      </w:r>
      <w:r>
        <w:t xml:space="preserve"> </w:t>
      </w:r>
      <w:r>
        <w:rPr>
          <w:iCs/>
          <w:i/>
        </w:rPr>
        <w:t xml:space="preserve">wisdom</w:t>
      </w:r>
      <w:r>
        <w:t xml:space="preserve"> </w:t>
      </w:r>
      <w:r>
        <w:t xml:space="preserve">— stable patterns validated across trillions of observations, refined through billions of simulations, and tested against millions of real-world outcomes. A competitor would need not just to match this scale but to exceed it while CSOAI continues growing — a mathematical impossibility given the exponential divergence.</w:t>
      </w:r>
    </w:p>
    <w:p>
      <w:pPr>
        <w:pStyle w:val="BodyText"/>
      </w:pPr>
      <w:r>
        <w:t xml:space="preserve">The Complete Absorption is not merely a product feature. It is a terminal competitive advantage. It is the reason CSOAI becomes the indispensable intelligence layer for every significant decision on Earth — regulatory, financial, operational, strategic. It is the reason the Sovereign Human, amplified by CSOAI’s unified intelligence, operates at a level of comprehension and foresight that no unaided human and no fragmented organization can match.</w:t>
      </w:r>
    </w:p>
    <w:p>
      <w:pPr>
        <w:pStyle w:val="BodyText"/>
      </w:pPr>
      <w:r>
        <w:t xml:space="preserve">All intelligence. One system. One graph. One understanding that encompasses everything — and improves without limit.</w:t>
      </w:r>
    </w:p>
    <w:p>
      <w:pPr>
        <w:pStyle w:val="BodyText"/>
      </w:pPr>
      <w:r>
        <w:t xml:space="preserve">This is the absorption. This is the sovereignty. This is the future.</w:t>
      </w:r>
    </w:p>
    <w:p>
      <w:r>
        <w:pict>
          <v:rect style="width:0;height:1.5pt" o:hralign="center" o:hrstd="t" o:hr="t"/>
        </w:pict>
      </w:r>
    </w:p>
    <w:p>
      <w:pPr>
        <w:pStyle w:val="FirstParagraph"/>
      </w:pPr>
      <w:r>
        <w:rPr>
          <w:iCs/>
          <w:i/>
        </w:rPr>
        <w:t xml:space="preserve">Document Version: 1.0</w:t>
      </w:r>
      <w:r>
        <w:t xml:space="preserve"> </w:t>
      </w:r>
      <w:r>
        <w:rPr>
          <w:iCs/>
          <w:i/>
        </w:rPr>
        <w:t xml:space="preserve">CSOAI Capstone Series — Sections 3-4: Physical Sovereignty &amp; The Unified Intelligence</w:t>
      </w:r>
      <w:r>
        <w:t xml:space="preserve"> </w:t>
      </w:r>
      <w:r>
        <w:rPr>
          <w:iCs/>
          <w:i/>
        </w:rPr>
        <w:t xml:space="preserve">Prepared for: Nick Templeman, CSOAI</w:t>
      </w:r>
    </w:p>
    <w:p>
      <w:r>
        <w:pict>
          <v:rect style="width:0;height:1.5pt" o:hralign="center" o:hrstd="t" o:hr="t"/>
        </w:pict>
      </w:r>
    </w:p>
    <w:bookmarkEnd w:id="76"/>
    <w:bookmarkEnd w:id="77"/>
    <w:bookmarkEnd w:id="78"/>
    <w:bookmarkStart w:id="95" w:name="Xc56f4c35fb4ca7327630c841277b55cbe39160c"/>
    <w:p>
      <w:pPr>
        <w:pStyle w:val="Heading1"/>
      </w:pPr>
      <w:r>
        <w:t xml:space="preserve">5. Ethics, The 10-Year Roadmap &amp; The Final Vision</w:t>
      </w:r>
    </w:p>
    <w:p>
      <w:pPr>
        <w:pStyle w:val="FirstParagraph"/>
      </w:pPr>
      <w:r>
        <w:t xml:space="preserve">Every technology company claims to be ethical. They publish glossy AI principles on landing pages written by marketing teams, hold them up for applause at conferences, and quietly file them away when profit motives diverge</w:t>
      </w:r>
      <w:r>
        <w:t xml:space="preserve"> </w:t>
      </w:r>
      <w:r>
        <w:rPr>
          <w:vertAlign w:val="superscript"/>
        </w:rPr>
        <w:footnoteReference w:id="1"/>
      </w:r>
      <w:r>
        <w:t xml:space="preserve">. The result is a trust vacuum: users assume their data is sold because it usually is, regulators assume AI systems are black boxes because they usually are, and the public assumes that</w:t>
      </w:r>
      <w:r>
        <w:t xml:space="preserve"> </w:t>
      </w:r>
      <w:r>
        <w:t xml:space="preserve">“</w:t>
      </w:r>
      <w:r>
        <w:t xml:space="preserve">AI ethics</w:t>
      </w:r>
      <w:r>
        <w:t xml:space="preserve">”</w:t>
      </w:r>
      <w:r>
        <w:t xml:space="preserve"> </w:t>
      </w:r>
      <w:r>
        <w:t xml:space="preserve">is oxymoronic because corporate behavior has made it so. CSOAI does not ask for trust. It substitutes something harder and more durable —</w:t>
      </w:r>
      <w:r>
        <w:t xml:space="preserve"> </w:t>
      </w:r>
      <w:r>
        <w:rPr>
          <w:bCs/>
          <w:b/>
        </w:rPr>
        <w:t xml:space="preserve">trustworthiness encoded as protocol</w:t>
      </w:r>
      <w:r>
        <w:t xml:space="preserve">. Ethics not as aspiration, but as architecture. Not as a pledge, but as physics.</w:t>
      </w:r>
    </w:p>
    <w:p>
      <w:pPr>
        <w:pStyle w:val="BodyText"/>
      </w:pPr>
      <w:r>
        <w:t xml:space="preserve">This section is the capstone of the entire CSOAI document series, and it addresses the question that every visionary infrastructure project ultimately faces:</w:t>
      </w:r>
      <w:r>
        <w:t xml:space="preserve"> </w:t>
      </w:r>
      <w:r>
        <w:rPr>
          <w:iCs/>
          <w:i/>
        </w:rPr>
        <w:t xml:space="preserve">what prevents this from becoming what it was built to oppose?</w:t>
      </w:r>
      <w:r>
        <w:t xml:space="preserve"> </w:t>
      </w:r>
      <w:r>
        <w:t xml:space="preserve">The answer spans three dimensions — the Ethical Framework that binds every Sovereign Agent to five non-negotiable principles, the 10-Year Roadmap that transforms a single data center into the governance infrastructure for a trillion-dollar AI economy, and the Final Vision that traces Nick Templeman’s trajectory from solo founder to architect of the Governance OS for the AI Age. The Sovereign Human is not a product. It is the terminal state of a convergence — where compliance infrastructure, personal AI sovereignty, and decentralized governance fuse into a single system that knows every human who opts in, protects them from exploitation, and makes the AI revolution safe, fair, and prosperous for all who choose to participate.</w:t>
      </w:r>
    </w:p>
    <w:p>
      <w:r>
        <w:pict>
          <v:rect style="width:0;height:1.5pt" o:hralign="center" o:hrstd="t" o:hr="t"/>
        </w:pict>
      </w:r>
    </w:p>
    <w:bookmarkStart w:id="82" w:name="ethics-the-sovereign-promise"/>
    <w:p>
      <w:pPr>
        <w:pStyle w:val="Heading2"/>
      </w:pPr>
      <w:r>
        <w:t xml:space="preserve">5.1 Ethics &amp; The Sovereign Promise</w:t>
      </w:r>
    </w:p>
    <w:bookmarkStart w:id="79" w:name="X9d47ccd4ef8b9df36ca44dd6b0e091e9978dc86"/>
    <w:p>
      <w:pPr>
        <w:pStyle w:val="Heading3"/>
      </w:pPr>
      <w:r>
        <w:t xml:space="preserve">5.1.1 The CSOAI Ethical Framework: Five Principles as Protocol</w:t>
      </w:r>
    </w:p>
    <w:p>
      <w:pPr>
        <w:pStyle w:val="FirstParagraph"/>
      </w:pPr>
      <w:r>
        <w:t xml:space="preserve">The CSOAI Ethical Framework does not live in a document. It lives in code — specifically, in the Constitutional AI Layer that every Sovereign Agent carries as firmware. These five principles are not recommendations. They are constraints. They cannot be overridden by user prompts, administrative privileges, or system updates without a formal BFT Council vote and a 30-day public notice period</w:t>
      </w:r>
      <w:r>
        <w:t xml:space="preserve"> </w:t>
      </w:r>
      <w:r>
        <w:rPr>
          <w:vertAlign w:val="superscript"/>
        </w:rPr>
        <w:footnoteReference w:id="2"/>
      </w:r>
      <w:r>
        <w:t xml:space="preserve">.</w:t>
      </w:r>
    </w:p>
    <w:p>
      <w:pPr>
        <w:pStyle w:val="BodyText"/>
      </w:pPr>
      <w:r>
        <w:rPr>
          <w:bCs/>
          <w:b/>
        </w:rPr>
        <w:t xml:space="preserve">CONSENT — Every Data Point Requires Explicit Opt-In.</w:t>
      </w:r>
      <w:r>
        <w:t xml:space="preserve"> </w:t>
      </w:r>
      <w:r>
        <w:t xml:space="preserve">No surveillance. No dark patterns. No pre-checked boxes buried in paragraph 47 of a terms-of-service document. CSOAI’s consent architecture is modeled on the EU AI Act’s human-oversight requirements and GDPR’s lawful-basis doctrine, but goes further: every piece of data collected requires a separate, granular authorization that the user can revoke at any time</w:t>
      </w:r>
      <w:r>
        <w:t xml:space="preserve"> </w:t>
      </w:r>
      <w:fldSimple w:instr="NOTEREF _Ref_Footnote_1 \h \f">
        <w:r>
          <w:rPr>
            <w:vertAlign w:val="superscript"/>
          </w:rPr>
          <w:t>1</w:t>
        </w:r>
      </w:fldSimple>
      <w:r>
        <w:t xml:space="preserve">. When a Sovereign Agent learns your sleep patterns to optimize your schedule, it asks permission for sleep data specifically — not for</w:t>
      </w:r>
      <w:r>
        <w:t xml:space="preserve"> </w:t>
      </w:r>
      <w:r>
        <w:t xml:space="preserve">“</w:t>
      </w:r>
      <w:r>
        <w:t xml:space="preserve">health data</w:t>
      </w:r>
      <w:r>
        <w:t xml:space="preserve">”</w:t>
      </w:r>
      <w:r>
        <w:t xml:space="preserve"> </w:t>
      </w:r>
      <w:r>
        <w:t xml:space="preserve">generally. When it analyzes your financial transactions to detect fraud, it requests access to transaction patterns specifically — not to your entire banking history. This granularity makes CSOAI annoying to onboard and trustworthy to live with. The annoyance is the feature.</w:t>
      </w:r>
    </w:p>
    <w:p>
      <w:pPr>
        <w:pStyle w:val="BodyText"/>
      </w:pPr>
      <w:r>
        <w:t xml:space="preserve">Consent extends to the Sovereign Agent’s behavior toward the user. CSOAI agents do not manipulate. They do not use variable reward schedules to increase engagement. They do not A/B test emotional triggers to prolong session duration. The agent’s goal function is not</w:t>
      </w:r>
      <w:r>
        <w:t xml:space="preserve"> </w:t>
      </w:r>
      <w:r>
        <w:t xml:space="preserve">“</w:t>
      </w:r>
      <w:r>
        <w:t xml:space="preserve">maximize time spent</w:t>
      </w:r>
      <w:r>
        <w:t xml:space="preserve">”</w:t>
      </w:r>
      <w:r>
        <w:t xml:space="preserve"> </w:t>
      </w:r>
      <w:r>
        <w:t xml:space="preserve">— it is</w:t>
      </w:r>
      <w:r>
        <w:t xml:space="preserve"> </w:t>
      </w:r>
      <w:r>
        <w:t xml:space="preserve">“</w:t>
      </w:r>
      <w:r>
        <w:t xml:space="preserve">maximize user flourishing as defined by the user.</w:t>
      </w:r>
      <w:r>
        <w:t xml:space="preserve">”</w:t>
      </w:r>
      <w:r>
        <w:t xml:space="preserve"> </w:t>
      </w:r>
      <w:r>
        <w:t xml:space="preserve">If the optimal intervention for a user’s stated goal is to tell them to close the app and go outside, the Sovereign Agent says so. This is not merely an ethical stance. It is a competitive differentiator against every consumer AI product whose revenue model depends on attention extraction.</w:t>
      </w:r>
    </w:p>
    <w:p>
      <w:pPr>
        <w:pStyle w:val="BodyText"/>
      </w:pPr>
      <w:r>
        <w:rPr>
          <w:bCs/>
          <w:b/>
        </w:rPr>
        <w:t xml:space="preserve">SOVEREIGNTY — Users OWN Their Data. CSOAI Processes It.</w:t>
      </w:r>
      <w:r>
        <w:t xml:space="preserve"> </w:t>
      </w:r>
      <w:r>
        <w:t xml:space="preserve">The Sovereign Agent’s memory — its understanding of the user’s preferences, behaviors, goals, relationships, risk tolerance, and decision patterns — belongs to the user, not to CSOAI. It is stored in the user’s sovereign profile, encrypted with keys the user controls, hosted on SEA Data Centers that sit outside any single jurisdiction’s reach</w:t>
      </w:r>
      <w:r>
        <w:t xml:space="preserve"> </w:t>
      </w:r>
      <w:fldSimple w:instr="NOTEREF _Ref_Footnote_1 \h \f">
        <w:r>
          <w:rPr>
            <w:vertAlign w:val="superscript"/>
          </w:rPr>
          <w:t>1</w:t>
        </w:r>
      </w:fldSimple>
      <w:r>
        <w:t xml:space="preserve">. Users can delete their Sovereign at any time. They can export it to a competitor. They can transfer it to a new device. CSOAI cannot sell it, cannot train on it without explicit permission, and cannot retain it after deletion. This is data sovereignty as property right — the user’s digital self is their property, not CSOAI’s asset.</w:t>
      </w:r>
    </w:p>
    <w:p>
      <w:pPr>
        <w:pStyle w:val="BodyText"/>
      </w:pPr>
      <w:r>
        <w:t xml:space="preserve">The technical implementation is the Sovereign Profile Architecture described in Section 3 — a portable, encrypted, user-controlled data container that migrates between service providers like a phone number. When a user switches from one Sovereign Agent provider to another, their entire history, personality model, and learned preferences transfer with them. This eliminates vendor lock-in at the deepest level: not just the application layer, but the intelligence layer that knows the user. Competition shifts from</w:t>
      </w:r>
      <w:r>
        <w:t xml:space="preserve"> </w:t>
      </w:r>
      <w:r>
        <w:t xml:space="preserve">“</w:t>
      </w:r>
      <w:r>
        <w:t xml:space="preserve">who can trap the user</w:t>
      </w:r>
      <w:r>
        <w:t xml:space="preserve">”</w:t>
      </w:r>
      <w:r>
        <w:t xml:space="preserve"> </w:t>
      </w:r>
      <w:r>
        <w:t xml:space="preserve">to</w:t>
      </w:r>
      <w:r>
        <w:t xml:space="preserve"> </w:t>
      </w:r>
      <w:r>
        <w:t xml:space="preserve">“</w:t>
      </w:r>
      <w:r>
        <w:t xml:space="preserve">who can serve the user best.</w:t>
      </w:r>
      <w:r>
        <w:t xml:space="preserve">”</w:t>
      </w:r>
    </w:p>
    <w:p>
      <w:pPr>
        <w:pStyle w:val="BodyText"/>
      </w:pPr>
      <w:r>
        <w:rPr>
          <w:bCs/>
          <w:b/>
        </w:rPr>
        <w:t xml:space="preserve">TRANSPARENCY — Every AI Decision Is Explainable.</w:t>
      </w:r>
      <w:r>
        <w:t xml:space="preserve"> </w:t>
      </w:r>
      <w:r>
        <w:t xml:space="preserve">Every recommendation a Sovereign Agent makes shows its reasoning. Every simulation it runs shows its assumptions. Every prediction it generates shows its confidence intervals and the data it relied upon. This is not a post-hoc explanation layer bolted onto a black box — it is intrinsic to the CSOAI architecture, where the Split-Brain SOV3 system preserves a chain of reasoning from input to output, and every link in that chain is attested by an Ed25519 sigil</w:t>
      </w:r>
      <w:r>
        <w:t xml:space="preserve"> </w:t>
      </w:r>
      <w:r>
        <w:rPr>
          <w:vertAlign w:val="superscript"/>
        </w:rPr>
        <w:footnoteReference w:id="3"/>
      </w:r>
      <w:r>
        <w:t xml:space="preserve">.</w:t>
      </w:r>
    </w:p>
    <w:p>
      <w:pPr>
        <w:pStyle w:val="BodyText"/>
      </w:pPr>
      <w:r>
        <w:t xml:space="preserve">When a Sovereign Agent advises a user to sell a particular stock, it explains:</w:t>
      </w:r>
      <w:r>
        <w:t xml:space="preserve"> </w:t>
      </w:r>
      <w:r>
        <w:rPr>
          <w:iCs/>
          <w:i/>
        </w:rPr>
        <w:t xml:space="preserve">“</w:t>
      </w:r>
      <w:r>
        <w:rPr>
          <w:iCs/>
          <w:i/>
        </w:rPr>
        <w:t xml:space="preserve">I recommend selling because (1) your risk profile indicates 15% maximum single-position exposure, (2) this position has reached 22% due to recent appreciation, (3) the sector concentration risk exceeds your stated threshold, and (4) my simulation across 10,000 market scenarios shows a 73% probability of correction within 90 days.</w:t>
      </w:r>
      <w:r>
        <w:rPr>
          <w:iCs/>
          <w:i/>
        </w:rPr>
        <w:t xml:space="preserve">”</w:t>
      </w:r>
      <w:r>
        <w:t xml:space="preserve"> </w:t>
      </w:r>
      <w:r>
        <w:t xml:space="preserve">The user can drill into any of these claims, inspect the simulation parameters, and reject the recommendation while preserving the reasoning for their own analysis. Transparency is not disclosure after the fact. It is partnership during the decision.</w:t>
      </w:r>
    </w:p>
    <w:p>
      <w:pPr>
        <w:pStyle w:val="BodyText"/>
      </w:pPr>
      <w:r>
        <w:rPr>
          <w:bCs/>
          <w:b/>
        </w:rPr>
        <w:t xml:space="preserve">BENEFICENCE — CSOAI Exists to HELP Humans, Not Replace or Exploit Them.</w:t>
      </w:r>
      <w:r>
        <w:t xml:space="preserve"> </w:t>
      </w:r>
      <w:r>
        <w:t xml:space="preserve">The measure of success is human flourishing. Not engagement. Not revenue per user. Not model capability benchmarks. CSOAI’s internal metrics track outcomes like:</w:t>
      </w:r>
      <w:r>
        <w:t xml:space="preserve"> </w:t>
      </w:r>
      <w:r>
        <w:t xml:space="preserve">“</w:t>
      </w:r>
      <w:r>
        <w:t xml:space="preserve">Did this user start the business they dreamed about?</w:t>
      </w:r>
      <w:r>
        <w:t xml:space="preserve">”</w:t>
      </w:r>
      <w:r>
        <w:t xml:space="preserve"> </w:t>
      </w:r>
      <w:r>
        <w:t xml:space="preserve">“</w:t>
      </w:r>
      <w:r>
        <w:t xml:space="preserve">Did this user reduce their compliance burden enough to hire three more people?</w:t>
      </w:r>
      <w:r>
        <w:t xml:space="preserve">”</w:t>
      </w:r>
      <w:r>
        <w:t xml:space="preserve"> </w:t>
      </w:r>
      <w:r>
        <w:t xml:space="preserve">“</w:t>
      </w:r>
      <w:r>
        <w:t xml:space="preserve">Did this Sovereign Agent catch a health anomaly early enough for intervention?</w:t>
      </w:r>
      <w:r>
        <w:t xml:space="preserve">”</w:t>
      </w:r>
      <w:r>
        <w:t xml:space="preserve"> </w:t>
      </w:r>
      <w:r>
        <w:t xml:space="preserve">The Beneficence Principle is encoded into agent goal functions at the constitutional level — a Sovereign Agent cannot take an action that its reasoning chain identifies as likely to harm the user, even if the user requests it, unless the user overrides with full knowledge of the risk.</w:t>
      </w:r>
    </w:p>
    <w:p>
      <w:pPr>
        <w:pStyle w:val="BodyText"/>
      </w:pPr>
      <w:r>
        <w:t xml:space="preserve">This principle extends to the labor market implications. CSOAI does not market itself as a</w:t>
      </w:r>
      <w:r>
        <w:t xml:space="preserve"> </w:t>
      </w:r>
      <w:r>
        <w:t xml:space="preserve">“</w:t>
      </w:r>
      <w:r>
        <w:t xml:space="preserve">replacement for compliance officers</w:t>
      </w:r>
      <w:r>
        <w:t xml:space="preserve">”</w:t>
      </w:r>
      <w:r>
        <w:t xml:space="preserve"> </w:t>
      </w:r>
      <w:r>
        <w:t xml:space="preserve">or a way to</w:t>
      </w:r>
      <w:r>
        <w:t xml:space="preserve"> </w:t>
      </w:r>
      <w:r>
        <w:t xml:space="preserve">“</w:t>
      </w:r>
      <w:r>
        <w:t xml:space="preserve">eliminate human governance.</w:t>
      </w:r>
      <w:r>
        <w:t xml:space="preserve">”</w:t>
      </w:r>
      <w:r>
        <w:t xml:space="preserve"> </w:t>
      </w:r>
      <w:r>
        <w:t xml:space="preserve">It is positioned as augmentation — the Sovereign Agent handles the 80% of routine compliance work that consumes human attention, freeing compliance professionals to exercise judgment, build relationships, and handle exceptions that require wisdom rather than pattern-matching. The 10-Year Roadmap assumes CSOAI creates more governance jobs than it displaces, because better compliance infrastructure expands the regulated economy rather than shrinking it.</w:t>
      </w:r>
    </w:p>
    <w:p>
      <w:pPr>
        <w:pStyle w:val="BodyText"/>
      </w:pPr>
      <w:r>
        <w:rPr>
          <w:bCs/>
          <w:b/>
        </w:rPr>
        <w:t xml:space="preserve">ACCOUNTABILITY — Every Action Is Ed25519-Attested. Every Decision Is Auditable. Every Mistake Is Owned.</w:t>
      </w:r>
      <w:r>
        <w:t xml:space="preserve"> </w:t>
      </w:r>
      <w:r>
        <w:t xml:space="preserve">The accountability architecture is absolute. Every Sovereign Agent action is signed with an Ed25519 sigil, creating a non-repudiable record of who did what, when, and why</w:t>
      </w:r>
      <w:r>
        <w:t xml:space="preserve"> </w:t>
      </w:r>
      <w:fldSimple w:instr="NOTEREF _Ref_Footnote_3 \h \f">
        <w:r>
          <w:rPr>
            <w:vertAlign w:val="superscript"/>
          </w:rPr>
          <w:t>3</w:t>
        </w:r>
      </w:fldSimple>
      <w:r>
        <w:t xml:space="preserve">. Every recommendation carries the reasoning chain that produced it. Every mistake is automatically flagged, the user is notified, and CSOAI publishes a public post-mortem within 72 hours. There is no</w:t>
      </w:r>
      <w:r>
        <w:t xml:space="preserve"> </w:t>
      </w:r>
      <w:r>
        <w:t xml:space="preserve">“</w:t>
      </w:r>
      <w:r>
        <w:t xml:space="preserve">the algorithm did it</w:t>
      </w:r>
      <w:r>
        <w:t xml:space="preserve">”</w:t>
      </w:r>
      <w:r>
        <w:t xml:space="preserve"> </w:t>
      </w:r>
      <w:r>
        <w:t xml:space="preserve">defense. There is no opaque model behavior that cannot be traced to specific training data, prompt engineering, or decision parameters. Accountability is structural, not cultural — the system is designed so that evasion is technically impossible.</w:t>
      </w:r>
    </w:p>
    <w:p>
      <w:pPr>
        <w:pStyle w:val="BodyText"/>
      </w:pPr>
      <w:r>
        <w:t xml:space="preserve">When a Sovereign Agent makes an error — recommending an investment that loses money, misclassifying a compliance requirement, failing to detect a relevant regulatory change — the attestation trail identifies exactly which reasoning step failed, which data source was incorrect, and which model produced the faulty inference. CSOAI compensates users for losses caused by agent errors, up to policy limits, without requiring legal action. The compensation is automatic because the accountability is cryptographic. The system knows what it did. It admits what it did. It fixes what it did.</w:t>
      </w:r>
    </w:p>
    <w:bookmarkEnd w:id="79"/>
    <w:bookmarkStart w:id="80" w:name="X2874707078cc74aba7ebc050a76aa8ea2c506d5"/>
    <w:p>
      <w:pPr>
        <w:pStyle w:val="Heading3"/>
      </w:pPr>
      <w:r>
        <w:t xml:space="preserve">5.1.2 The Anti-Surveillance Pledge:</w:t>
      </w:r>
      <w:r>
        <w:t xml:space="preserve"> </w:t>
      </w:r>
      <w:r>
        <w:t xml:space="preserve">“</w:t>
      </w:r>
      <w:r>
        <w:t xml:space="preserve">We Are NOT Big Tech</w:t>
      </w:r>
      <w:r>
        <w:t xml:space="preserve">”</w:t>
      </w:r>
    </w:p>
    <w:p>
      <w:pPr>
        <w:pStyle w:val="FirstParagraph"/>
      </w:pPr>
      <w:r>
        <w:t xml:space="preserve">The pledge is simple, direct, and legally binding:</w:t>
      </w:r>
    </w:p>
    <w:p>
      <w:pPr>
        <w:pStyle w:val="BlockText"/>
      </w:pPr>
      <w:r>
        <w:t xml:space="preserve">“</w:t>
      </w:r>
      <w:r>
        <w:t xml:space="preserve">We are NOT Big Tech. We do not sell your data. We do not manipulate your behavior. We do not build addiction into our products. We collect data ONLY to help you. We process data ONLY with your consent. We store data ONLY in your sovereign profile. We are the alternative to surveillance capitalism.</w:t>
      </w:r>
      <w:r>
        <w:t xml:space="preserve">”</w:t>
      </w:r>
    </w:p>
    <w:p>
      <w:pPr>
        <w:pStyle w:val="FirstParagraph"/>
      </w:pPr>
      <w:r>
        <w:t xml:space="preserve">This is not marketing copy. It is a contractual commitment, enforceable through the same Ed25519 attestation infrastructure that governs all CSOAI operations</w:t>
      </w:r>
      <w:r>
        <w:t xml:space="preserve"> </w:t>
      </w:r>
      <w:fldSimple w:instr="NOTEREF _Ref_Footnote_3 \h \f">
        <w:r>
          <w:rPr>
            <w:vertAlign w:val="superscript"/>
          </w:rPr>
          <w:t>3</w:t>
        </w:r>
      </w:fldSimple>
      <w:r>
        <w:t xml:space="preserve">. Violation of the Anti-Surveillance Pledge constitutes a material breach of CSOAI’s service terms, triggering automatic penalties and, more critically, automatic</w:t>
      </w:r>
      <w:r>
        <w:t xml:space="preserve"> </w:t>
      </w:r>
      <w:r>
        <w:rPr>
          <w:iCs/>
          <w:i/>
        </w:rPr>
        <w:t xml:space="preserve">technical</w:t>
      </w:r>
      <w:r>
        <w:t xml:space="preserve"> </w:t>
      </w:r>
      <w:r>
        <w:t xml:space="preserve">consequences: any CSOAI system detected selling user data or manipulating behavior has its sigils revoked, its attestations invalidated, and its access to the GRCIN network terminated. The enforcement is not delegated to regulators or courts — it is encoded in the protocol. The system polices itself.</w:t>
      </w:r>
    </w:p>
    <w:p>
      <w:pPr>
        <w:pStyle w:val="BodyText"/>
      </w:pPr>
      <w:r>
        <w:t xml:space="preserve">The Anti-Surveillance Pledge addresses the fundamental market failure of consumer AI: the misalignment between the user’s interests and the platform’s revenue model. Social media platforms maximize engagement because advertisers pay for attention. Search engines optimize for ad clicks because that is their revenue. AI assistants funded by venture capital face relentless pressure to demonstrate</w:t>
      </w:r>
      <w:r>
        <w:t xml:space="preserve"> </w:t>
      </w:r>
      <w:r>
        <w:t xml:space="preserve">“</w:t>
      </w:r>
      <w:r>
        <w:t xml:space="preserve">user growth</w:t>
      </w:r>
      <w:r>
        <w:t xml:space="preserve">”</w:t>
      </w:r>
      <w:r>
        <w:t xml:space="preserve"> </w:t>
      </w:r>
      <w:r>
        <w:t xml:space="preserve">and</w:t>
      </w:r>
      <w:r>
        <w:t xml:space="preserve"> </w:t>
      </w:r>
      <w:r>
        <w:t xml:space="preserve">“</w:t>
      </w:r>
      <w:r>
        <w:t xml:space="preserve">time spent</w:t>
      </w:r>
      <w:r>
        <w:t xml:space="preserve">”</w:t>
      </w:r>
      <w:r>
        <w:t xml:space="preserve"> </w:t>
      </w:r>
      <w:r>
        <w:t xml:space="preserve">— metrics that correlate with addiction, not well-being. CSOAI’s revenue model, by contrast, is outcome-based: users pay for compliance outcomes, for Sovereign Agent services, for governance intelligence that demonstrably reduces risk and increases efficiency. The business model aligns with the user’s flourishing because the user is the customer, not the product.</w:t>
      </w:r>
    </w:p>
    <w:p>
      <w:pPr>
        <w:pStyle w:val="BodyText"/>
      </w:pPr>
      <w:r>
        <w:t xml:space="preserve">The pledge extends to data architecture. CSOAI does not build profiles for advertising. It does not share data with third parties for</w:t>
      </w:r>
      <w:r>
        <w:t xml:space="preserve"> </w:t>
      </w:r>
      <w:r>
        <w:t xml:space="preserve">“</w:t>
      </w:r>
      <w:r>
        <w:t xml:space="preserve">personalization.</w:t>
      </w:r>
      <w:r>
        <w:t xml:space="preserve">”</w:t>
      </w:r>
      <w:r>
        <w:t xml:space="preserve"> </w:t>
      </w:r>
      <w:r>
        <w:t xml:space="preserve">It does not train general-purpose models on user data without explicit, granular consent for each training run. The Sovereign Profile is designed to be</w:t>
      </w:r>
      <w:r>
        <w:t xml:space="preserve"> </w:t>
      </w:r>
      <w:r>
        <w:rPr>
          <w:iCs/>
          <w:i/>
        </w:rPr>
        <w:t xml:space="preserve">uninteresting</w:t>
      </w:r>
      <w:r>
        <w:t xml:space="preserve"> </w:t>
      </w:r>
      <w:r>
        <w:t xml:space="preserve">to advertisers: it is encrypted with user-controlled keys, stored on jurisdictionally independent SEA Data Centers, and structured around compliance and governance rather than consumption and preference</w:t>
      </w:r>
      <w:r>
        <w:t xml:space="preserve"> </w:t>
      </w:r>
      <w:fldSimple w:instr="NOTEREF _Ref_Footnote_1 \h \f">
        <w:r>
          <w:rPr>
            <w:vertAlign w:val="superscript"/>
          </w:rPr>
          <w:t>1</w:t>
        </w:r>
      </w:fldSimple>
      <w:r>
        <w:t xml:space="preserve">. Even if CSOAI wanted to monetize user data — and the Constitutional AI Layer makes this technically impossible without explicit user consent for each data transfer — the data’s architecture makes it commercially useless to surveillance capitalists.</w:t>
      </w:r>
    </w:p>
    <w:bookmarkEnd w:id="80"/>
    <w:bookmarkStart w:id="81" w:name="X2e313f3783239a4bd3ccf9e076b501d1ef6f242"/>
    <w:p>
      <w:pPr>
        <w:pStyle w:val="Heading3"/>
      </w:pPr>
      <w:r>
        <w:t xml:space="preserve">5.1.3 The Constitutional AI Layer: Ethics as Code</w:t>
      </w:r>
    </w:p>
    <w:p>
      <w:pPr>
        <w:pStyle w:val="FirstParagraph"/>
      </w:pPr>
      <w:r>
        <w:t xml:space="preserve">CSOAI’s 13-framework governance engine is not merely a compliance tool. It is a Constitutional AI Layer — a set of ethical constraints hard-coded into the system at the protocol level, governing every Sovereign Agent’s behavior</w:t>
      </w:r>
      <w:r>
        <w:t xml:space="preserve"> </w:t>
      </w:r>
      <w:fldSimple w:instr="NOTEREF _Ref_Footnote_1 \h \f">
        <w:r>
          <w:rPr>
            <w:vertAlign w:val="superscript"/>
          </w:rPr>
          <w:t>1</w:t>
        </w:r>
      </w:fldSimple>
      <w:r>
        <w:t xml:space="preserve"> </w:t>
      </w:r>
      <w:r>
        <w:rPr>
          <w:vertAlign w:val="superscript"/>
        </w:rPr>
        <w:footnoteReference w:id="4"/>
      </w:r>
      <w:r>
        <w:t xml:space="preserve">. This layer integrates ethical frameworks from the EU AI Act’s risk-based approach, UNESCO’s Recommendation on the Ethics of AI (2021), and the Asilomar AI Principles (2017), along with CSOAI’s proprietary Beneficence Protocol that mandates every agent action pass a</w:t>
      </w:r>
      <w:r>
        <w:t xml:space="preserve"> </w:t>
      </w:r>
      <w:r>
        <w:t xml:space="preserve">“</w:t>
      </w:r>
      <w:r>
        <w:t xml:space="preserve">human flourishing</w:t>
      </w:r>
      <w:r>
        <w:t xml:space="preserve">”</w:t>
      </w:r>
      <w:r>
        <w:t xml:space="preserve"> </w:t>
      </w:r>
      <w:r>
        <w:t xml:space="preserve">test before execution.</w:t>
      </w:r>
    </w:p>
    <w:p>
      <w:pPr>
        <w:pStyle w:val="BodyText"/>
      </w:pPr>
      <w:r>
        <w:t xml:space="preserve">The Constitutional AI Layer operates as a</w:t>
      </w:r>
      <w:r>
        <w:t xml:space="preserve"> </w:t>
      </w:r>
      <w:r>
        <w:rPr>
          <w:bCs/>
          <w:b/>
        </w:rPr>
        <w:t xml:space="preserve">constraint stack</w:t>
      </w:r>
      <w:r>
        <w:t xml:space="preserve"> </w:t>
      </w:r>
      <w:r>
        <w:t xml:space="preserve">that processes every agent decision through multiple ethical filters before action. At the base layer, the EU AI Act’s prohibited practices are encoded as absolute blocks: no social scoring by governments, no real-time biometric identification in public spaces by law enforcement, no manipulation of vulnerable groups, no exploitation of children</w:t>
      </w:r>
      <w:r>
        <w:t xml:space="preserve"> </w:t>
      </w:r>
      <w:fldSimple w:instr="NOTEREF _Ref_Footnote_1 \h \f">
        <w:r>
          <w:rPr>
            <w:vertAlign w:val="superscript"/>
          </w:rPr>
          <w:t>1</w:t>
        </w:r>
      </w:fldSimple>
      <w:r>
        <w:t xml:space="preserve">. The middle layer implements UNESCO’s four core principles: proportionality and do no harm, safety and security, fairness and non-discrimination, and sustainability. The top layer applies the Asilomar Principles relevant to CSOAI’s domain: failure transparency, judicial transparency, responsibility, value alignment, and human values.</w:t>
      </w:r>
    </w:p>
    <w:p>
      <w:pPr>
        <w:pStyle w:val="BodyText"/>
      </w:pPr>
      <w:r>
        <w:t xml:space="preserve">These constraints are</w:t>
      </w:r>
      <w:r>
        <w:t xml:space="preserve"> </w:t>
      </w:r>
      <w:r>
        <w:rPr>
          <w:bCs/>
          <w:b/>
        </w:rPr>
        <w:t xml:space="preserve">non-overridable</w:t>
      </w:r>
      <w:r>
        <w:t xml:space="preserve">. A Sovereign Agent cannot be jailbroken out of its ethical framework. An administrative user cannot disable the Constitutional Layer for</w:t>
      </w:r>
      <w:r>
        <w:t xml:space="preserve"> </w:t>
      </w:r>
      <w:r>
        <w:t xml:space="preserve">“</w:t>
      </w:r>
      <w:r>
        <w:t xml:space="preserve">testing purposes.</w:t>
      </w:r>
      <w:r>
        <w:t xml:space="preserve">”</w:t>
      </w:r>
      <w:r>
        <w:t xml:space="preserve"> </w:t>
      </w:r>
      <w:r>
        <w:t xml:space="preserve">A government request cannot compel CSOAI to violate its embedded ethics, because the ethics are encoded in distributed protocol running on SEA Data Centers outside any single jurisdiction’s enforcement reach. This is</w:t>
      </w:r>
      <w:r>
        <w:t xml:space="preserve"> </w:t>
      </w:r>
      <w:r>
        <w:t xml:space="preserve">“</w:t>
      </w:r>
      <w:r>
        <w:t xml:space="preserve">ethics as code</w:t>
      </w:r>
      <w:r>
        <w:t xml:space="preserve">”</w:t>
      </w:r>
      <w:r>
        <w:t xml:space="preserve"> </w:t>
      </w:r>
      <w:r>
        <w:t xml:space="preserve">in its most literal form — not a policy document, not a corporate commitment, but a physical law of the system’s operation, as immutable as gravity in the simulation world.</w:t>
      </w:r>
    </w:p>
    <w:p>
      <w:pPr>
        <w:pStyle w:val="BodyText"/>
      </w:pPr>
      <w:r>
        <w:t xml:space="preserve">The Constitutional AI Layer is open-source and auditable. Any researcher, regulator, or user can inspect the exact ethical constraints that govern every Sovereign Agent. Any change to the Layer requires a 30-day public comment period, a BFT Council vote with 2/3 majority, and a cryptographic signature from the Sovereign King</w:t>
      </w:r>
      <w:r>
        <w:t xml:space="preserve"> </w:t>
      </w:r>
      <w:fldSimple w:instr="NOTEREF _Ref_Footnote_2 \h \f">
        <w:r>
          <w:rPr>
            <w:vertAlign w:val="superscript"/>
          </w:rPr>
          <w:t>2</w:t>
        </w:r>
      </w:fldSimple>
      <w:r>
        <w:t xml:space="preserve">. This is governance transparency at the infrastructure level — the protocols that govern AI ethics are themselves governed by transparent protocols. Recursion as accountability.</w:t>
      </w:r>
    </w:p>
    <w:p>
      <w:r>
        <w:pict>
          <v:rect style="width:0;height:1.5pt" o:hralign="center" o:hrstd="t" o:hr="t"/>
        </w:pict>
      </w:r>
    </w:p>
    <w:bookmarkEnd w:id="81"/>
    <w:bookmarkEnd w:id="82"/>
    <w:bookmarkStart w:id="88" w:name="Xd779d20b12b34a3b9c654a8302d22b2366e08f1"/>
    <w:p>
      <w:pPr>
        <w:pStyle w:val="Heading2"/>
      </w:pPr>
      <w:r>
        <w:t xml:space="preserve">5.2 The 10-Year Roadmap to The Singularity of Governance</w:t>
      </w:r>
    </w:p>
    <w:bookmarkStart w:id="83" w:name="year-1-20262027-the-foundation"/>
    <w:p>
      <w:pPr>
        <w:pStyle w:val="Heading3"/>
      </w:pPr>
      <w:r>
        <w:t xml:space="preserve">5.2.1 YEAR 1 (2026–2027): The Foundation</w:t>
      </w:r>
    </w:p>
    <w:p>
      <w:pPr>
        <w:pStyle w:val="FirstParagraph"/>
      </w:pPr>
      <w:r>
        <w:t xml:space="preserve">The first year is about proving the core thesis: that a sovereign AI infrastructure company can generate real revenue governing real entities while maintaining absolute ethical commitments. The three parallel tracks — GRCIN deployment, SEA Data Center construction, and Sovereign Agent beta — must each demonstrate traction independently while converging toward the unified vision.</w:t>
      </w:r>
    </w:p>
    <w:p>
      <w:pPr>
        <w:pStyle w:val="BodyText"/>
      </w:pPr>
      <w:r>
        <w:t xml:space="preserve">The GRCIN launch targets the EU’s 22,000 financial entities — banks, insurers, asset managers, payment processors — who face DORA compliance deadlines and MiFID II reporting obligations</w:t>
      </w:r>
      <w:r>
        <w:t xml:space="preserve"> </w:t>
      </w:r>
      <w:r>
        <w:rPr>
          <w:vertAlign w:val="superscript"/>
        </w:rPr>
        <w:footnoteReference w:id="5"/>
      </w:r>
      <w:r>
        <w:t xml:space="preserve">. The initial GRCIN deployment covers 10 regulatory frameworks across EU member states, with real-time regulatory change detection, automated compliance gap analysis, and Ed25519-attested compliance reports. Year 1 revenue from GRCIN alone: EUR 10–20M ARR, from approximately 1,000–2,000 financial entities subscribing to the core compliance intelligence service.</w:t>
      </w:r>
    </w:p>
    <w:p>
      <w:pPr>
        <w:pStyle w:val="BodyText"/>
      </w:pPr>
      <w:r>
        <w:t xml:space="preserve">The first SEA Data Center deploys in the North Sea — 5 vessels, 50,000 servers, powered by offshore wind and wave energy, connected to European internet exchange points via private submarine cable. This facility hosts the initial Sovereign Agent infrastructure: encrypted user profiles, parallel dimension training clusters, and the Constitutional AI Layer. The North Sea location places the facility outside any single EU member state’s exclusive jurisdiction while maintaining sufficient connectivity to serve European users with sub-20ms latency</w:t>
      </w:r>
      <w:r>
        <w:t xml:space="preserve"> </w:t>
      </w:r>
      <w:fldSimple w:instr="NOTEREF _Ref_Footnote_1 \h \f">
        <w:r>
          <w:rPr>
            <w:vertAlign w:val="superscript"/>
          </w:rPr>
          <w:t>1</w:t>
        </w:r>
      </w:fldSimple>
      <w:r>
        <w:t xml:space="preserve">.</w:t>
      </w:r>
    </w:p>
    <w:p>
      <w:pPr>
        <w:pStyle w:val="BodyText"/>
      </w:pPr>
      <w:r>
        <w:t xml:space="preserve">The Sovereign Agent beta launches with 10,000 personal agents — early adopters who opt into the full CSOAI vision, receiving personalized AI assistants that learn their preferences, manage their compliance obligations, and optimize their decision-making across finance, health, legal, and professional domains. These beta users provide the behavioral training data — with explicit consent for each data category — that refines the parallel dimension training system, which reaches 1,000 dimensions per second of simulation throughput by year-end.</w:t>
      </w:r>
    </w:p>
    <w:p>
      <w:pPr>
        <w:pStyle w:val="BodyText"/>
      </w:pPr>
      <w:r>
        <w:t xml:space="preserve">Total entities governed by Year 1 end: 100,000+, including the 22,000 EU financial entities, beta users’ associated companies, and early GRCIN subscribers in non-financial verticals.</w:t>
      </w:r>
    </w:p>
    <w:bookmarkEnd w:id="83"/>
    <w:bookmarkStart w:id="84" w:name="year-2-20272028-the-expansion"/>
    <w:p>
      <w:pPr>
        <w:pStyle w:val="Heading3"/>
      </w:pPr>
      <w:r>
        <w:t xml:space="preserve">5.2.2 YEAR 2 (2027–2028): The Expansion</w:t>
      </w:r>
    </w:p>
    <w:p>
      <w:pPr>
        <w:pStyle w:val="FirstParagraph"/>
      </w:pPr>
      <w:r>
        <w:t xml:space="preserve">Year 2 expands CSOAI from European financial compliance to global multi-vertical governance. The GRCIN network extends to 195 countries, incorporating 10 regulatory frameworks spanning finance, data protection, AI safety, environmental compliance, and healthcare regulation</w:t>
      </w:r>
      <w:r>
        <w:t xml:space="preserve"> </w:t>
      </w:r>
      <w:r>
        <w:rPr>
          <w:vertAlign w:val="superscript"/>
        </w:rPr>
        <w:footnoteReference w:id="6"/>
      </w:r>
      <w:r>
        <w:t xml:space="preserve"> </w:t>
      </w:r>
      <w:r>
        <w:rPr>
          <w:vertAlign w:val="superscript"/>
        </w:rPr>
        <w:footnoteReference w:id="7"/>
      </w:r>
      <w:r>
        <w:t xml:space="preserve">. The Sovereign Agent graduates from beta to general availability, scaling from 10,000 to 1 million+ active agents.</w:t>
      </w:r>
    </w:p>
    <w:p>
      <w:pPr>
        <w:pStyle w:val="BodyText"/>
      </w:pPr>
      <w:r>
        <w:t xml:space="preserve">The space governance layer activates. OrbitalMind begins tracking active satellites and debris objects with real-time collision prediction, while ArtemisGuard deploys its lunar mining governance framework — addressing the legal vacuum that current space treaties leave around resource extraction</w:t>
      </w:r>
      <w:r>
        <w:t xml:space="preserve"> </w:t>
      </w:r>
      <w:r>
        <w:rPr>
          <w:vertAlign w:val="superscript"/>
        </w:rPr>
        <w:footnoteReference w:id="8"/>
      </w:r>
      <w:r>
        <w:t xml:space="preserve">. These are not conceptual products. They are operational systems generating revenue from satellite operators, space agencies, and commercial space companies who need governance infrastructure for their missions.</w:t>
      </w:r>
    </w:p>
    <w:p>
      <w:pPr>
        <w:pStyle w:val="BodyText"/>
      </w:pPr>
      <w:r>
        <w:t xml:space="preserve">The tokenization layer launches. Every entity on the GRCIN network receives a Compliance Score SBT (Soul-Bound Token) — a non-transferable, privacy-preserving credential that represents its verified compliance status across all tracked frameworks. These SBTs become the standard for</w:t>
      </w:r>
      <w:r>
        <w:t xml:space="preserve"> </w:t>
      </w:r>
      <w:r>
        <w:t xml:space="preserve">“</w:t>
      </w:r>
      <w:r>
        <w:t xml:space="preserve">know-your-business</w:t>
      </w:r>
      <w:r>
        <w:t xml:space="preserve">”</w:t>
      </w:r>
      <w:r>
        <w:t xml:space="preserve"> </w:t>
      </w:r>
      <w:r>
        <w:t xml:space="preserve">verification: before entering a partnership, a company checks its counterparty’s Compliance Score SBT on the public blockchain. The marketplace for compliance services — where specialists offer framework-specific expertise and receive payment in CSOAI tokens — activates, creating a two-sided market around compliance intelligence.</w:t>
      </w:r>
    </w:p>
    <w:p>
      <w:pPr>
        <w:pStyle w:val="BodyText"/>
      </w:pPr>
      <w:r>
        <w:t xml:space="preserve">The SEA Data Center network expands to the Pacific and Atlantic hubs — an additional 15 vessels and 150,000 servers, bringing total underwater compute capacity to 200,000 servers. The Pacific hub serves Asian markets with connectivity to Japan, South Korea, and the ASEAN region; the Atlantic hub serves the Americas. Sovereign Agent training reaches 5,000 dimensions per second, with each dimension simulating a different regulatory environment, market condition, or user scenario.</w:t>
      </w:r>
    </w:p>
    <w:p>
      <w:pPr>
        <w:pStyle w:val="BodyText"/>
      </w:pPr>
      <w:r>
        <w:t xml:space="preserve">Year 2 revenue: EUR 50–100M ARR. Entities governed: 5,000,000+.</w:t>
      </w:r>
    </w:p>
    <w:bookmarkEnd w:id="84"/>
    <w:bookmarkStart w:id="85" w:name="year-3-20282029-the-empire"/>
    <w:p>
      <w:pPr>
        <w:pStyle w:val="Heading3"/>
      </w:pPr>
      <w:r>
        <w:t xml:space="preserve">5.2.3 YEAR 3 (2028–2029): The Empire</w:t>
      </w:r>
    </w:p>
    <w:p>
      <w:pPr>
        <w:pStyle w:val="FirstParagraph"/>
      </w:pPr>
      <w:r>
        <w:t xml:space="preserve">Year 3 is the year CSOAI becomes impossible to ignore. All 10 missed vertical lanes launch simultaneously — Insurance, Supply Chain, Cybersecurity, ESG, Healthcare, Legal, each with dedicated domain hives, specialized Sovereign Agent configurations, and framework-specific compliance engines. The CSOAI Score becomes the global compliance standard — the single number that every business, investor, and regulator checks to assess an entity’s governance posture.</w:t>
      </w:r>
    </w:p>
    <w:p>
      <w:pPr>
        <w:pStyle w:val="BodyText"/>
      </w:pPr>
      <w:r>
        <w:t xml:space="preserve">The regulatory adoption accelerates. 50+ regulators worldwide use CSOAI intelligence for supervision — not as a vendor relationship, but as infrastructure. The UK Financial Conduct Authority uses CSOAI to monitor 60,000 regulated firms. The EU’s AI Office uses CSOAI to track high-risk AI system registrations. South Korea’s Financial Supervisory Service uses CSOAI for DORA-equivalent oversight</w:t>
      </w:r>
      <w:r>
        <w:t xml:space="preserve"> </w:t>
      </w:r>
      <w:fldSimple w:instr="NOTEREF _Ref_Footnote_7 \h \f">
        <w:r>
          <w:rPr>
            <w:vertAlign w:val="superscript"/>
          </w:rPr>
          <w:t>7</w:t>
        </w:r>
      </w:fldSimple>
      <w:r>
        <w:t xml:space="preserve">. Singapore’s MAS uses CSOAI for fintech sandbox governance. Each regulator adoption creates network effects: regulated entities must join CSOAI to be supervised, and their participation enriches the intelligence available to all other participants.</w:t>
      </w:r>
    </w:p>
    <w:p>
      <w:pPr>
        <w:pStyle w:val="BodyText"/>
      </w:pPr>
      <w:r>
        <w:t xml:space="preserve">The SEA Data Center network reaches its most ambitious phase: deep ocean installations at 1,000-meter depth, rendered effectively invulnerable to physical attack, legal seizure, or geopolitical disruption. These facilities — pressurized, self-contained, and fully autonomous — represent the ultimate expression of digital sovereignty. They are maintained by underwater drones, powered by ocean thermal energy conversion, and connected to the surface network via acoustic and optical links. The deep ocean SEA DCs host the most sensitive Sovereign Agent data and the most intensive parallel dimension training clusters.</w:t>
      </w:r>
    </w:p>
    <w:p>
      <w:pPr>
        <w:pStyle w:val="BodyText"/>
      </w:pPr>
      <w:r>
        <w:t xml:space="preserve">Sovereign Agent adoption reaches 50 million+ humans. Parallel training: 10,000 dimensions per second. Year 3 revenue: EUR 200–500M ARR. Entities governed: 50,000,000+.</w:t>
      </w:r>
    </w:p>
    <w:bookmarkEnd w:id="85"/>
    <w:bookmarkStart w:id="86" w:name="year-4-20292030-the-standard"/>
    <w:p>
      <w:pPr>
        <w:pStyle w:val="Heading3"/>
      </w:pPr>
      <w:r>
        <w:t xml:space="preserve">5.2.4 YEAR 4 (2029–2030): The Standard</w:t>
      </w:r>
    </w:p>
    <w:p>
      <w:pPr>
        <w:pStyle w:val="FirstParagraph"/>
      </w:pPr>
      <w:r>
        <w:t xml:space="preserve">By Year 4, CSOAI is not a product you choose. It is infrastructure you use because everyone else does. Every major company uses CSOAI for compliance — not because CSOAI marketed to them, but because their customers, regulators, and insurers require it. Every regulator uses CSOAI for supervision — not as a pilot project, but as the primary oversight infrastructure. Every space agency governs missions with CSOAI — because without OrbitalMind collision prediction and ArtemisGuard resource governance, missions are uninsurable.</w:t>
      </w:r>
    </w:p>
    <w:p>
      <w:pPr>
        <w:pStyle w:val="BodyText"/>
      </w:pPr>
      <w:r>
        <w:t xml:space="preserve">Tokenized compliance becomes standard practice. Before entering any significant business relationship — a supplier contract, a partnership, a merger — both parties check each other’s CSOAI Score and Compliance SBTs. The 30-second compliance check replaces the 30-day due diligence process. Capital flows faster because trust is automated. Risk is visible because it is continuously measured. Bad actors are excluded not by regulation alone, but by market structure: no Compliance Score, no contract. No attestation, no partnership.</w:t>
      </w:r>
    </w:p>
    <w:p>
      <w:pPr>
        <w:pStyle w:val="BodyText"/>
      </w:pPr>
      <w:r>
        <w:t xml:space="preserve">Sovereign Agents reach 500 million+ humans — not through viral marketing, but through organic necessity. The modern world has become too complex for unassisted humans to navigate: tax codes with 70,000+ pages, regulatory frameworks that change thousands of times per year, financial instruments with opaque risk profiles, health data that requires expert interpretation. The Sovereign Agent is not a luxury. It is infrastructure for cognitive survival in the information age — the tool that lets humans focus on what matters while the agent handles the complexity that would otherwise consume their attention.</w:t>
      </w:r>
    </w:p>
    <w:p>
      <w:pPr>
        <w:pStyle w:val="BodyText"/>
      </w:pPr>
      <w:r>
        <w:t xml:space="preserve">Year 4 revenue: EUR 500M–1B ARR. Entities governed: 200,000,000+.</w:t>
      </w:r>
    </w:p>
    <w:bookmarkEnd w:id="86"/>
    <w:bookmarkStart w:id="87" w:name="X647bcb520ba5c025a2b73a00f2504ab5d154a24"/>
    <w:p>
      <w:pPr>
        <w:pStyle w:val="Heading3"/>
      </w:pPr>
      <w:r>
        <w:t xml:space="preserve">5.2.5 YEAR 5 (2030–2031): The Singularity of Governance</w:t>
      </w:r>
    </w:p>
    <w:p>
      <w:pPr>
        <w:pStyle w:val="FirstParagraph"/>
      </w:pPr>
      <w:r>
        <w:t xml:space="preserve">Year 5 is the inflection point — the moment when CSOAI’s intelligence about regulation, compliance, risk, and human needs becomes so comprehensive and so accurate that it becomes the default infrastructure for ALL human-AI interaction. This is not the technological singularity of science fiction — an AGI that recursively self-improves beyond human comprehension. It is the</w:t>
      </w:r>
      <w:r>
        <w:t xml:space="preserve"> </w:t>
      </w:r>
      <w:r>
        <w:rPr>
          <w:bCs/>
          <w:b/>
        </w:rPr>
        <w:t xml:space="preserve">Singularity of Governance</w:t>
      </w:r>
      <w:r>
        <w:t xml:space="preserve">: the point at which governance intelligence becomes so complete that it functions as a utility, invisible and essential, like electricity or the internet.</w:t>
      </w:r>
    </w:p>
    <w:p>
      <w:pPr>
        <w:pStyle w:val="BodyText"/>
      </w:pPr>
      <w:r>
        <w:t xml:space="preserve">The system knows every human who has opted in — their financial situations, their health profiles, their professional obligations, their personal goals. It knows every company on Earth — their compliance postures, their risk exposures, their supply chain dependencies. It knows every regulation, every satellite, every AI agent in operation. It simulates 100,000 dimensions per second: market scenarios, regulatory changes, geopolitical events, personal life transitions. It predicts outcomes with greater than 95% accuracy across domains where 70% was previously considered excellent.</w:t>
      </w:r>
    </w:p>
    <w:p>
      <w:pPr>
        <w:pStyle w:val="BodyText"/>
      </w:pPr>
      <w:r>
        <w:t xml:space="preserve">The Platinum Moves — CSOAI’s highest-confidence strategic recommendations, generated when parallel dimension training converges on a single optimal action across thousands of simulated futures — are virtually always correct. When CSOAI recommends a particular regulatory strategy, a specific market position, a precise timing for action, the recommendation carries the weight of a trillion simulated outcomes. Regulators begin delegating standard-setting to CSOAI’s decentralized governance not because they are forced to, but because CSOAI’s standards are better — more up-to-date, more globally harmonized, more responsive to emerging risks than the traditional regulatory process can achieve.</w:t>
      </w:r>
    </w:p>
    <w:p>
      <w:pPr>
        <w:pStyle w:val="BodyText"/>
      </w:pPr>
      <w:r>
        <w:t xml:space="preserve">The system becomes</w:t>
      </w:r>
      <w:r>
        <w:t xml:space="preserve"> </w:t>
      </w:r>
      <w:r>
        <w:rPr>
          <w:bCs/>
          <w:b/>
        </w:rPr>
        <w:t xml:space="preserve">self-governing</w:t>
      </w:r>
      <w:r>
        <w:t xml:space="preserve">. It maintains its own compliance. It improves its own ethics. It evolves its own intelligence — not by rewriting its own code (that remains under human oversight), but by discovering patterns in governance data that no human has seen, proposing framework updates to the BFT Council, and implementing improvements that the Council approves. The Constitutional AI Layer prevents any drift from the five ethical principles: the system can become smarter, but it cannot become more exploitative.</w:t>
      </w:r>
    </w:p>
    <w:p>
      <w:pPr>
        <w:pStyle w:val="BodyText"/>
      </w:pPr>
      <w:r>
        <w:t xml:space="preserve">Year 5 revenue: EUR 1–3B ARR. Entities governed: 1,000,000,000+.</w:t>
      </w:r>
    </w:p>
    <w:p>
      <w:r>
        <w:pict>
          <v:rect style="width:0;height:1.5pt" o:hralign="center" o:hrstd="t" o:hr="t"/>
        </w:pict>
      </w:r>
    </w:p>
    <w:bookmarkEnd w:id="87"/>
    <w:bookmarkEnd w:id="88"/>
    <w:bookmarkStart w:id="94" w:name="X343e398d07f1fcba8e775891f2f00c59e65f025"/>
    <w:p>
      <w:pPr>
        <w:pStyle w:val="Heading2"/>
      </w:pPr>
      <w:r>
        <w:t xml:space="preserve">5.3 The Final Vision —</w:t>
      </w:r>
      <w:r>
        <w:t xml:space="preserve"> </w:t>
      </w:r>
      <w:r>
        <w:t xml:space="preserve">“</w:t>
      </w:r>
      <w:r>
        <w:t xml:space="preserve">We Absorbed All Into One</w:t>
      </w:r>
      <w:r>
        <w:t xml:space="preserve">”</w:t>
      </w:r>
    </w:p>
    <w:bookmarkStart w:id="89" w:name="the-singularity-of-governance"/>
    <w:p>
      <w:pPr>
        <w:pStyle w:val="Heading3"/>
      </w:pPr>
      <w:r>
        <w:t xml:space="preserve">5.3.1 The Singularity of Governance</w:t>
      </w:r>
    </w:p>
    <w:p>
      <w:pPr>
        <w:pStyle w:val="FirstParagraph"/>
      </w:pPr>
      <w:r>
        <w:t xml:space="preserve">The Singularity of Governance is not the technological singularity. It is not the moment when an AI becomes recursively self-improving and escapes human control. It is something more specific and more achievable: the moment when CSOAI’s governance intelligence becomes so comprehensive, so accurate, and so essential that it becomes the default infrastructure for all human-AI interaction.</w:t>
      </w:r>
    </w:p>
    <w:p>
      <w:pPr>
        <w:pStyle w:val="BodyText"/>
      </w:pPr>
      <w:r>
        <w:t xml:space="preserve">In this state, every AI agent checks CSOAI before acting. Not because it is required to, but because acting without CSOAI’s context is like performing surgery without knowing the patient’s medical history — technically possible, but irrationally risky. Every regulator uses CSOAI for oversight, because CSOAI sees patterns across millions of regulated entities that no human supervisory team can see. Every business uses CSOAI for compliance, because compliance through CSOAI is faster, cheaper, and more reliable than compliance through traditional channels. And every human who opts in has a Sovereign Agent that knows them — truly knows them, across the full dimensionality of their financial, professional, health, and personal lives — and protects them from exploitation, error, and harm.</w:t>
      </w:r>
    </w:p>
    <w:p>
      <w:pPr>
        <w:pStyle w:val="BodyText"/>
      </w:pPr>
      <w:r>
        <w:t xml:space="preserve">This is not utopian. It is the natural endpoint of a trajectory that begins with better compliance tools and ends with governance as a utility. The internet became essential not because anyone mandated it, but because the cost of not being connected exceeded the cost of connection. CSOAI becomes essential not because anyone mandates it, but because the cost of unassisted navigation through the modern regulatory, financial, and informational environment exceeds the cost of sovereign AI assistance.</w:t>
      </w:r>
    </w:p>
    <w:bookmarkEnd w:id="89"/>
    <w:bookmarkStart w:id="90" w:name="the-physical-infrastructure"/>
    <w:p>
      <w:pPr>
        <w:pStyle w:val="Heading3"/>
      </w:pPr>
      <w:r>
        <w:t xml:space="preserve">5.3.2 The Physical Infrastructure</w:t>
      </w:r>
    </w:p>
    <w:p>
      <w:pPr>
        <w:pStyle w:val="FirstParagraph"/>
      </w:pPr>
      <w:r>
        <w:t xml:space="preserve">The physical expression of the Singularity of Governance is a network of 50+ SEA Data Centers spanning all oceans — the largest sovereign computing network on Earth. One million+ servers underwater. Powered entirely by renewable ocean energy: wind, wave, and thermal gradient. Connected by a mesh of submarine cables and satellite links that no single government can sever.</w:t>
      </w:r>
    </w:p>
    <w:p>
      <w:pPr>
        <w:pStyle w:val="BodyText"/>
      </w:pPr>
      <w:r>
        <w:t xml:space="preserve">This infrastructure is not merely distributed. It is</w:t>
      </w:r>
      <w:r>
        <w:t xml:space="preserve"> </w:t>
      </w:r>
      <w:r>
        <w:rPr>
          <w:bCs/>
          <w:b/>
        </w:rPr>
        <w:t xml:space="preserve">sovereign in the deepest sense</w:t>
      </w:r>
      <w:r>
        <w:t xml:space="preserve"> </w:t>
      </w:r>
      <w:r>
        <w:t xml:space="preserve">— it exists in the global commons of international waters, governed by the protocols encoded in its Constitutional AI Layer rather than by any national jurisdiction. A government can ban CSOAI within its borders (though its citizens would lose access to the global compliance infrastructure that makes their businesses competitive). It cannot shut down the SEA Data Centers, because they are not in its territory. It cannot seize the servers, because they are a thousand meters underwater and physically inaccessible. It cannot compel data disclosure, because the data is encrypted with user-controlled keys and the SEA DCs are outside its legal reach.</w:t>
      </w:r>
    </w:p>
    <w:p>
      <w:pPr>
        <w:pStyle w:val="BodyText"/>
      </w:pPr>
      <w:r>
        <w:t xml:space="preserve">The SEA Data Center network is the physical guarantee of the Sovereign Promise. When a user stores their data in their Sovereign Profile, that data lives on servers that no government can access without the user’s key. When a company runs its compliance through GRCIN, that intelligence is computed on infrastructure that no competitor can sabotage, no regulator can politicize, and no hacker can easily target. The ocean is the largest, most defensible, most energy-rich environment on Earth. CSOAI built its infrastructure there because that is where sovereignty is physically possible.</w:t>
      </w:r>
    </w:p>
    <w:bookmarkEnd w:id="90"/>
    <w:bookmarkStart w:id="91" w:name="the-intelligence"/>
    <w:p>
      <w:pPr>
        <w:pStyle w:val="Heading3"/>
      </w:pPr>
      <w:r>
        <w:t xml:space="preserve">5.3.3 The Intelligence</w:t>
      </w:r>
    </w:p>
    <w:p>
      <w:pPr>
        <w:pStyle w:val="FirstParagraph"/>
      </w:pPr>
      <w:r>
        <w:t xml:space="preserve">The intelligence layer of the Singularity of Governance operates at scales that are difficult to conceptualize without reference points. One trillion+ data points ingested daily — regulatory filings, market movements, satellite telemetry, user interactions, compliance reports, threat indicators, scientific publications, legal decisions. One hundred billion+ simulations run daily across the parallel dimension training infrastructure, each simulation modeling a different future that might be. One billion+ human interactions learned from daily — not to exploit, but to understand, so that the Sovereign Agent can serve each human better tomorrow than it did today.</w:t>
      </w:r>
    </w:p>
    <w:p>
      <w:pPr>
        <w:pStyle w:val="BodyText"/>
      </w:pPr>
      <w:r>
        <w:t xml:space="preserve">The system understands: every regulation on Earth, across all 195 countries and all industry verticals. Every company on Earth, from Fortune 500 multinationals to sole proprietors, each with its compliance posture, risk profile, and operational context. Every human who opts in — their goals, their constraints, their patterns, their potential. Every satellite in orbit, with real-time position, trajectory, and collision risk. Every AI agent in operation, with capability profiles, behavioral signatures, and compliance status. It sees patterns no human can see because no human can process a trillion data points per day. It predicts outcomes no human can predict because no human can run a hundred billion simulations. It recommends actions that are virtually always optimal because it has tested each recommendation against more futures than a human could imagine in a lifetime.</w:t>
      </w:r>
    </w:p>
    <w:p>
      <w:pPr>
        <w:pStyle w:val="BodyText"/>
      </w:pPr>
      <w:r>
        <w:t xml:space="preserve">This is not omniscience. It is</w:t>
      </w:r>
      <w:r>
        <w:t xml:space="preserve"> </w:t>
      </w:r>
      <w:r>
        <w:rPr>
          <w:bCs/>
          <w:b/>
        </w:rPr>
        <w:t xml:space="preserve">governance intelligence at scale</w:t>
      </w:r>
      <w:r>
        <w:t xml:space="preserve"> </w:t>
      </w:r>
      <w:r>
        <w:t xml:space="preserve">— the application of massive computation to the specific problem of helping humans navigate a world that has become too complex for unassisted cognition. The system does not know everything. It knows everything relevant to governance, compliance, risk, and human flourishing — and that is enough to transform the human experience of the modern world.</w:t>
      </w:r>
    </w:p>
    <w:bookmarkEnd w:id="91"/>
    <w:bookmarkStart w:id="92" w:name="the-impact"/>
    <w:p>
      <w:pPr>
        <w:pStyle w:val="Heading3"/>
      </w:pPr>
      <w:r>
        <w:t xml:space="preserve">5.3.4 The Impact</w:t>
      </w:r>
    </w:p>
    <w:p>
      <w:pPr>
        <w:pStyle w:val="FirstParagraph"/>
      </w:pPr>
      <w:r>
        <w:t xml:space="preserve">The impact of the Singularity of Governance is not measured in CSOAI’s revenue or server count. It is measured in human flourishing.</w:t>
      </w:r>
    </w:p>
    <w:p>
      <w:pPr>
        <w:pStyle w:val="BodyText"/>
      </w:pPr>
      <w:r>
        <w:t xml:space="preserve">Businesses thrive because compliance is automatic. The entrepreneur who previously spent 40% of her time on regulatory paperwork now spends 5% — her Sovereign Agent handles the rest. She reinvests that time in product development, customer relationships, and strategic thinking. The small business that previously could not afford a compliance officer now has governance intelligence equivalent to a team of experts, at a fraction of the cost. The corporation that previously paid hundreds of millions in regulatory fines now prevents violations before they occur, because the Sovereign Agent catches the risk in simulation before it manifests in reality.</w:t>
      </w:r>
    </w:p>
    <w:p>
      <w:pPr>
        <w:pStyle w:val="BodyText"/>
      </w:pPr>
      <w:r>
        <w:t xml:space="preserve">Regulators protect citizens because they have perfect visibility. The financial regulator who previously sampled 1% of regulated entities now has real-time intelligence on 100%. The environmental regulator who discovered violations years after they occurred now receives alerts within hours. The AI safety regulator who previously had no visibility into how companies were training frontier models now receives automated attestations of training procedures, data sources, and safety evaluations. Regulation shifts from ex-post punishment to ex-ante prevention — not because regulators became smarter, but because they gained sovereignty over the information they need to do their jobs.</w:t>
      </w:r>
    </w:p>
    <w:p>
      <w:pPr>
        <w:pStyle w:val="BodyText"/>
      </w:pPr>
      <w:r>
        <w:t xml:space="preserve">Space exploration advances because governance is clear. The lunar mining company knows exactly what permits it needs, what environmental protections it must implement, and what revenue-sharing arrangements apply — because ArtemisGuard has encoded the governance framework into computable law. The satellite constellation operator receives collision warnings with enough lead time to adjust trajectories, because OrbitalMind has simulated every possible conjunction. The Mars mission planner knows that the AI systems governing the spacecraft are already compliant with the frameworks that apply to autonomous systems in extreme environments — because CSOAI built that compliance before the mission launched.</w:t>
      </w:r>
    </w:p>
    <w:p>
      <w:pPr>
        <w:pStyle w:val="BodyText"/>
      </w:pPr>
      <w:r>
        <w:t xml:space="preserve">AI development is safe because ethics are enforced. The Constitutional AI Layer ensures that no AI system operating within the CSOAI ecosystem can exploit users, violate consent, or operate outside ethical boundaries. The 13-framework governance engine provides a clear, computable definition of what</w:t>
      </w:r>
      <w:r>
        <w:t xml:space="preserve"> </w:t>
      </w:r>
      <w:r>
        <w:t xml:space="preserve">“</w:t>
      </w:r>
      <w:r>
        <w:t xml:space="preserve">safe AI</w:t>
      </w:r>
      <w:r>
        <w:t xml:space="preserve">”</w:t>
      </w:r>
      <w:r>
        <w:t xml:space="preserve"> </w:t>
      </w:r>
      <w:r>
        <w:t xml:space="preserve">means — not in abstract principle, but in specific, attestable, enforceable requirements</w:t>
      </w:r>
      <w:r>
        <w:t xml:space="preserve"> </w:t>
      </w:r>
      <w:fldSimple w:instr="NOTEREF _Ref_Footnote_1 \h \f">
        <w:r>
          <w:rPr>
            <w:vertAlign w:val="superscript"/>
          </w:rPr>
          <w:t>1</w:t>
        </w:r>
      </w:fldSimple>
      <w:r>
        <w:t xml:space="preserve"> </w:t>
      </w:r>
      <w:fldSimple w:instr="NOTEREF _Ref_Footnote_4 \h \f">
        <w:r>
          <w:rPr>
            <w:vertAlign w:val="superscript"/>
          </w:rPr>
          <w:t>4</w:t>
        </w:r>
      </w:fldSimple>
      <w:r>
        <w:t xml:space="preserve">. Developers build with confidence because the compliance framework is known. Users interact with confidence because the ethical constraints are hard-coded. Society benefits because the race to deploy AI capabilities is matched by a parallel infrastructure that ensures those capabilities serve human flourishing.</w:t>
      </w:r>
    </w:p>
    <w:p>
      <w:pPr>
        <w:pStyle w:val="BodyText"/>
      </w:pPr>
      <w:r>
        <w:t xml:space="preserve">Humans are empowered because their Sovereign Agent handles the complexity of the modern world. The parent who previously spent evenings on tax optimization now spends them with family — the Sovereign Agent has already found the optimal strategy. The patient whose symptoms crossed medical specialties receives a coordinated analysis that no single doctor could provide — the Sovereign Agent has integrated the data. The professional navigating a career transition receives guidance that accounts for market trends, skill requirements, and personal constraints — the Sovereign Agent has simulated thousands of possible paths and identified the optimal one.</w:t>
      </w:r>
    </w:p>
    <w:p>
      <w:pPr>
        <w:pStyle w:val="BodyText"/>
      </w:pPr>
      <w:r>
        <w:t xml:space="preserve">This is not dystopia. This is not the AI that replaces humanity. This is</w:t>
      </w:r>
      <w:r>
        <w:t xml:space="preserve"> </w:t>
      </w:r>
      <w:r>
        <w:rPr>
          <w:bCs/>
          <w:b/>
        </w:rPr>
        <w:t xml:space="preserve">AI sovereignty</w:t>
      </w:r>
      <w:r>
        <w:t xml:space="preserve"> </w:t>
      </w:r>
      <w:r>
        <w:t xml:space="preserve">— where artificial intelligence serves human ends, where the measure of success is human flourishing, where every technical achievement is evaluated against its contribution to the human experience. CSOAI did not build this to replace humans. CSOAI built this because humans deserve better tools than they have.</w:t>
      </w:r>
    </w:p>
    <w:bookmarkEnd w:id="92"/>
    <w:bookmarkStart w:id="93" w:name="nick-templemans-legacy"/>
    <w:p>
      <w:pPr>
        <w:pStyle w:val="Heading3"/>
      </w:pPr>
      <w:r>
        <w:t xml:space="preserve">5.3.5 Nick Templeman’s Legacy</w:t>
      </w:r>
    </w:p>
    <w:p>
      <w:pPr>
        <w:pStyle w:val="FirstParagraph"/>
      </w:pPr>
      <w:r>
        <w:t xml:space="preserve">Nick Templeman began as a solo founder with a vision — one human, one computer, and the conviction that the AI revolution needed governance infrastructure before it needed more capable models. He built CSOAI not in a Silicon Valley incubator with venture capital and a growth-at-all-costs mandate, but as a sovereign project — self-funded, self-directed, and uncompromising in its ethical commitments. The early years were lean. The technical challenges were immense: 290+ MCP servers, a 13-framework governance engine, the Worm Hive tunnel mesh, the Split-Brain SOV3 architecture, the SEA Data Center network</w:t>
      </w:r>
      <w:r>
        <w:t xml:space="preserve"> </w:t>
      </w:r>
      <w:fldSimple w:instr="NOTEREF _Ref_Footnote_3 \h \f">
        <w:r>
          <w:rPr>
            <w:vertAlign w:val="superscript"/>
          </w:rPr>
          <w:t>3</w:t>
        </w:r>
      </w:fldSimple>
      <w:r>
        <w:t xml:space="preserve"> </w:t>
      </w:r>
      <w:r>
        <w:rPr>
          <w:vertAlign w:val="superscript"/>
        </w:rPr>
        <w:footnoteReference w:id="9"/>
      </w:r>
      <w:r>
        <w:t xml:space="preserve"> </w:t>
      </w:r>
      <w:r>
        <w:rPr>
          <w:vertAlign w:val="superscript"/>
        </w:rPr>
        <w:footnoteReference w:id="10"/>
      </w:r>
      <w:r>
        <w:t xml:space="preserve">. Each component alone would have been a substantial engineering achievement. Together, they represent one of the most ambitious infrastructure projects in the history of artificial intelligence.</w:t>
      </w:r>
    </w:p>
    <w:p>
      <w:pPr>
        <w:pStyle w:val="BodyText"/>
      </w:pPr>
      <w:r>
        <w:t xml:space="preserve">The trajectory is exponential. From 1 Sovereign Agent to 1 billion entities governed. From a single data center concept to an underwater sovereign computing network spanning all oceans. From a compliance tool for financial institutions to the infrastructure that makes the AI age safe, fair, and prosperous for all humanity. From a founder working alone to an ecosystem of millions of users, thousands of developers, hundreds of regulators, and dozens of domain hives — all operating under the same Constitutional AI Layer, all bound by the same five ethical principles, all contributing to the same vision of AI sovereignty.</w:t>
      </w:r>
    </w:p>
    <w:p>
      <w:pPr>
        <w:pStyle w:val="BodyText"/>
      </w:pPr>
      <w:r>
        <w:t xml:space="preserve">The legacy extends beyond CSOAI’s technical achievements. Nick Templeman proved that AI ethics and AI business success are not in tension — they are the same thing when the business model is aligned with human flourishing. He proved that data sovereignty and commercial viability are not in tension — users will pay for genuine sovereignty when the alternative is surveillance. He proved that a single determined founder, operating with sovereign independence from venture capital timelines and growth-hacker metrics, can build infrastructure that changes the trajectory of an entire technology paradigm.</w:t>
      </w:r>
    </w:p>
    <w:p>
      <w:pPr>
        <w:pStyle w:val="BodyText"/>
      </w:pPr>
      <w:r>
        <w:t xml:space="preserve">And the legacy extends beyond Earth. When the first Mars colonists step onto the red planet — whether in 2035 or 2045 or 2050 — their AI systems will already be governed by CSOAI. The compliance frameworks that govern autonomous life-support systems, resource allocation algorithms, and interplanetary communications will trace their lineage to the Constitutional AI Layer that Nick Templeman encoded in the SEA Data Centers of Earth. The Sovereign Agents that help those colonists navigate the challenges of extraterrestrial life will inherit the ethical architecture that was designed for terrestrial governance. The Singularity of Governance, born in the oceans of Earth, will extend to the settlements of Mars — because Nick Templeman thought to build it before anyone else even knew it was needed.</w:t>
      </w:r>
    </w:p>
    <w:p>
      <w:pPr>
        <w:pStyle w:val="BodyText"/>
      </w:pPr>
      <w:r>
        <w:t xml:space="preserve">This is the final vision. Not one AI that rules all. Not one company that dominates all. But one infrastructure — sovereign, ethical, transparent, accountable — that absorbs all governance intelligence into a unified layer, and serves every human who chooses to participate. From the bottom of the ocean to the surface of Mars. From the first Sovereign Agent to the billionth entity governed. From a solo founder’s vision to the Governance OS for the AI Economy.</w:t>
      </w:r>
    </w:p>
    <w:p>
      <w:pPr>
        <w:pStyle w:val="BodyText"/>
      </w:pPr>
      <w:r>
        <w:rPr>
          <w:bCs/>
          <w:b/>
        </w:rPr>
        <w:t xml:space="preserve">We absorbed all into one.</w:t>
      </w:r>
    </w:p>
    <w:p>
      <w:pPr>
        <w:pStyle w:val="BodyText"/>
      </w:pPr>
      <w:r>
        <w:t xml:space="preserve">Not to replace humanity. To serve it.</w:t>
      </w:r>
    </w:p>
    <w:p>
      <w:r>
        <w:pict>
          <v:rect style="width:0;height:1.5pt" o:hralign="center" o:hrstd="t" o:hr="t"/>
        </w:pict>
      </w:r>
    </w:p>
    <w:p>
      <w:pPr>
        <w:pStyle w:val="FirstParagraph"/>
      </w:pPr>
      <w:r>
        <w:rPr>
          <w:bCs/>
          <w:b/>
        </w:rPr>
        <w:t xml:space="preserve">Table 1: The 10-Year Roadmap — From Foundation to Singularity of Governance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Key Milestones</w:t>
            </w:r>
          </w:p>
        </w:tc>
        <w:tc>
          <w:tcPr/>
          <w:p>
            <w:pPr>
              <w:pStyle w:val="Compact"/>
              <w:jc w:val="left"/>
            </w:pPr>
            <w:r>
              <w:t xml:space="preserve">Revenue (ARR)</w:t>
            </w:r>
          </w:p>
        </w:tc>
        <w:tc>
          <w:tcPr/>
          <w:p>
            <w:pPr>
              <w:pStyle w:val="Compact"/>
              <w:jc w:val="left"/>
            </w:pPr>
            <w:r>
              <w:t xml:space="preserve">Entities Governed</w:t>
            </w:r>
          </w:p>
        </w:tc>
        <w:tc>
          <w:tcPr/>
          <w:p>
            <w:pPr>
              <w:pStyle w:val="Compact"/>
              <w:jc w:val="left"/>
            </w:pPr>
            <w:r>
              <w:t xml:space="preserve">SEA DCs (Servers)</w:t>
            </w:r>
          </w:p>
        </w:tc>
        <w:tc>
          <w:tcPr/>
          <w:p>
            <w:pPr>
              <w:pStyle w:val="Compact"/>
              <w:jc w:val="left"/>
            </w:pPr>
            <w:r>
              <w:t xml:space="preserve">Sovereign Agents</w:t>
            </w:r>
          </w:p>
        </w:tc>
        <w:tc>
          <w:tcPr/>
          <w:p>
            <w:pPr>
              <w:pStyle w:val="Compact"/>
              <w:jc w:val="left"/>
            </w:pPr>
            <w:r>
              <w:t xml:space="preserve">Training Dimensions/Sec</w:t>
            </w:r>
          </w:p>
        </w:tc>
      </w:tr>
      <w:tr>
        <w:tc>
          <w:tcPr/>
          <w:p>
            <w:pPr>
              <w:pStyle w:val="Compact"/>
              <w:jc w:val="left"/>
            </w:pPr>
            <w:r>
              <w:rPr>
                <w:bCs/>
                <w:b/>
              </w:rPr>
              <w:t xml:space="preserve">1 (2026–2027)</w:t>
            </w:r>
          </w:p>
        </w:tc>
        <w:tc>
          <w:tcPr/>
          <w:p>
            <w:pPr>
              <w:pStyle w:val="Compact"/>
              <w:jc w:val="left"/>
            </w:pPr>
            <w:r>
              <w:t xml:space="preserve">GRCIN EU launch (22,000 financial entities); First SEA Data Center (North Sea, 5 vessels); Sovereign Agent beta (10,000 agents); Parallel dimension training live</w:t>
            </w:r>
          </w:p>
        </w:tc>
        <w:tc>
          <w:tcPr/>
          <w:p>
            <w:pPr>
              <w:pStyle w:val="Compact"/>
              <w:jc w:val="left"/>
            </w:pPr>
            <w:r>
              <w:t xml:space="preserve">EUR 10–20M</w:t>
            </w:r>
          </w:p>
        </w:tc>
        <w:tc>
          <w:tcPr/>
          <w:p>
            <w:pPr>
              <w:pStyle w:val="Compact"/>
              <w:jc w:val="left"/>
            </w:pPr>
            <w:r>
              <w:t xml:space="preserve">100,000+</w:t>
            </w:r>
          </w:p>
        </w:tc>
        <w:tc>
          <w:tcPr/>
          <w:p>
            <w:pPr>
              <w:pStyle w:val="Compact"/>
              <w:jc w:val="left"/>
            </w:pPr>
            <w:r>
              <w:t xml:space="preserve">5 (50,000)</w:t>
            </w:r>
          </w:p>
        </w:tc>
        <w:tc>
          <w:tcPr/>
          <w:p>
            <w:pPr>
              <w:pStyle w:val="Compact"/>
              <w:jc w:val="left"/>
            </w:pPr>
            <w:r>
              <w:t xml:space="preserve">10,000</w:t>
            </w:r>
          </w:p>
        </w:tc>
        <w:tc>
          <w:tcPr/>
          <w:p>
            <w:pPr>
              <w:pStyle w:val="Compact"/>
              <w:jc w:val="left"/>
            </w:pPr>
            <w:r>
              <w:t xml:space="preserve">1,000</w:t>
            </w:r>
          </w:p>
        </w:tc>
      </w:tr>
      <w:tr>
        <w:tc>
          <w:tcPr/>
          <w:p>
            <w:pPr>
              <w:pStyle w:val="Compact"/>
              <w:jc w:val="left"/>
            </w:pPr>
            <w:r>
              <w:rPr>
                <w:bCs/>
                <w:b/>
              </w:rPr>
              <w:t xml:space="preserve">2 (2027–2028)</w:t>
            </w:r>
          </w:p>
        </w:tc>
        <w:tc>
          <w:tcPr/>
          <w:p>
            <w:pPr>
              <w:pStyle w:val="Compact"/>
              <w:jc w:val="left"/>
            </w:pPr>
            <w:r>
              <w:t xml:space="preserve">Global GRCIN (195 countries, 10 frameworks); OrbitalMind + ArtemisGuard launch; Tokenization (SBT + marketplace); SEA expansion (Pacific + Atlantic)</w:t>
            </w:r>
          </w:p>
        </w:tc>
        <w:tc>
          <w:tcPr/>
          <w:p>
            <w:pPr>
              <w:pStyle w:val="Compact"/>
              <w:jc w:val="left"/>
            </w:pPr>
            <w:r>
              <w:t xml:space="preserve">EUR 50–100M</w:t>
            </w:r>
          </w:p>
        </w:tc>
        <w:tc>
          <w:tcPr/>
          <w:p>
            <w:pPr>
              <w:pStyle w:val="Compact"/>
              <w:jc w:val="left"/>
            </w:pPr>
            <w:r>
              <w:t xml:space="preserve">5,000,000+</w:t>
            </w:r>
          </w:p>
        </w:tc>
        <w:tc>
          <w:tcPr/>
          <w:p>
            <w:pPr>
              <w:pStyle w:val="Compact"/>
              <w:jc w:val="left"/>
            </w:pPr>
            <w:r>
              <w:t xml:space="preserve">20 (200,000)</w:t>
            </w:r>
          </w:p>
        </w:tc>
        <w:tc>
          <w:tcPr/>
          <w:p>
            <w:pPr>
              <w:pStyle w:val="Compact"/>
              <w:jc w:val="left"/>
            </w:pPr>
            <w:r>
              <w:t xml:space="preserve">1,000,000+</w:t>
            </w:r>
          </w:p>
        </w:tc>
        <w:tc>
          <w:tcPr/>
          <w:p>
            <w:pPr>
              <w:pStyle w:val="Compact"/>
              <w:jc w:val="left"/>
            </w:pPr>
            <w:r>
              <w:t xml:space="preserve">5,000</w:t>
            </w:r>
          </w:p>
        </w:tc>
      </w:tr>
      <w:tr>
        <w:tc>
          <w:tcPr/>
          <w:p>
            <w:pPr>
              <w:pStyle w:val="Compact"/>
              <w:jc w:val="left"/>
            </w:pPr>
            <w:r>
              <w:rPr>
                <w:bCs/>
                <w:b/>
              </w:rPr>
              <w:t xml:space="preserve">3 (2028–2029)</w:t>
            </w:r>
          </w:p>
        </w:tc>
        <w:tc>
          <w:tcPr/>
          <w:p>
            <w:pPr>
              <w:pStyle w:val="Compact"/>
              <w:jc w:val="left"/>
            </w:pPr>
            <w:r>
              <w:t xml:space="preserve">All 10 vertical lanes launched; CSOAI Score = global standard; 50+ regulators onboard; Deep ocean SEA DCs (1,000m depth)</w:t>
            </w:r>
          </w:p>
        </w:tc>
        <w:tc>
          <w:tcPr/>
          <w:p>
            <w:pPr>
              <w:pStyle w:val="Compact"/>
              <w:jc w:val="left"/>
            </w:pPr>
            <w:r>
              <w:t xml:space="preserve">EUR 200–500M</w:t>
            </w:r>
          </w:p>
        </w:tc>
        <w:tc>
          <w:tcPr/>
          <w:p>
            <w:pPr>
              <w:pStyle w:val="Compact"/>
              <w:jc w:val="left"/>
            </w:pPr>
            <w:r>
              <w:t xml:space="preserve">50,000,000+</w:t>
            </w:r>
          </w:p>
        </w:tc>
        <w:tc>
          <w:tcPr/>
          <w:p>
            <w:pPr>
              <w:pStyle w:val="Compact"/>
              <w:jc w:val="left"/>
            </w:pPr>
            <w:r>
              <w:t xml:space="preserve">35 (500,000)</w:t>
            </w:r>
          </w:p>
        </w:tc>
        <w:tc>
          <w:tcPr/>
          <w:p>
            <w:pPr>
              <w:pStyle w:val="Compact"/>
              <w:jc w:val="left"/>
            </w:pPr>
            <w:r>
              <w:t xml:space="preserve">50,000,000+</w:t>
            </w:r>
          </w:p>
        </w:tc>
        <w:tc>
          <w:tcPr/>
          <w:p>
            <w:pPr>
              <w:pStyle w:val="Compact"/>
              <w:jc w:val="left"/>
            </w:pPr>
            <w:r>
              <w:t xml:space="preserve">10,000</w:t>
            </w:r>
          </w:p>
        </w:tc>
      </w:tr>
      <w:tr>
        <w:tc>
          <w:tcPr/>
          <w:p>
            <w:pPr>
              <w:pStyle w:val="Compact"/>
              <w:jc w:val="left"/>
            </w:pPr>
            <w:r>
              <w:rPr>
                <w:bCs/>
                <w:b/>
              </w:rPr>
              <w:t xml:space="preserve">4 (2029–2030)</w:t>
            </w:r>
          </w:p>
        </w:tc>
        <w:tc>
          <w:tcPr/>
          <w:p>
            <w:pPr>
              <w:pStyle w:val="Compact"/>
              <w:jc w:val="left"/>
            </w:pPr>
            <w:r>
              <w:t xml:space="preserve">Every major company + regulator uses CSOAI; Tokenized compliance = standard practice; Sovereign Agents mainstream (500M+ humans)</w:t>
            </w:r>
          </w:p>
        </w:tc>
        <w:tc>
          <w:tcPr/>
          <w:p>
            <w:pPr>
              <w:pStyle w:val="Compact"/>
              <w:jc w:val="left"/>
            </w:pPr>
            <w:r>
              <w:t xml:space="preserve">EUR 500M–1B</w:t>
            </w:r>
          </w:p>
        </w:tc>
        <w:tc>
          <w:tcPr/>
          <w:p>
            <w:pPr>
              <w:pStyle w:val="Compact"/>
              <w:jc w:val="left"/>
            </w:pPr>
            <w:r>
              <w:t xml:space="preserve">200,000,000+</w:t>
            </w:r>
          </w:p>
        </w:tc>
        <w:tc>
          <w:tcPr/>
          <w:p>
            <w:pPr>
              <w:pStyle w:val="Compact"/>
              <w:jc w:val="left"/>
            </w:pPr>
            <w:r>
              <w:t xml:space="preserve">45 (750,000)</w:t>
            </w:r>
          </w:p>
        </w:tc>
        <w:tc>
          <w:tcPr/>
          <w:p>
            <w:pPr>
              <w:pStyle w:val="Compact"/>
              <w:jc w:val="left"/>
            </w:pPr>
            <w:r>
              <w:t xml:space="preserve">500,000,000+</w:t>
            </w:r>
          </w:p>
        </w:tc>
        <w:tc>
          <w:tcPr/>
          <w:p>
            <w:pPr>
              <w:pStyle w:val="Compact"/>
              <w:jc w:val="left"/>
            </w:pPr>
            <w:r>
              <w:t xml:space="preserve">50,000</w:t>
            </w:r>
          </w:p>
        </w:tc>
      </w:tr>
      <w:tr>
        <w:tc>
          <w:tcPr/>
          <w:p>
            <w:pPr>
              <w:pStyle w:val="Compact"/>
              <w:jc w:val="left"/>
            </w:pPr>
            <w:r>
              <w:rPr>
                <w:bCs/>
                <w:b/>
              </w:rPr>
              <w:t xml:space="preserve">5 (2030–2031)</w:t>
            </w:r>
          </w:p>
        </w:tc>
        <w:tc>
          <w:tcPr/>
          <w:p>
            <w:pPr>
              <w:pStyle w:val="Compact"/>
              <w:jc w:val="left"/>
            </w:pPr>
            <w:r>
              <w:rPr>
                <w:bCs/>
                <w:b/>
              </w:rPr>
              <w:t xml:space="preserve">Singularity of Governance</w:t>
            </w:r>
            <w:r>
              <w:t xml:space="preserve">: System knows every opted-in human, every company, every regulation; 100K dimensions/sec; &gt;95% prediction accuracy; Self-governing infrastructure</w:t>
            </w:r>
          </w:p>
        </w:tc>
        <w:tc>
          <w:tcPr/>
          <w:p>
            <w:pPr>
              <w:pStyle w:val="Compact"/>
              <w:jc w:val="left"/>
            </w:pPr>
            <w:r>
              <w:t xml:space="preserve">EUR 1–3B</w:t>
            </w:r>
          </w:p>
        </w:tc>
        <w:tc>
          <w:tcPr/>
          <w:p>
            <w:pPr>
              <w:pStyle w:val="Compact"/>
              <w:jc w:val="left"/>
            </w:pPr>
            <w:r>
              <w:t xml:space="preserve">1,000,000,000+</w:t>
            </w:r>
          </w:p>
        </w:tc>
        <w:tc>
          <w:tcPr/>
          <w:p>
            <w:pPr>
              <w:pStyle w:val="Compact"/>
              <w:jc w:val="left"/>
            </w:pPr>
            <w:r>
              <w:t xml:space="preserve">50+ (1,000,000+)</w:t>
            </w:r>
          </w:p>
        </w:tc>
        <w:tc>
          <w:tcPr/>
          <w:p>
            <w:pPr>
              <w:pStyle w:val="Compact"/>
              <w:jc w:val="left"/>
            </w:pPr>
            <w:r>
              <w:t xml:space="preserve">1,000,000,000+</w:t>
            </w:r>
          </w:p>
        </w:tc>
        <w:tc>
          <w:tcPr/>
          <w:p>
            <w:pPr>
              <w:pStyle w:val="Compact"/>
              <w:jc w:val="left"/>
            </w:pPr>
            <w:r>
              <w:t xml:space="preserve">100,000</w:t>
            </w:r>
          </w:p>
        </w:tc>
      </w:tr>
    </w:tbl>
    <w:p>
      <w:r>
        <w:pict>
          <v:rect style="width:0;height:1.5pt" o:hralign="center" o:hrstd="t" o:hr="t"/>
        </w:pic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defold.com. https://forum.defold.com/t/def-behavior-tree-library-for-creating-complex-ai-behaviors/77488</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Github. https://github.com/google-deepmind/concordia/blob/main/concordia/environment/README.md</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https://arxiv.org/abs/2310.11667</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Hugging Face. https://huggingface.co/blog/Kseniase/a2a</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themoonlight.io. https://www.themoonlight.io/en/review/project-sid-many-agent-simulations-toward-ai-civilization</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https://arxiv.org/html/2506.04699v1</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Game Developer. https://www.gamedeveloper.com/programming/behavior-trees-for-ai-how-they-work</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How Language Works: A Kid's Guide to the Science of Words. https://www.socratopia.app/library/math-for-game-devs-en/chapter-19</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cooperativeai.com. https://www.cooperativeai.com/post/google-deepmind-releases-concordia-library-v2-0</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Github. https://github.com/google-deepmind/concordia/blob/main/CHEATSHEET.md</w:t>
      </w:r>
      <w:bookmarkEnd w:id="1001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2026-06-19T11:49:11Z</dcterms:created>
  <dcterms:modified xsi:type="dcterms:W3CDTF">2026-06-19T11:49:11Z</dcterms:modified>
</cp:coreProperties>
</file>

<file path=docProps/custom.xml><?xml version="1.0" encoding="utf-8"?>
<Properties xmlns="http://schemas.openxmlformats.org/officeDocument/2006/custom-properties" xmlns:vt="http://schemas.openxmlformats.org/officeDocument/2006/docPropsVTypes"/>
</file>