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8bacceb0d311e8f84a096f26e395185194a35b"/>
    <w:p>
      <w:pPr>
        <w:pStyle w:val="Heading1"/>
      </w:pPr>
      <w:r>
        <w:t xml:space="preserve">CSOAI Sovereign Lens: Through the Looking Glass</w:t>
      </w:r>
    </w:p>
    <w:p>
      <w:pPr>
        <w:pStyle w:val="BlockText"/>
      </w:pPr>
      <w:r>
        <w:rPr>
          <w:bCs/>
          <w:b/>
        </w:rPr>
        <w:t xml:space="preserve">A Global Digital Twin Where Every Country, Company &amp; Government Is an AI Agent — Simulating 1000+ Futures to Predict the Platinum Move for Every Entity</w:t>
      </w:r>
    </w:p>
    <w:p>
      <w:pPr>
        <w:pStyle w:val="BlockText"/>
      </w:pPr>
      <w:r>
        <w:rPr>
          <w:bCs/>
          <w:b/>
        </w:rPr>
        <w:t xml:space="preserve">System Design Document</w:t>
      </w:r>
    </w:p>
    <w:p>
      <w:pPr>
        <w:pStyle w:val="BlockText"/>
      </w:pPr>
      <w:r>
        <w:rPr>
          <w:bCs/>
          <w:b/>
        </w:rPr>
        <w:t xml:space="preserve">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2" w:name="Xb137f927877aa8ec5b761ca11d5b0f751a7716b"/>
    <w:p>
      <w:pPr>
        <w:pStyle w:val="Heading1"/>
      </w:pPr>
      <w:r>
        <w:t xml:space="preserve">CSOAI Sovereign Lens: The World’s First Regulatory-Business Digital Twin</w:t>
      </w:r>
    </w:p>
    <w:bookmarkStart w:id="21" w:name="Xc9daeac8e8917b35dcdc425ec89721c99145c12"/>
    <w:p>
      <w:pPr>
        <w:pStyle w:val="Heading2"/>
      </w:pPr>
      <w:r>
        <w:t xml:space="preserve">A Strategic Framework for Auto-Spawning, Simulating, and Optimizing Every Entity on Earth</w:t>
      </w:r>
    </w:p>
    <w:p>
      <w:pPr>
        <w:pStyle w:val="FirstParagraph"/>
      </w:pPr>
      <w:r>
        <w:rPr>
          <w:bCs/>
          <w:b/>
        </w:rPr>
        <w:t xml:space="preserve">Author</w:t>
      </w:r>
      <w:r>
        <w:t xml:space="preserve">: Nick Templeman, CSOAI.org / meok.ai</w:t>
      </w:r>
      <w:r>
        <w:t xml:space="preserve"> </w:t>
      </w:r>
      <w:r>
        <w:rPr>
          <w:bCs/>
          <w:b/>
        </w:rPr>
        <w:t xml:space="preserve">Document</w:t>
      </w:r>
      <w:r>
        <w:t xml:space="preserve">: Sections 1–2 — Architecture &amp; Auto-Spawn Pipeline</w:t>
      </w:r>
      <w:r>
        <w:t xml:space="preserve"> </w:t>
      </w:r>
      <w:r>
        <w:rPr>
          <w:bCs/>
          <w:b/>
        </w:rPr>
        <w:t xml:space="preserve">Date</w:t>
      </w:r>
      <w:r>
        <w:t xml:space="preserve">: 2025</w:t>
      </w:r>
      <w:r>
        <w:t xml:space="preserve"> </w:t>
      </w:r>
      <w:r>
        <w:rPr>
          <w:bCs/>
          <w:b/>
        </w:rPr>
        <w:t xml:space="preserve">Classification</w:t>
      </w:r>
      <w:r>
        <w:t xml:space="preserve">: Strategic Vision Document</w:t>
      </w:r>
    </w:p>
    <w:p>
      <w:r>
        <w:pict>
          <v:rect style="width:0;height:1.5pt" o:hralign="center" o:hrstd="t" o:hr="t"/>
        </w:pict>
      </w:r>
    </w:p>
    <w:bookmarkEnd w:id="21"/>
    <w:bookmarkEnd w:id="22"/>
    <w:bookmarkStart w:id="33" w:name="X5f4731a97bc73b9ac82062028fef82e28f75f46"/>
    <w:p>
      <w:pPr>
        <w:pStyle w:val="Heading1"/>
      </w:pPr>
      <w:r>
        <w:t xml:space="preserve">SECTION 1: The Sovereign Lens Architecture — A Digital Twin of Planet Earth’s Regulatory-Business Ecosystem</w:t>
      </w:r>
    </w:p>
    <w:bookmarkStart w:id="26" w:name="what-is-sovereign-lens"/>
    <w:p>
      <w:pPr>
        <w:pStyle w:val="Heading2"/>
      </w:pPr>
      <w:r>
        <w:t xml:space="preserve">1.1 What is Sovereign Lens?</w:t>
      </w:r>
    </w:p>
    <w:bookmarkStart w:id="23" w:name="X0405a158345308c1101fd9a4d186991a303e6bc"/>
    <w:p>
      <w:pPr>
        <w:pStyle w:val="Heading3"/>
      </w:pPr>
      <w:r>
        <w:t xml:space="preserve">1.1.1 The Concept: The Matrix, But for Compliance</w:t>
      </w:r>
    </w:p>
    <w:p>
      <w:pPr>
        <w:pStyle w:val="FirstParagraph"/>
      </w:pPr>
      <w:r>
        <w:t xml:space="preserve">Picture this: every registered company on Earth — all 500 million of them — exists simultaneously inside a living simulation. Every national regulator, every piece of legislation, every market shift, every cyber threat, every leadership change, every economic shock is encoded as a rule or event in this vast computational world. Now imagine that this simulation runs</w:t>
      </w:r>
      <w:r>
        <w:t xml:space="preserve"> </w:t>
      </w:r>
      <w:r>
        <w:rPr>
          <w:bCs/>
          <w:b/>
        </w:rPr>
        <w:t xml:space="preserve">faster than real-time</w:t>
      </w:r>
      <w:r>
        <w:t xml:space="preserve">, churning through thousands of possible futures for each entity, and producing — at the other end — a precisely calibrated</w:t>
      </w:r>
      <w:r>
        <w:t xml:space="preserve"> </w:t>
      </w:r>
      <w:r>
        <w:t xml:space="preserve">“</w:t>
      </w:r>
      <w:r>
        <w:t xml:space="preserve">platinum move</w:t>
      </w:r>
      <w:r>
        <w:t xml:space="preserve">”</w:t>
      </w:r>
      <w:r>
        <w:t xml:space="preserve"> </w:t>
      </w:r>
      <w:r>
        <w:t xml:space="preserve">for every single company: the optimal strategy they should adopt, delivered before they even realize they need it.</w:t>
      </w:r>
    </w:p>
    <w:p>
      <w:pPr>
        <w:pStyle w:val="BodyText"/>
      </w:pPr>
      <w:r>
        <w:t xml:space="preserve">This is</w:t>
      </w:r>
      <w:r>
        <w:t xml:space="preserve"> </w:t>
      </w:r>
      <w:r>
        <w:rPr>
          <w:bCs/>
          <w:b/>
        </w:rPr>
        <w:t xml:space="preserve">Sovereign Lens</w:t>
      </w:r>
      <w:r>
        <w:t xml:space="preserve">.</w:t>
      </w:r>
    </w:p>
    <w:p>
      <w:pPr>
        <w:pStyle w:val="BodyText"/>
      </w:pPr>
      <w:r>
        <w:t xml:space="preserve">Sovereign Lens is not a dashboard. It is not a CRM with AI bolted on. It is a</w:t>
      </w:r>
      <w:r>
        <w:t xml:space="preserve"> </w:t>
      </w:r>
      <w:r>
        <w:rPr>
          <w:bCs/>
          <w:b/>
        </w:rPr>
        <w:t xml:space="preserve">massive multi-agent simulation architecture</w:t>
      </w:r>
      <w:r>
        <w:t xml:space="preserve"> </w:t>
      </w:r>
      <w:r>
        <w:t xml:space="preserve">that treats planet Earth’s regulatory-business ecosystem as a computable system — a digital twin at planetary scale. Think of it as</w:t>
      </w:r>
      <w:r>
        <w:t xml:space="preserve"> </w:t>
      </w:r>
      <w:r>
        <w:t xml:space="preserve">“</w:t>
      </w:r>
      <w:r>
        <w:t xml:space="preserve">The Matrix but for regulatory compliance and business strategy</w:t>
      </w:r>
      <w:r>
        <w:t xml:space="preserve">”</w:t>
      </w:r>
      <w:r>
        <w:t xml:space="preserve"> </w:t>
      </w:r>
      <w:r>
        <w:t xml:space="preserve">— a living, breathing computational mirror of the global economy that evolves in real-time, learns from every interaction, and gets smarter with every simulation cycle.</w:t>
      </w:r>
    </w:p>
    <w:p>
      <w:pPr>
        <w:pStyle w:val="BodyText"/>
      </w:pPr>
      <w:r>
        <w:t xml:space="preserve">The concept merges three previously separate domains into a single unified system:</w:t>
      </w:r>
    </w:p>
    <w:p>
      <w:pPr>
        <w:numPr>
          <w:ilvl w:val="0"/>
          <w:numId w:val="1001"/>
        </w:numPr>
      </w:pPr>
      <w:r>
        <w:rPr>
          <w:bCs/>
          <w:b/>
        </w:rPr>
        <w:t xml:space="preserve">Agent-47 World Simulation</w:t>
      </w:r>
      <w:r>
        <w:t xml:space="preserve">: Inspired by the Agent-47 project (47 autonomous agents coexisting in a simulated town), Sovereign Lens scales this to millions of agents — every company, every regulator, every stakeholder — interacting in a shared regulatory environment.</w:t>
      </w:r>
    </w:p>
    <w:p>
      <w:pPr>
        <w:numPr>
          <w:ilvl w:val="0"/>
          <w:numId w:val="1001"/>
        </w:numPr>
      </w:pPr>
      <w:r>
        <w:rPr>
          <w:bCs/>
          <w:b/>
        </w:rPr>
        <w:t xml:space="preserve">GRCIN Compliance Network</w:t>
      </w:r>
      <w:r>
        <w:t xml:space="preserve">: The Global Regulatory Compliance Intelligence Network’s framework of interconnected compliance obligations, regulatory mappings, and cross-jurisdictional intelligence becomes the</w:t>
      </w:r>
      <w:r>
        <w:t xml:space="preserve"> </w:t>
      </w:r>
      <w:r>
        <w:rPr>
          <w:bCs/>
          <w:b/>
        </w:rPr>
        <w:t xml:space="preserve">rule engine</w:t>
      </w:r>
      <w:r>
        <w:t xml:space="preserve"> </w:t>
      </w:r>
      <w:r>
        <w:t xml:space="preserve">that governs agent behavior.</w:t>
      </w:r>
    </w:p>
    <w:p>
      <w:pPr>
        <w:numPr>
          <w:ilvl w:val="0"/>
          <w:numId w:val="1001"/>
        </w:numPr>
      </w:pPr>
      <w:r>
        <w:rPr>
          <w:bCs/>
          <w:b/>
        </w:rPr>
        <w:t xml:space="preserve">CSOAI Ecosystem</w:t>
      </w:r>
      <w:r>
        <w:t xml:space="preserve">: CSOAI’s existing platform — Business Fit Test (BFT), CSOAI Score, compliance automation — becomes the</w:t>
      </w:r>
      <w:r>
        <w:t xml:space="preserve"> </w:t>
      </w:r>
      <w:r>
        <w:rPr>
          <w:bCs/>
          <w:b/>
        </w:rPr>
        <w:t xml:space="preserve">intelligence layer</w:t>
      </w:r>
      <w:r>
        <w:t xml:space="preserve"> </w:t>
      </w:r>
      <w:r>
        <w:t xml:space="preserve">that consumes simulation outputs and converts them into actionable strategies.</w:t>
      </w:r>
    </w:p>
    <w:p>
      <w:pPr>
        <w:pStyle w:val="FirstParagraph"/>
      </w:pPr>
      <w:r>
        <w:t xml:space="preserve">The result is a system where CSOAI doesn’t just</w:t>
      </w:r>
      <w:r>
        <w:t xml:space="preserve"> </w:t>
      </w:r>
      <w:r>
        <w:rPr>
          <w:bCs/>
          <w:b/>
        </w:rPr>
        <w:t xml:space="preserve">react</w:t>
      </w:r>
      <w:r>
        <w:t xml:space="preserve"> </w:t>
      </w:r>
      <w:r>
        <w:t xml:space="preserve">to compliance needs — it</w:t>
      </w:r>
      <w:r>
        <w:t xml:space="preserve"> </w:t>
      </w:r>
      <w:r>
        <w:rPr>
          <w:bCs/>
          <w:b/>
        </w:rPr>
        <w:t xml:space="preserve">predicts them at planetary scale</w:t>
      </w:r>
      <w:r>
        <w:t xml:space="preserve">.</w:t>
      </w:r>
    </w:p>
    <w:bookmarkEnd w:id="23"/>
    <w:bookmarkStart w:id="24" w:name="core-innovation-auto-spawn-dont-wait"/>
    <w:p>
      <w:pPr>
        <w:pStyle w:val="Heading3"/>
      </w:pPr>
      <w:r>
        <w:t xml:space="preserve">1.1.2 Core Innovation: Auto-Spawn, Don’t Wait</w:t>
      </w:r>
    </w:p>
    <w:p>
      <w:pPr>
        <w:pStyle w:val="FirstParagraph"/>
      </w:pPr>
      <w:r>
        <w:t xml:space="preserve">Here is the single insight that changes everything:</w:t>
      </w:r>
      <w:r>
        <w:t xml:space="preserve"> </w:t>
      </w:r>
      <w:r>
        <w:rPr>
          <w:bCs/>
          <w:b/>
        </w:rPr>
        <w:t xml:space="preserve">CSOAI does not wait for companies to enter the system. We spawn them.</w:t>
      </w:r>
    </w:p>
    <w:p>
      <w:pPr>
        <w:pStyle w:val="BodyText"/>
      </w:pPr>
      <w:r>
        <w:t xml:space="preserve">Traditional GRC platforms are passive. They wait for a company to sign up, import their data, configure their compliance framework, and begin tracking obligations. This is fundamentally limited — you can only help entities that have already found you. Sovereign Lens inverts this paradigm entirely.</w:t>
      </w:r>
    </w:p>
    <w:p>
      <w:pPr>
        <w:pStyle w:val="BodyText"/>
      </w:pPr>
      <w:r>
        <w:t xml:space="preserve">Every registered company in</w:t>
      </w:r>
      <w:r>
        <w:t xml:space="preserve"> </w:t>
      </w:r>
      <w:r>
        <w:rPr>
          <w:bCs/>
          <w:b/>
        </w:rPr>
        <w:t xml:space="preserve">Companies House</w:t>
      </w:r>
      <w:r>
        <w:t xml:space="preserve"> </w:t>
      </w:r>
      <w:r>
        <w:t xml:space="preserve">(4.2M+ UK companies), every entity in</w:t>
      </w:r>
      <w:r>
        <w:t xml:space="preserve"> </w:t>
      </w:r>
      <w:r>
        <w:rPr>
          <w:bCs/>
          <w:b/>
        </w:rPr>
        <w:t xml:space="preserve">SEC EDGAR</w:t>
      </w:r>
      <w:r>
        <w:t xml:space="preserve"> </w:t>
      </w:r>
      <w:r>
        <w:t xml:space="preserve">(10,000+ US public companies), every business in</w:t>
      </w:r>
      <w:r>
        <w:t xml:space="preserve"> </w:t>
      </w:r>
      <w:r>
        <w:rPr>
          <w:bCs/>
          <w:b/>
        </w:rPr>
        <w:t xml:space="preserve">EU Business Registers</w:t>
      </w:r>
      <w:r>
        <w:t xml:space="preserve"> </w:t>
      </w:r>
      <w:r>
        <w:t xml:space="preserve">(80M+ across 27 member states), every corporation in</w:t>
      </w:r>
      <w:r>
        <w:t xml:space="preserve"> </w:t>
      </w:r>
      <w:r>
        <w:rPr>
          <w:bCs/>
          <w:b/>
        </w:rPr>
        <w:t xml:space="preserve">Orbis</w:t>
      </w:r>
      <w:r>
        <w:t xml:space="preserve"> </w:t>
      </w:r>
      <w:r>
        <w:t xml:space="preserve">(300M+ global), every entity in</w:t>
      </w:r>
      <w:r>
        <w:t xml:space="preserve"> </w:t>
      </w:r>
      <w:r>
        <w:rPr>
          <w:bCs/>
          <w:b/>
        </w:rPr>
        <w:t xml:space="preserve">OpenCorporates</w:t>
      </w:r>
      <w:r>
        <w:t xml:space="preserve"> </w:t>
      </w:r>
      <w:r>
        <w:t xml:space="preserve">(200M+), every organization with an</w:t>
      </w:r>
      <w:r>
        <w:t xml:space="preserve"> </w:t>
      </w:r>
      <w:r>
        <w:rPr>
          <w:bCs/>
          <w:b/>
        </w:rPr>
        <w:t xml:space="preserve">LEI (Legal Entity Identifier)</w:t>
      </w:r>
      <w:r>
        <w:t xml:space="preserve"> </w:t>
      </w:r>
      <w:r>
        <w:t xml:space="preserve">— all of them become AI agents automatically. No signup required. No consent needed for the simulation. No onboarding friction.</w:t>
      </w:r>
    </w:p>
    <w:p>
      <w:pPr>
        <w:pStyle w:val="BodyText"/>
      </w:pPr>
      <w:r>
        <w:t xml:space="preserve">Each auto-spawned agent receives:</w:t>
      </w:r>
    </w:p>
    <w:p>
      <w:pPr>
        <w:numPr>
          <w:ilvl w:val="0"/>
          <w:numId w:val="1002"/>
        </w:numPr>
        <w:pStyle w:val="Compact"/>
      </w:pPr>
      <w:r>
        <w:t xml:space="preserve">A</w:t>
      </w:r>
      <w:r>
        <w:t xml:space="preserve"> </w:t>
      </w:r>
      <w:r>
        <w:rPr>
          <w:bCs/>
          <w:b/>
        </w:rPr>
        <w:t xml:space="preserve">basic identity profile</w:t>
      </w:r>
      <w:r>
        <w:t xml:space="preserve"> </w:t>
      </w:r>
      <w:r>
        <w:t xml:space="preserve">extracted from commercial registry data</w:t>
      </w:r>
    </w:p>
    <w:p>
      <w:pPr>
        <w:numPr>
          <w:ilvl w:val="0"/>
          <w:numId w:val="1002"/>
        </w:numPr>
        <w:pStyle w:val="Compact"/>
      </w:pPr>
      <w:r>
        <w:t xml:space="preserve">An</w:t>
      </w:r>
      <w:r>
        <w:t xml:space="preserve"> </w:t>
      </w:r>
      <w:r>
        <w:rPr>
          <w:bCs/>
          <w:b/>
        </w:rPr>
        <w:t xml:space="preserve">industry classification</w:t>
      </w:r>
      <w:r>
        <w:t xml:space="preserve"> </w:t>
      </w:r>
      <w:r>
        <w:t xml:space="preserve">mapped via NAICS/SIC codes</w:t>
      </w:r>
    </w:p>
    <w:p>
      <w:pPr>
        <w:numPr>
          <w:ilvl w:val="0"/>
          <w:numId w:val="1002"/>
        </w:numPr>
        <w:pStyle w:val="Compact"/>
      </w:pPr>
      <w:r>
        <w:t xml:space="preserve">A</w:t>
      </w:r>
      <w:r>
        <w:t xml:space="preserve"> </w:t>
      </w:r>
      <w:r>
        <w:rPr>
          <w:bCs/>
          <w:b/>
        </w:rPr>
        <w:t xml:space="preserve">regulatory exposure matrix</w:t>
      </w:r>
      <w:r>
        <w:t xml:space="preserve"> </w:t>
      </w:r>
      <w:r>
        <w:t xml:space="preserve">computed from jurisdiction + industry + size</w:t>
      </w:r>
    </w:p>
    <w:p>
      <w:pPr>
        <w:numPr>
          <w:ilvl w:val="0"/>
          <w:numId w:val="1002"/>
        </w:numPr>
        <w:pStyle w:val="Compact"/>
      </w:pPr>
      <w:r>
        <w:t xml:space="preserve">A</w:t>
      </w:r>
      <w:r>
        <w:t xml:space="preserve"> </w:t>
      </w:r>
      <w:r>
        <w:rPr>
          <w:bCs/>
          <w:b/>
        </w:rPr>
        <w:t xml:space="preserve">financial health score</w:t>
      </w:r>
      <w:r>
        <w:t xml:space="preserve"> </w:t>
      </w:r>
      <w:r>
        <w:t xml:space="preserve">synthesized from credit reports and annual accounts</w:t>
      </w:r>
    </w:p>
    <w:p>
      <w:pPr>
        <w:numPr>
          <w:ilvl w:val="0"/>
          <w:numId w:val="1002"/>
        </w:numPr>
        <w:pStyle w:val="Compact"/>
      </w:pPr>
      <w:r>
        <w:t xml:space="preserve">A</w:t>
      </w:r>
      <w:r>
        <w:t xml:space="preserve"> </w:t>
      </w:r>
      <w:r>
        <w:rPr>
          <w:bCs/>
          <w:b/>
        </w:rPr>
        <w:t xml:space="preserve">leadership profile</w:t>
      </w:r>
      <w:r>
        <w:t xml:space="preserve"> </w:t>
      </w:r>
      <w:r>
        <w:t xml:space="preserve">constructed from board member data and executive histories</w:t>
      </w:r>
    </w:p>
    <w:p>
      <w:pPr>
        <w:numPr>
          <w:ilvl w:val="0"/>
          <w:numId w:val="1002"/>
        </w:numPr>
        <w:pStyle w:val="Compact"/>
      </w:pPr>
      <w:r>
        <w:t xml:space="preserve">A</w:t>
      </w:r>
      <w:r>
        <w:t xml:space="preserve"> </w:t>
      </w:r>
      <w:r>
        <w:rPr>
          <w:bCs/>
          <w:b/>
        </w:rPr>
        <w:t xml:space="preserve">compliance trajectory</w:t>
      </w:r>
      <w:r>
        <w:t xml:space="preserve"> </w:t>
      </w:r>
      <w:r>
        <w:t xml:space="preserve">projected from historical regulatory filings and enforcement actions</w:t>
      </w:r>
    </w:p>
    <w:p>
      <w:pPr>
        <w:numPr>
          <w:ilvl w:val="0"/>
          <w:numId w:val="1002"/>
        </w:numPr>
        <w:pStyle w:val="Compact"/>
      </w:pPr>
      <w:r>
        <w:t xml:space="preserve">A</w:t>
      </w:r>
      <w:r>
        <w:t xml:space="preserve"> </w:t>
      </w:r>
      <w:r>
        <w:rPr>
          <w:bCs/>
          <w:b/>
        </w:rPr>
        <w:t xml:space="preserve">risk score</w:t>
      </w:r>
      <w:r>
        <w:t xml:space="preserve"> </w:t>
      </w:r>
      <w:r>
        <w:t xml:space="preserve">from an initial BFT (Business Fit Test) assessment</w:t>
      </w:r>
    </w:p>
    <w:p>
      <w:pPr>
        <w:pStyle w:val="FirstParagraph"/>
      </w:pPr>
      <w:r>
        <w:t xml:space="preserve">The moment a company is spawned, Sovereign Lens begins running Monte Carlo simulations on its behalf. By the time CSOAI’s first outreach email lands in a CEO’s inbox, we have already simulated</w:t>
      </w:r>
      <w:r>
        <w:t xml:space="preserve"> </w:t>
      </w:r>
      <w:r>
        <w:rPr>
          <w:bCs/>
          <w:b/>
        </w:rPr>
        <w:t xml:space="preserve">10,000 variants</w:t>
      </w:r>
      <w:r>
        <w:t xml:space="preserve"> </w:t>
      </w:r>
      <w:r>
        <w:t xml:space="preserve">of their regulatory future and computed their optimal path. We know their vulnerabilities before they do. We know their deadlines before they mark them on their calendar. We know their optimal strategy before their board has convened to discuss it.</w:t>
      </w:r>
    </w:p>
    <w:p>
      <w:pPr>
        <w:pStyle w:val="BodyText"/>
      </w:pPr>
      <w:r>
        <w:t xml:space="preserve">This is not surveillance. This is</w:t>
      </w:r>
      <w:r>
        <w:t xml:space="preserve"> </w:t>
      </w:r>
      <w:r>
        <w:rPr>
          <w:bCs/>
          <w:b/>
        </w:rPr>
        <w:t xml:space="preserve">computational foresight</w:t>
      </w:r>
      <w:r>
        <w:t xml:space="preserve">.</w:t>
      </w:r>
    </w:p>
    <w:bookmarkEnd w:id="24"/>
    <w:bookmarkStart w:id="25" w:name="X5af0ecd816640612f73a723fa9df9231fdb1fce"/>
    <w:p>
      <w:pPr>
        <w:pStyle w:val="Heading3"/>
      </w:pPr>
      <w:r>
        <w:t xml:space="preserve">1.1.3</w:t>
      </w:r>
      <w:r>
        <w:t xml:space="preserve"> </w:t>
      </w:r>
      <w:r>
        <w:t xml:space="preserve">“</w:t>
      </w:r>
      <w:r>
        <w:t xml:space="preserve">Through the Looking Glass</w:t>
      </w:r>
      <w:r>
        <w:t xml:space="preserve">”</w:t>
      </w:r>
      <w:r>
        <w:t xml:space="preserve">: Simulation Faster Than Reality</w:t>
      </w:r>
    </w:p>
    <w:p>
      <w:pPr>
        <w:pStyle w:val="FirstParagraph"/>
      </w:pPr>
      <w:r>
        <w:t xml:space="preserve">The third pillar of Sovereign Lens’s concept is</w:t>
      </w:r>
      <w:r>
        <w:t xml:space="preserve"> </w:t>
      </w:r>
      <w:r>
        <w:rPr>
          <w:bCs/>
          <w:b/>
        </w:rPr>
        <w:t xml:space="preserve">temporal acceleration</w:t>
      </w:r>
      <w:r>
        <w:t xml:space="preserve"> </w:t>
      </w:r>
      <w:r>
        <w:t xml:space="preserve">— the simulation runs</w:t>
      </w:r>
      <w:r>
        <w:t xml:space="preserve"> </w:t>
      </w:r>
      <w:r>
        <w:rPr>
          <w:iCs/>
          <w:i/>
        </w:rPr>
        <w:t xml:space="preserve">faster</w:t>
      </w:r>
      <w:r>
        <w:t xml:space="preserve"> </w:t>
      </w:r>
      <w:r>
        <w:t xml:space="preserve">than real-time. What takes months of regulatory negotiation, market evolution, and competitive maneuvering in the physical world, Sovereign Lens compresses into hours of computation.</w:t>
      </w:r>
    </w:p>
    <w:p>
      <w:pPr>
        <w:pStyle w:val="BodyText"/>
      </w:pPr>
      <w:r>
        <w:t xml:space="preserve">Consider a real-world scenario: the EU’s</w:t>
      </w:r>
      <w:r>
        <w:t xml:space="preserve"> </w:t>
      </w:r>
      <w:r>
        <w:rPr>
          <w:bCs/>
          <w:b/>
        </w:rPr>
        <w:t xml:space="preserve">Digital Operational Resilience Act (DORA)</w:t>
      </w:r>
      <w:r>
        <w:t xml:space="preserve"> </w:t>
      </w:r>
      <w:r>
        <w:t xml:space="preserve">comes into full force in January 2025. A mid-sized European bank has until then to achieve compliance across 5 key domains — ICT risk management, incident reporting, resilience testing, third-party risk management, and information sharing. In the physical world, this bank might hire consultants, form a project team, conduct gap analyses, implement changes, and hope they’ve covered everything by the deadline.</w:t>
      </w:r>
    </w:p>
    <w:p>
      <w:pPr>
        <w:pStyle w:val="BodyText"/>
      </w:pPr>
      <w:r>
        <w:t xml:space="preserve">In Sovereign Lens, this same bank’s agent is simulated through</w:t>
      </w:r>
      <w:r>
        <w:t xml:space="preserve"> </w:t>
      </w:r>
      <w:r>
        <w:rPr>
          <w:bCs/>
          <w:b/>
        </w:rPr>
        <w:t xml:space="preserve">1,000+ scenario variants</w:t>
      </w:r>
      <w:r>
        <w:t xml:space="preserve"> </w:t>
      </w:r>
      <w:r>
        <w:t xml:space="preserve">within a single computational run:</w:t>
      </w:r>
    </w:p>
    <w:p>
      <w:pPr>
        <w:numPr>
          <w:ilvl w:val="0"/>
          <w:numId w:val="1003"/>
        </w:numPr>
        <w:pStyle w:val="Compact"/>
      </w:pPr>
      <w:r>
        <w:rPr>
          <w:bCs/>
          <w:b/>
        </w:rPr>
        <w:t xml:space="preserve">Scenario 1–100</w:t>
      </w:r>
      <w:r>
        <w:t xml:space="preserve">: What if the bank delays implementation by 1, 2, 3 months?</w:t>
      </w:r>
    </w:p>
    <w:p>
      <w:pPr>
        <w:numPr>
          <w:ilvl w:val="0"/>
          <w:numId w:val="1003"/>
        </w:numPr>
        <w:pStyle w:val="Compact"/>
      </w:pPr>
      <w:r>
        <w:rPr>
          <w:bCs/>
          <w:b/>
        </w:rPr>
        <w:t xml:space="preserve">Scenario 101–200</w:t>
      </w:r>
      <w:r>
        <w:t xml:space="preserve">: What if a key third-party provider fails their own compliance audit?</w:t>
      </w:r>
    </w:p>
    <w:p>
      <w:pPr>
        <w:numPr>
          <w:ilvl w:val="0"/>
          <w:numId w:val="1003"/>
        </w:numPr>
        <w:pStyle w:val="Compact"/>
      </w:pPr>
      <w:r>
        <w:rPr>
          <w:bCs/>
          <w:b/>
        </w:rPr>
        <w:t xml:space="preserve">Scenario 201–300</w:t>
      </w:r>
      <w:r>
        <w:t xml:space="preserve">: What if the bank’s CISO resigns mid-project?</w:t>
      </w:r>
    </w:p>
    <w:p>
      <w:pPr>
        <w:numPr>
          <w:ilvl w:val="0"/>
          <w:numId w:val="1003"/>
        </w:numPr>
        <w:pStyle w:val="Compact"/>
      </w:pPr>
      <w:r>
        <w:rPr>
          <w:bCs/>
          <w:b/>
        </w:rPr>
        <w:t xml:space="preserve">Scenario 301–400</w:t>
      </w:r>
      <w:r>
        <w:t xml:space="preserve">: What if a competitor achieves early compliance and captures market share?</w:t>
      </w:r>
    </w:p>
    <w:p>
      <w:pPr>
        <w:numPr>
          <w:ilvl w:val="0"/>
          <w:numId w:val="1003"/>
        </w:numPr>
        <w:pStyle w:val="Compact"/>
      </w:pPr>
      <w:r>
        <w:rPr>
          <w:bCs/>
          <w:b/>
        </w:rPr>
        <w:t xml:space="preserve">Scenario 401–500</w:t>
      </w:r>
      <w:r>
        <w:t xml:space="preserve">: What if the European Banking Authority issues stricter guidance than expected?</w:t>
      </w:r>
    </w:p>
    <w:p>
      <w:pPr>
        <w:numPr>
          <w:ilvl w:val="0"/>
          <w:numId w:val="1003"/>
        </w:numPr>
        <w:pStyle w:val="Compact"/>
      </w:pPr>
      <w:r>
        <w:rPr>
          <w:bCs/>
          <w:b/>
        </w:rPr>
        <w:t xml:space="preserve">Scenario 501–600</w:t>
      </w:r>
      <w:r>
        <w:t xml:space="preserve">: What if a cyber attack occurs during the compliance implementation period?</w:t>
      </w:r>
    </w:p>
    <w:p>
      <w:pPr>
        <w:numPr>
          <w:ilvl w:val="0"/>
          <w:numId w:val="1003"/>
        </w:numPr>
        <w:pStyle w:val="Compact"/>
      </w:pPr>
      <w:r>
        <w:rPr>
          <w:bCs/>
          <w:b/>
        </w:rPr>
        <w:t xml:space="preserve">Scenario 601–700</w:t>
      </w:r>
      <w:r>
        <w:t xml:space="preserve">: What if the bank merges with another entity mid-compliance?</w:t>
      </w:r>
    </w:p>
    <w:p>
      <w:pPr>
        <w:numPr>
          <w:ilvl w:val="0"/>
          <w:numId w:val="1003"/>
        </w:numPr>
        <w:pStyle w:val="Compact"/>
      </w:pPr>
      <w:r>
        <w:rPr>
          <w:bCs/>
          <w:b/>
        </w:rPr>
        <w:t xml:space="preserve">Scenario 701–800</w:t>
      </w:r>
      <w:r>
        <w:t xml:space="preserve">: What if the bank under-invests in ICT testing and fails the supervisory review?</w:t>
      </w:r>
    </w:p>
    <w:p>
      <w:pPr>
        <w:numPr>
          <w:ilvl w:val="0"/>
          <w:numId w:val="1003"/>
        </w:numPr>
        <w:pStyle w:val="Compact"/>
      </w:pPr>
      <w:r>
        <w:rPr>
          <w:bCs/>
          <w:b/>
        </w:rPr>
        <w:t xml:space="preserve">Scenario 801–900</w:t>
      </w:r>
      <w:r>
        <w:t xml:space="preserve">: What if political pressure delays DORA enforcement?</w:t>
      </w:r>
    </w:p>
    <w:p>
      <w:pPr>
        <w:numPr>
          <w:ilvl w:val="0"/>
          <w:numId w:val="1003"/>
        </w:numPr>
        <w:pStyle w:val="Compact"/>
      </w:pPr>
      <w:r>
        <w:rPr>
          <w:bCs/>
          <w:b/>
        </w:rPr>
        <w:t xml:space="preserve">Scenario 901–1000</w:t>
      </w:r>
      <w:r>
        <w:t xml:space="preserve">: What if the bank adopts a phased approach vs. a big-bang implementation?</w:t>
      </w:r>
    </w:p>
    <w:p>
      <w:pPr>
        <w:pStyle w:val="FirstParagraph"/>
      </w:pPr>
      <w:r>
        <w:t xml:space="preserve">Each scenario produces a</w:t>
      </w:r>
      <w:r>
        <w:t xml:space="preserve"> </w:t>
      </w:r>
      <w:r>
        <w:rPr>
          <w:bCs/>
          <w:b/>
        </w:rPr>
        <w:t xml:space="preserve">probability-weighted outcome</w:t>
      </w:r>
      <w:r>
        <w:t xml:space="preserve">: compliance probability, cost estimate, timeline, risk exposure, competitive positioning. The Intelligence Layer then synthesizes all 1,000+ outcomes into a single</w:t>
      </w:r>
      <w:r>
        <w:t xml:space="preserve"> </w:t>
      </w:r>
      <w:r>
        <w:rPr>
          <w:bCs/>
          <w:b/>
        </w:rPr>
        <w:t xml:space="preserve">“</w:t>
      </w:r>
      <w:r>
        <w:rPr>
          <w:bCs/>
          <w:b/>
        </w:rPr>
        <w:t xml:space="preserve">platinum move</w:t>
      </w:r>
      <w:r>
        <w:rPr>
          <w:bCs/>
          <w:b/>
        </w:rPr>
        <w:t xml:space="preserve">”</w:t>
      </w:r>
      <w:r>
        <w:t xml:space="preserve"> </w:t>
      </w:r>
      <w:r>
        <w:t xml:space="preserve">— the optimal strategy calibrated to this specific entity’s profile, resources, and risk appetite.</w:t>
      </w:r>
    </w:p>
    <w:p>
      <w:pPr>
        <w:pStyle w:val="BodyText"/>
      </w:pPr>
      <w:r>
        <w:t xml:space="preserve">By the time the real January 2025 deadline approaches, CSOAI has already run this simulation 50 times with updated data, refined the strategy, and identified the precise moment when proactive outreach will convert this shadow profile into a paying relationship. The bank receives an email that says, in essence:</w:t>
      </w:r>
      <w:r>
        <w:t xml:space="preserve"> </w:t>
      </w:r>
      <w:r>
        <w:rPr>
          <w:iCs/>
          <w:i/>
        </w:rPr>
        <w:t xml:space="preserve">“</w:t>
      </w:r>
      <w:r>
        <w:rPr>
          <w:iCs/>
          <w:i/>
        </w:rPr>
        <w:t xml:space="preserve">We’ve analyzed your DORA compliance trajectory against 10,000 simulated futures. Your current path has a 34% probability of on-time compliance. Here’s the specific 7-step plan that raises it to 94%.</w:t>
      </w:r>
      <w:r>
        <w:rPr>
          <w:iCs/>
          <w:i/>
        </w:rPr>
        <w:t xml:space="preserve">”</w:t>
      </w:r>
    </w:p>
    <w:p>
      <w:pPr>
        <w:pStyle w:val="BodyText"/>
      </w:pPr>
      <w:r>
        <w:t xml:space="preserve">This is Sovereign Lens. This is</w:t>
      </w:r>
      <w:r>
        <w:t xml:space="preserve"> </w:t>
      </w:r>
      <w:r>
        <w:rPr>
          <w:bCs/>
          <w:b/>
        </w:rPr>
        <w:t xml:space="preserve">looking through the glass</w:t>
      </w:r>
      <w:r>
        <w:t xml:space="preserve"> </w:t>
      </w:r>
      <w:r>
        <w:t xml:space="preserve">— seeing the future before it arrives.</w:t>
      </w:r>
    </w:p>
    <w:p>
      <w:r>
        <w:pict>
          <v:rect style="width:0;height:1.5pt" o:hralign="center" o:hrstd="t" o:hr="t"/>
        </w:pict>
      </w:r>
    </w:p>
    <w:bookmarkEnd w:id="25"/>
    <w:bookmarkEnd w:id="26"/>
    <w:bookmarkStart w:id="31" w:name="the-four-layer-architecture"/>
    <w:p>
      <w:pPr>
        <w:pStyle w:val="Heading2"/>
      </w:pPr>
      <w:r>
        <w:t xml:space="preserve">1.2 The Four-Layer Architecture</w:t>
      </w:r>
    </w:p>
    <w:p>
      <w:pPr>
        <w:pStyle w:val="FirstParagraph"/>
      </w:pPr>
      <w:r>
        <w:t xml:space="preserve">Sovereign Lens is built on four interconnected layers, each with distinct responsibilities, technologies, and data flows. Together they form a complete pipeline from raw world data to actionable intelligence.</w:t>
      </w:r>
    </w:p>
    <w:bookmarkStart w:id="27" w:name="Xb6cdcc9d7646440b6fcb869ce7d1714188f7592"/>
    <w:p>
      <w:pPr>
        <w:pStyle w:val="Heading3"/>
      </w:pPr>
      <w:r>
        <w:t xml:space="preserve">1.2.1 World Layer: 195 Countries as Simulation Zones</w:t>
      </w:r>
    </w:p>
    <w:p>
      <w:pPr>
        <w:pStyle w:val="FirstParagraph"/>
      </w:pPr>
      <w:r>
        <w:t xml:space="preserve">The World Layer partitions planet Earth into</w:t>
      </w:r>
      <w:r>
        <w:t xml:space="preserve"> </w:t>
      </w:r>
      <w:r>
        <w:rPr>
          <w:bCs/>
          <w:b/>
        </w:rPr>
        <w:t xml:space="preserve">195 distinct simulation zones</w:t>
      </w:r>
      <w:r>
        <w:t xml:space="preserve"> </w:t>
      </w:r>
      <w:r>
        <w:t xml:space="preserve">— one per recognized sovereign state. Each zone is not merely a geographic boundary; it is a fully modeled regulatory environment with jurisdiction-specific rules, enforcement patterns, cultural factors, and economic conditions.</w:t>
      </w:r>
    </w:p>
    <w:p>
      <w:pPr>
        <w:pStyle w:val="BodyText"/>
      </w:pPr>
      <w:r>
        <w:rPr>
          <w:bCs/>
          <w:b/>
        </w:rPr>
        <w:t xml:space="preserve">Key zone configurations include:</w:t>
      </w:r>
    </w:p>
    <w:p>
      <w:pPr>
        <w:numPr>
          <w:ilvl w:val="0"/>
          <w:numId w:val="1004"/>
        </w:numPr>
        <w:pStyle w:val="Compact"/>
      </w:pPr>
      <w:r>
        <w:rPr>
          <w:bCs/>
          <w:b/>
        </w:rPr>
        <w:t xml:space="preserve">European Union Zone</w:t>
      </w:r>
      <w:r>
        <w:t xml:space="preserve">: DORA (Digital Operational Resilience Act), NIS2 Directive, GDPR, AI Act, MiCA (Markets in Crypto-Assets), CSRD (Corporate Sustainability Reporting Directive). Enforcement modeled per member state with European Supervisory Authorities (ESAs) as meta-regulators.</w:t>
      </w:r>
    </w:p>
    <w:p>
      <w:pPr>
        <w:numPr>
          <w:ilvl w:val="0"/>
          <w:numId w:val="1004"/>
        </w:numPr>
        <w:pStyle w:val="Compact"/>
      </w:pPr>
      <w:r>
        <w:rPr>
          <w:bCs/>
          <w:b/>
        </w:rPr>
        <w:t xml:space="preserve">United Kingdom Zone</w:t>
      </w:r>
      <w:r>
        <w:t xml:space="preserve">: CBEST (cyber resilience testing), SYSC (systems and controls), SMCR (Senior Managers and Certification Regime), UK GDPR. Post-Bre divergence from EU modeled explicitly.</w:t>
      </w:r>
    </w:p>
    <w:p>
      <w:pPr>
        <w:numPr>
          <w:ilvl w:val="0"/>
          <w:numId w:val="1004"/>
        </w:numPr>
        <w:pStyle w:val="Compact"/>
      </w:pPr>
      <w:r>
        <w:rPr>
          <w:bCs/>
          <w:b/>
        </w:rPr>
        <w:t xml:space="preserve">United States Zone</w:t>
      </w:r>
      <w:r>
        <w:t xml:space="preserve">: NIST Cybersecurity Framework, SEC cyber disclosure rules, SOX, FFIEC guidelines, state-level regulations (CCPA, NYDFS Part 500). Federal-state regulatory tension modeled.</w:t>
      </w:r>
    </w:p>
    <w:p>
      <w:pPr>
        <w:numPr>
          <w:ilvl w:val="0"/>
          <w:numId w:val="1004"/>
        </w:numPr>
        <w:pStyle w:val="Compact"/>
      </w:pPr>
      <w:r>
        <w:rPr>
          <w:bCs/>
          <w:b/>
        </w:rPr>
        <w:t xml:space="preserve">Australia Zone</w:t>
      </w:r>
      <w:r>
        <w:t xml:space="preserve">: CPS 230 (operational risk), CPS 234 (information security), RG 274 (cyber resilience). APRA as prudential regulator with ASIC co-enforcement.</w:t>
      </w:r>
    </w:p>
    <w:p>
      <w:pPr>
        <w:numPr>
          <w:ilvl w:val="0"/>
          <w:numId w:val="1004"/>
        </w:numPr>
        <w:pStyle w:val="Compact"/>
      </w:pPr>
      <w:r>
        <w:rPr>
          <w:bCs/>
          <w:b/>
        </w:rPr>
        <w:t xml:space="preserve">Singapore Zone</w:t>
      </w:r>
      <w:r>
        <w:t xml:space="preserve">: MAS TRM (Technology Risk Management) Guidelines, Cybersecurity Act, PDPA. MAS as integrated financial regulator with aggressive enforcement profile.</w:t>
      </w:r>
    </w:p>
    <w:p>
      <w:pPr>
        <w:pStyle w:val="FirstParagraph"/>
      </w:pPr>
      <w:r>
        <w:t xml:space="preserve">Each zone runs as a</w:t>
      </w:r>
      <w:r>
        <w:t xml:space="preserve"> </w:t>
      </w:r>
      <w:r>
        <w:rPr>
          <w:bCs/>
          <w:b/>
        </w:rPr>
        <w:t xml:space="preserve">separate simulation instance</w:t>
      </w:r>
      <w:r>
        <w:t xml:space="preserve"> </w:t>
      </w:r>
      <w:r>
        <w:t xml:space="preserve">with its own rule engine, but zones</w:t>
      </w:r>
      <w:r>
        <w:t xml:space="preserve"> </w:t>
      </w:r>
      <w:r>
        <w:rPr>
          <w:bCs/>
          <w:b/>
        </w:rPr>
        <w:t xml:space="preserve">interact</w:t>
      </w:r>
      <w:r>
        <w:t xml:space="preserve"> </w:t>
      </w:r>
      <w:r>
        <w:t xml:space="preserve">through cross-border regulatory cooperation models, trade agreements, and shared enforcement actions. A company operating in multiple zones spawns an agent in each, with inter-zone consistency constraints.</w:t>
      </w:r>
    </w:p>
    <w:p>
      <w:pPr>
        <w:pStyle w:val="BodyText"/>
      </w:pPr>
      <w:r>
        <w:rPr>
          <w:bCs/>
          <w:b/>
        </w:rPr>
        <w:t xml:space="preserve">Technology stack</w:t>
      </w:r>
      <w:r>
        <w:t xml:space="preserve">: Each zone is implemented as a Docker-containerized simulation environment running on Kubernetes, with Apache Kafka for inter-zone event streaming and Redis for shared state management. Regulatory rules are encoded in a domain-specific language (DSL) compiled to the simulation engine.</w:t>
      </w:r>
    </w:p>
    <w:bookmarkEnd w:id="27"/>
    <w:bookmarkStart w:id="28" w:name="X79ac6d2c6ccea95d85b5c808787a25c018c1d07"/>
    <w:p>
      <w:pPr>
        <w:pStyle w:val="Heading3"/>
      </w:pPr>
      <w:r>
        <w:t xml:space="preserve">1.2.2 Entity Layer: 500M+ Companies as Autonomous Agents</w:t>
      </w:r>
    </w:p>
    <w:p>
      <w:pPr>
        <w:pStyle w:val="FirstParagraph"/>
      </w:pPr>
      <w:r>
        <w:t xml:space="preserve">The Entity Layer is where the</w:t>
      </w:r>
      <w:r>
        <w:t xml:space="preserve"> </w:t>
      </w:r>
      <w:r>
        <w:t xml:space="preserve">“</w:t>
      </w:r>
      <w:r>
        <w:t xml:space="preserve">auto-spawn</w:t>
      </w:r>
      <w:r>
        <w:t xml:space="preserve">”</w:t>
      </w:r>
      <w:r>
        <w:t xml:space="preserve"> </w:t>
      </w:r>
      <w:r>
        <w:t xml:space="preserve">magic happens. Every company with a legal existence anywhere on Earth becomes an</w:t>
      </w:r>
      <w:r>
        <w:t xml:space="preserve"> </w:t>
      </w:r>
      <w:r>
        <w:rPr>
          <w:bCs/>
          <w:b/>
        </w:rPr>
        <w:t xml:space="preserve">autonomous agent</w:t>
      </w:r>
      <w:r>
        <w:t xml:space="preserve"> </w:t>
      </w:r>
      <w:r>
        <w:t xml:space="preserve">within the simulation. These are not passive records — they are active computational entities with internal state, decision-making logic, and behavioral patterns.</w:t>
      </w:r>
    </w:p>
    <w:p>
      <w:pPr>
        <w:pStyle w:val="BodyText"/>
      </w:pPr>
      <w:r>
        <w:t xml:space="preserve">Each company agent is structured as a</w:t>
      </w:r>
      <w:r>
        <w:t xml:space="preserve"> </w:t>
      </w:r>
      <w:r>
        <w:rPr>
          <w:bCs/>
          <w:b/>
        </w:rPr>
        <w:t xml:space="preserve">multi-attribute entity</w:t>
      </w:r>
      <w:r>
        <w:t xml:space="preserve">:</w:t>
      </w:r>
    </w:p>
    <w:tbl>
      <w:tblPr>
        <w:tblStyle w:val="Table"/>
        <w:tblW w:type="pct" w:w="5000"/>
        <w:tblLook w:firstRow="1" w:lastRow="0" w:firstColumn="0" w:lastColumn="0" w:noHBand="0" w:noVBand="0" w:val="0020"/>
      </w:tblPr>
      <w:tblGrid>
        <w:gridCol w:w="2354"/>
        <w:gridCol w:w="1712"/>
        <w:gridCol w:w="3852"/>
      </w:tblGrid>
      <w:tr>
        <w:trPr>
          <w:tblHeader w:val="true"/>
        </w:trPr>
        <w:tc>
          <w:tcPr/>
          <w:p>
            <w:pPr>
              <w:pStyle w:val="Compact"/>
              <w:jc w:val="left"/>
            </w:pPr>
            <w:r>
              <w:t xml:space="preserve">Attribute</w:t>
            </w:r>
          </w:p>
        </w:tc>
        <w:tc>
          <w:tcPr/>
          <w:p>
            <w:pPr>
              <w:pStyle w:val="Compact"/>
              <w:jc w:val="left"/>
            </w:pPr>
            <w:r>
              <w:t xml:space="preserve">Source</w:t>
            </w:r>
          </w:p>
        </w:tc>
        <w:tc>
          <w:tcPr/>
          <w:p>
            <w:pPr>
              <w:pStyle w:val="Compact"/>
              <w:jc w:val="left"/>
            </w:pPr>
            <w:r>
              <w:t xml:space="preserve">Update Frequency</w:t>
            </w:r>
          </w:p>
        </w:tc>
      </w:tr>
      <w:tr>
        <w:tc>
          <w:tcPr/>
          <w:p>
            <w:pPr>
              <w:pStyle w:val="Compact"/>
              <w:jc w:val="left"/>
            </w:pPr>
            <w:r>
              <w:t xml:space="preserve">Identity (name, registration, jurisdiction)</w:t>
            </w:r>
          </w:p>
        </w:tc>
        <w:tc>
          <w:tcPr/>
          <w:p>
            <w:pPr>
              <w:pStyle w:val="Compact"/>
              <w:jc w:val="left"/>
            </w:pPr>
            <w:r>
              <w:t xml:space="preserve">Commercial registries</w:t>
            </w:r>
          </w:p>
        </w:tc>
        <w:tc>
          <w:tcPr/>
          <w:p>
            <w:pPr>
              <w:pStyle w:val="Compact"/>
              <w:jc w:val="left"/>
            </w:pPr>
            <w:r>
              <w:t xml:space="preserve">Daily</w:t>
            </w:r>
          </w:p>
        </w:tc>
      </w:tr>
      <w:tr>
        <w:tc>
          <w:tcPr/>
          <w:p>
            <w:pPr>
              <w:pStyle w:val="Compact"/>
              <w:jc w:val="left"/>
            </w:pPr>
            <w:r>
              <w:t xml:space="preserve">Industry classification</w:t>
            </w:r>
          </w:p>
        </w:tc>
        <w:tc>
          <w:tcPr/>
          <w:p>
            <w:pPr>
              <w:pStyle w:val="Compact"/>
              <w:jc w:val="left"/>
            </w:pPr>
            <w:r>
              <w:t xml:space="preserve">NAICS/SIC mapping</w:t>
            </w:r>
          </w:p>
        </w:tc>
        <w:tc>
          <w:tcPr/>
          <w:p>
            <w:pPr>
              <w:pStyle w:val="Compact"/>
              <w:jc w:val="left"/>
            </w:pPr>
            <w:r>
              <w:t xml:space="preserve">Quarterly</w:t>
            </w:r>
          </w:p>
        </w:tc>
      </w:tr>
      <w:tr>
        <w:tc>
          <w:tcPr/>
          <w:p>
            <w:pPr>
              <w:pStyle w:val="Compact"/>
              <w:jc w:val="left"/>
            </w:pPr>
            <w:r>
              <w:t xml:space="preserve">Size category (employees, revenue, assets)</w:t>
            </w:r>
          </w:p>
        </w:tc>
        <w:tc>
          <w:tcPr/>
          <w:p>
            <w:pPr>
              <w:pStyle w:val="Compact"/>
              <w:jc w:val="left"/>
            </w:pPr>
            <w:r>
              <w:t xml:space="preserve">Registry + financial data</w:t>
            </w:r>
          </w:p>
        </w:tc>
        <w:tc>
          <w:tcPr/>
          <w:p>
            <w:pPr>
              <w:pStyle w:val="Compact"/>
              <w:jc w:val="left"/>
            </w:pPr>
            <w:r>
              <w:t xml:space="preserve">Quarterly</w:t>
            </w:r>
          </w:p>
        </w:tc>
      </w:tr>
      <w:tr>
        <w:tc>
          <w:tcPr/>
          <w:p>
            <w:pPr>
              <w:pStyle w:val="Compact"/>
              <w:jc w:val="left"/>
            </w:pPr>
            <w:r>
              <w:t xml:space="preserve">Regulatory exposure matrix</w:t>
            </w:r>
          </w:p>
        </w:tc>
        <w:tc>
          <w:tcPr/>
          <w:p>
            <w:pPr>
              <w:pStyle w:val="Compact"/>
              <w:jc w:val="left"/>
            </w:pPr>
            <w:r>
              <w:t xml:space="preserve">Jurisdiction × Industry × Size rules</w:t>
            </w:r>
          </w:p>
        </w:tc>
        <w:tc>
          <w:tcPr/>
          <w:p>
            <w:pPr>
              <w:pStyle w:val="Compact"/>
              <w:jc w:val="left"/>
            </w:pPr>
            <w:r>
              <w:t xml:space="preserve">On regulatory change</w:t>
            </w:r>
          </w:p>
        </w:tc>
      </w:tr>
      <w:tr>
        <w:tc>
          <w:tcPr/>
          <w:p>
            <w:pPr>
              <w:pStyle w:val="Compact"/>
              <w:jc w:val="left"/>
            </w:pPr>
            <w:r>
              <w:t xml:space="preserve">Financial health score</w:t>
            </w:r>
          </w:p>
        </w:tc>
        <w:tc>
          <w:tcPr/>
          <w:p>
            <w:pPr>
              <w:pStyle w:val="Compact"/>
              <w:jc w:val="left"/>
            </w:pPr>
            <w:r>
              <w:t xml:space="preserve">Credit reports + annual accounts</w:t>
            </w:r>
          </w:p>
        </w:tc>
        <w:tc>
          <w:tcPr/>
          <w:p>
            <w:pPr>
              <w:pStyle w:val="Compact"/>
              <w:jc w:val="left"/>
            </w:pPr>
            <w:r>
              <w:t xml:space="preserve">Monthly</w:t>
            </w:r>
          </w:p>
        </w:tc>
      </w:tr>
      <w:tr>
        <w:tc>
          <w:tcPr/>
          <w:p>
            <w:pPr>
              <w:pStyle w:val="Compact"/>
              <w:jc w:val="left"/>
            </w:pPr>
            <w:r>
              <w:t xml:space="preserve">Leadership profile</w:t>
            </w:r>
          </w:p>
        </w:tc>
        <w:tc>
          <w:tcPr/>
          <w:p>
            <w:pPr>
              <w:pStyle w:val="Compact"/>
              <w:jc w:val="left"/>
            </w:pPr>
            <w:r>
              <w:t xml:space="preserve">Board data, executive history</w:t>
            </w:r>
          </w:p>
        </w:tc>
        <w:tc>
          <w:tcPr/>
          <w:p>
            <w:pPr>
              <w:pStyle w:val="Compact"/>
              <w:jc w:val="left"/>
            </w:pPr>
            <w:r>
              <w:t xml:space="preserve">On change</w:t>
            </w:r>
          </w:p>
        </w:tc>
      </w:tr>
      <w:tr>
        <w:tc>
          <w:tcPr/>
          <w:p>
            <w:pPr>
              <w:pStyle w:val="Compact"/>
              <w:jc w:val="left"/>
            </w:pPr>
            <w:r>
              <w:t xml:space="preserve">Historical compliance record</w:t>
            </w:r>
          </w:p>
        </w:tc>
        <w:tc>
          <w:tcPr/>
          <w:p>
            <w:pPr>
              <w:pStyle w:val="Compact"/>
              <w:jc w:val="left"/>
            </w:pPr>
            <w:r>
              <w:t xml:space="preserve">Enforcement databases</w:t>
            </w:r>
          </w:p>
        </w:tc>
        <w:tc>
          <w:tcPr/>
          <w:p>
            <w:pPr>
              <w:pStyle w:val="Compact"/>
              <w:jc w:val="left"/>
            </w:pPr>
            <w:r>
              <w:t xml:space="preserve">Weekly</w:t>
            </w:r>
          </w:p>
        </w:tc>
      </w:tr>
      <w:tr>
        <w:tc>
          <w:tcPr/>
          <w:p>
            <w:pPr>
              <w:pStyle w:val="Compact"/>
              <w:jc w:val="left"/>
            </w:pPr>
            <w:r>
              <w:t xml:space="preserve">BFT risk score</w:t>
            </w:r>
          </w:p>
        </w:tc>
        <w:tc>
          <w:tcPr/>
          <w:p>
            <w:pPr>
              <w:pStyle w:val="Compact"/>
              <w:jc w:val="left"/>
            </w:pPr>
            <w:r>
              <w:t xml:space="preserve">CSOAI assessment engine</w:t>
            </w:r>
          </w:p>
        </w:tc>
        <w:tc>
          <w:tcPr/>
          <w:p>
            <w:pPr>
              <w:pStyle w:val="Compact"/>
              <w:jc w:val="left"/>
            </w:pPr>
            <w:r>
              <w:t xml:space="preserve">Monthly</w:t>
            </w:r>
          </w:p>
        </w:tc>
      </w:tr>
      <w:tr>
        <w:tc>
          <w:tcPr/>
          <w:p>
            <w:pPr>
              <w:pStyle w:val="Compact"/>
              <w:jc w:val="left"/>
            </w:pPr>
            <w:r>
              <w:t xml:space="preserve">Simulation-derived attributes</w:t>
            </w:r>
          </w:p>
        </w:tc>
        <w:tc>
          <w:tcPr/>
          <w:p>
            <w:pPr>
              <w:pStyle w:val="Compact"/>
              <w:jc w:val="left"/>
            </w:pPr>
            <w:r>
              <w:t xml:space="preserve">Monte Carlo outputs</w:t>
            </w:r>
          </w:p>
        </w:tc>
        <w:tc>
          <w:tcPr/>
          <w:p>
            <w:pPr>
              <w:pStyle w:val="Compact"/>
              <w:jc w:val="left"/>
            </w:pPr>
            <w:r>
              <w:t xml:space="preserve">Per simulation run</w:t>
            </w:r>
          </w:p>
        </w:tc>
      </w:tr>
    </w:tbl>
    <w:p>
      <w:pPr>
        <w:pStyle w:val="BodyText"/>
      </w:pPr>
      <w:r>
        <w:t xml:space="preserve">Agents exhibit</w:t>
      </w:r>
      <w:r>
        <w:t xml:space="preserve"> </w:t>
      </w:r>
      <w:r>
        <w:rPr>
          <w:bCs/>
          <w:b/>
        </w:rPr>
        <w:t xml:space="preserve">bounded rationality</w:t>
      </w:r>
      <w:r>
        <w:t xml:space="preserve"> </w:t>
      </w:r>
      <w:r>
        <w:t xml:space="preserve">— they make decisions based on incomplete information, resource constraints, and organizational inertia, just like real companies. This makes the simulation behaviorally realistic rather than optimistically naive.</w:t>
      </w:r>
    </w:p>
    <w:p>
      <w:pPr>
        <w:pStyle w:val="BodyText"/>
      </w:pPr>
      <w:r>
        <w:rPr>
          <w:bCs/>
          <w:b/>
        </w:rPr>
        <w:t xml:space="preserve">Government agents</w:t>
      </w:r>
      <w:r>
        <w:t xml:space="preserve"> </w:t>
      </w:r>
      <w:r>
        <w:t xml:space="preserve">are a special class of entity. Every national regulator (BaFin, FCA, SEC, APRA, MAS, and 200+ others) spawns as a</w:t>
      </w:r>
      <w:r>
        <w:t xml:space="preserve"> </w:t>
      </w:r>
      <w:r>
        <w:rPr>
          <w:bCs/>
          <w:b/>
        </w:rPr>
        <w:t xml:space="preserve">“</w:t>
      </w:r>
      <w:r>
        <w:rPr>
          <w:bCs/>
          <w:b/>
        </w:rPr>
        <w:t xml:space="preserve">sovereign agent</w:t>
      </w:r>
      <w:r>
        <w:rPr>
          <w:bCs/>
          <w:b/>
        </w:rPr>
        <w:t xml:space="preserve">”</w:t>
      </w:r>
      <w:r>
        <w:t xml:space="preserve"> </w:t>
      </w:r>
      <w:r>
        <w:t xml:space="preserve">with its own agenda: regulatory priorities, enforcement history, policy trajectory, staff capacity, and political pressures. These sovereign agents</w:t>
      </w:r>
      <w:r>
        <w:t xml:space="preserve"> </w:t>
      </w:r>
      <w:r>
        <w:rPr>
          <w:bCs/>
          <w:b/>
        </w:rPr>
        <w:t xml:space="preserve">set the rules</w:t>
      </w:r>
      <w:r>
        <w:t xml:space="preserve"> </w:t>
      </w:r>
      <w:r>
        <w:t xml:space="preserve">that company agents must navigate. They can issue new regulations, conduct inspections, levy fines, and update guidance — all simulated based on historical behavioral patterns and current political signals.</w:t>
      </w:r>
    </w:p>
    <w:p>
      <w:pPr>
        <w:pStyle w:val="BodyText"/>
      </w:pPr>
      <w:r>
        <w:rPr>
          <w:bCs/>
          <w:b/>
        </w:rPr>
        <w:t xml:space="preserve">Technology stack</w:t>
      </w:r>
      <w:r>
        <w:t xml:space="preserve">: Entity agents are implemented using a hybrid architecture —</w:t>
      </w:r>
      <w:r>
        <w:t xml:space="preserve"> </w:t>
      </w:r>
      <w:r>
        <w:rPr>
          <w:bCs/>
          <w:b/>
        </w:rPr>
        <w:t xml:space="preserve">LangGraph</w:t>
      </w:r>
      <w:r>
        <w:t xml:space="preserve"> </w:t>
      </w:r>
      <w:r>
        <w:t xml:space="preserve">for agent reasoning and decision-making,</w:t>
      </w:r>
      <w:r>
        <w:t xml:space="preserve"> </w:t>
      </w:r>
      <w:r>
        <w:rPr>
          <w:bCs/>
          <w:b/>
        </w:rPr>
        <w:t xml:space="preserve">PostgreSQL</w:t>
      </w:r>
      <w:r>
        <w:t xml:space="preserve"> </w:t>
      </w:r>
      <w:r>
        <w:t xml:space="preserve">for persistent entity state,</w:t>
      </w:r>
      <w:r>
        <w:t xml:space="preserve"> </w:t>
      </w:r>
      <w:r>
        <w:rPr>
          <w:bCs/>
          <w:b/>
        </w:rPr>
        <w:t xml:space="preserve">Neo4j</w:t>
      </w:r>
      <w:r>
        <w:t xml:space="preserve"> </w:t>
      </w:r>
      <w:r>
        <w:t xml:space="preserve">for relationship graphs (parent-subsidiary, supplier-customer, competitor), and</w:t>
      </w:r>
      <w:r>
        <w:t xml:space="preserve"> </w:t>
      </w:r>
      <w:r>
        <w:rPr>
          <w:bCs/>
          <w:b/>
        </w:rPr>
        <w:t xml:space="preserve">gRPC</w:t>
      </w:r>
      <w:r>
        <w:t xml:space="preserve"> </w:t>
      </w:r>
      <w:r>
        <w:t xml:space="preserve">for inter-agent communication.</w:t>
      </w:r>
    </w:p>
    <w:bookmarkEnd w:id="28"/>
    <w:bookmarkStart w:id="29" w:name="simulation-layer-the-monte-carlo-engine"/>
    <w:p>
      <w:pPr>
        <w:pStyle w:val="Heading3"/>
      </w:pPr>
      <w:r>
        <w:t xml:space="preserve">1.2.3 Simulation Layer: The Monte Carlo Engine</w:t>
      </w:r>
    </w:p>
    <w:p>
      <w:pPr>
        <w:pStyle w:val="FirstParagraph"/>
      </w:pPr>
      <w:r>
        <w:t xml:space="preserve">The Simulation Layer is the computational heart of Sovereign Lens — a</w:t>
      </w:r>
      <w:r>
        <w:t xml:space="preserve"> </w:t>
      </w:r>
      <w:r>
        <w:rPr>
          <w:bCs/>
          <w:b/>
        </w:rPr>
        <w:t xml:space="preserve">massively parallel Monte Carlo engine</w:t>
      </w:r>
      <w:r>
        <w:t xml:space="preserve"> </w:t>
      </w:r>
      <w:r>
        <w:t xml:space="preserve">that runs 1,000+ scenario variants per entity per quarter.</w:t>
      </w:r>
    </w:p>
    <w:p>
      <w:pPr>
        <w:pStyle w:val="BodyText"/>
      </w:pPr>
      <w:r>
        <w:rPr>
          <w:bCs/>
          <w:b/>
        </w:rPr>
        <w:t xml:space="preserve">Scenario categories include:</w:t>
      </w:r>
    </w:p>
    <w:p>
      <w:pPr>
        <w:numPr>
          <w:ilvl w:val="0"/>
          <w:numId w:val="1005"/>
        </w:numPr>
      </w:pPr>
      <w:r>
        <w:rPr>
          <w:bCs/>
          <w:b/>
        </w:rPr>
        <w:t xml:space="preserve">Regulatory Change Scenarios</w:t>
      </w:r>
      <w:r>
        <w:t xml:space="preserve">: New legislation, updated guidance, enforcement priority shifts, regulatory interpretation changes. Modeled using NLP analysis of regulatory documents combined with political sentiment signals.</w:t>
      </w:r>
    </w:p>
    <w:p>
      <w:pPr>
        <w:numPr>
          <w:ilvl w:val="0"/>
          <w:numId w:val="1005"/>
        </w:numPr>
      </w:pPr>
      <w:r>
        <w:rPr>
          <w:bCs/>
          <w:b/>
        </w:rPr>
        <w:t xml:space="preserve">Market Shift Scenarios</w:t>
      </w:r>
      <w:r>
        <w:t xml:space="preserve">: Competitor moves, M&amp;A activity, market entry/exit, pricing changes, technology disruption. Modeled using financial market data, news streams, and industry reports.</w:t>
      </w:r>
    </w:p>
    <w:p>
      <w:pPr>
        <w:numPr>
          <w:ilvl w:val="0"/>
          <w:numId w:val="1005"/>
        </w:numPr>
      </w:pPr>
      <w:r>
        <w:rPr>
          <w:bCs/>
          <w:b/>
        </w:rPr>
        <w:t xml:space="preserve">Cyber Threat Scenarios</w:t>
      </w:r>
      <w:r>
        <w:t xml:space="preserve">: Attack vectors, vulnerability exposures, incident cascades, supply chain compromises. Modeled using threat intelligence feeds (MITRE ATT&amp;CK, CISA advisories) and historical incident databases.</w:t>
      </w:r>
    </w:p>
    <w:p>
      <w:pPr>
        <w:numPr>
          <w:ilvl w:val="0"/>
          <w:numId w:val="1005"/>
        </w:numPr>
      </w:pPr>
      <w:r>
        <w:rPr>
          <w:bCs/>
          <w:b/>
        </w:rPr>
        <w:t xml:space="preserve">Leadership Change Scenarios</w:t>
      </w:r>
      <w:r>
        <w:t xml:space="preserve">: C-suite turnover, board reshuffles, key personnel departures, cultural shifts. Modeled using LinkedIn data, executive search signals, and organizational network analysis.</w:t>
      </w:r>
    </w:p>
    <w:p>
      <w:pPr>
        <w:numPr>
          <w:ilvl w:val="0"/>
          <w:numId w:val="1005"/>
        </w:numPr>
      </w:pPr>
      <w:r>
        <w:rPr>
          <w:bCs/>
          <w:b/>
        </w:rPr>
        <w:t xml:space="preserve">Economic Shock Scenarios</w:t>
      </w:r>
      <w:r>
        <w:t xml:space="preserve">: Interest rate changes, currency fluctuations, recession/depression triggers, geopolitical conflicts, trade war escalations. Modeled using macroeconomic data and stress-testing frameworks.</w:t>
      </w:r>
    </w:p>
    <w:p>
      <w:pPr>
        <w:numPr>
          <w:ilvl w:val="0"/>
          <w:numId w:val="1005"/>
        </w:numPr>
      </w:pPr>
      <w:r>
        <w:rPr>
          <w:bCs/>
          <w:b/>
        </w:rPr>
        <w:t xml:space="preserve">Composite Scenarios</w:t>
      </w:r>
      <w:r>
        <w:t xml:space="preserve">: Combinations of the above — e.g.,</w:t>
      </w:r>
      <w:r>
        <w:t xml:space="preserve"> </w:t>
      </w:r>
      <w:r>
        <w:t xml:space="preserve">“</w:t>
      </w:r>
      <w:r>
        <w:t xml:space="preserve">DORA deadline approaching + CISO resigns + major vendor fails audit + economic downturn.</w:t>
      </w:r>
      <w:r>
        <w:t xml:space="preserve">”</w:t>
      </w:r>
      <w:r>
        <w:t xml:space="preserve"> </w:t>
      </w:r>
      <w:r>
        <w:t xml:space="preserve">These are the most valuable and the most computationally intensive.</w:t>
      </w:r>
    </w:p>
    <w:p>
      <w:pPr>
        <w:pStyle w:val="FirstParagraph"/>
      </w:pPr>
      <w:r>
        <w:t xml:space="preserve">Each scenario is a</w:t>
      </w:r>
      <w:r>
        <w:t xml:space="preserve"> </w:t>
      </w:r>
      <w:r>
        <w:rPr>
          <w:bCs/>
          <w:b/>
        </w:rPr>
        <w:t xml:space="preserve">full simulation run</w:t>
      </w:r>
      <w:r>
        <w:t xml:space="preserve"> </w:t>
      </w:r>
      <w:r>
        <w:t xml:space="preserve">— not a simple spreadsheet calculation. The company’s agent makes decisions, the regulator agents respond, market agents react, and the outcome emerges from the interaction. This emergent behavior captures the</w:t>
      </w:r>
      <w:r>
        <w:t xml:space="preserve"> </w:t>
      </w:r>
      <w:r>
        <w:rPr>
          <w:bCs/>
          <w:b/>
        </w:rPr>
        <w:t xml:space="preserve">systemic complexity</w:t>
      </w:r>
      <w:r>
        <w:t xml:space="preserve"> </w:t>
      </w:r>
      <w:r>
        <w:t xml:space="preserve">that linear models miss.</w:t>
      </w:r>
    </w:p>
    <w:p>
      <w:pPr>
        <w:pStyle w:val="BodyText"/>
      </w:pPr>
      <w:r>
        <w:t xml:space="preserve">The engine runs on</w:t>
      </w:r>
      <w:r>
        <w:t xml:space="preserve"> </w:t>
      </w:r>
      <w:r>
        <w:rPr>
          <w:bCs/>
          <w:b/>
        </w:rPr>
        <w:t xml:space="preserve">GPU clusters</w:t>
      </w:r>
      <w:r>
        <w:t xml:space="preserve"> </w:t>
      </w:r>
      <w:r>
        <w:t xml:space="preserve">(NVIDIA A100/H100) using JAX for accelerated computation. A single entity’s 1,000-scenario run completes in approximately 15 minutes. With 500M+ entities, this requires intelligent prioritization — high-risk entities run more frequently, low-risk entities run quarterly, and the engine scales horizontally across cloud infrastructure (AWS + Azure + GCP multi-cloud deployment for resilience).</w:t>
      </w:r>
    </w:p>
    <w:bookmarkEnd w:id="29"/>
    <w:bookmarkStart w:id="30" w:name="X448a0a1a81a79b389431864feba491e99e7308a"/>
    <w:p>
      <w:pPr>
        <w:pStyle w:val="Heading3"/>
      </w:pPr>
      <w:r>
        <w:t xml:space="preserve">1.2.4 Intelligence Layer: The Platinum Move Generator</w:t>
      </w:r>
    </w:p>
    <w:p>
      <w:pPr>
        <w:pStyle w:val="FirstParagraph"/>
      </w:pPr>
      <w:r>
        <w:t xml:space="preserve">The Intelligence Layer is where simulation outputs become</w:t>
      </w:r>
      <w:r>
        <w:t xml:space="preserve"> </w:t>
      </w:r>
      <w:r>
        <w:rPr>
          <w:bCs/>
          <w:b/>
        </w:rPr>
        <w:t xml:space="preserve">actionable strategy</w:t>
      </w:r>
      <w:r>
        <w:t xml:space="preserve">. It consumes the probability-weighted outcomes from the Simulation Layer and generates the</w:t>
      </w:r>
      <w:r>
        <w:t xml:space="preserve"> </w:t>
      </w:r>
      <w:r>
        <w:rPr>
          <w:bCs/>
          <w:b/>
        </w:rPr>
        <w:t xml:space="preserve">“</w:t>
      </w:r>
      <w:r>
        <w:rPr>
          <w:bCs/>
          <w:b/>
        </w:rPr>
        <w:t xml:space="preserve">platinum move</w:t>
      </w:r>
      <w:r>
        <w:rPr>
          <w:bCs/>
          <w:b/>
        </w:rPr>
        <w:t xml:space="preserve">”</w:t>
      </w:r>
      <w:r>
        <w:t xml:space="preserve"> </w:t>
      </w:r>
      <w:r>
        <w:t xml:space="preserve">— the single optimal strategy recommendation for each entity.</w:t>
      </w:r>
    </w:p>
    <w:p>
      <w:pPr>
        <w:pStyle w:val="BodyText"/>
      </w:pPr>
      <w:r>
        <w:t xml:space="preserve">The platinum move is not merely</w:t>
      </w:r>
      <w:r>
        <w:t xml:space="preserve"> </w:t>
      </w:r>
      <w:r>
        <w:t xml:space="preserve">“</w:t>
      </w:r>
      <w:r>
        <w:t xml:space="preserve">comply with regulation X.</w:t>
      </w:r>
      <w:r>
        <w:t xml:space="preserve">”</w:t>
      </w:r>
      <w:r>
        <w:t xml:space="preserve"> </w:t>
      </w:r>
      <w:r>
        <w:t xml:space="preserve">It is a</w:t>
      </w:r>
      <w:r>
        <w:t xml:space="preserve"> </w:t>
      </w:r>
      <w:r>
        <w:rPr>
          <w:bCs/>
          <w:b/>
        </w:rPr>
        <w:t xml:space="preserve">comprehensive strategic package</w:t>
      </w:r>
      <w:r>
        <w:t xml:space="preserve">:</w:t>
      </w:r>
    </w:p>
    <w:p>
      <w:pPr>
        <w:numPr>
          <w:ilvl w:val="0"/>
          <w:numId w:val="1006"/>
        </w:numPr>
        <w:pStyle w:val="Compact"/>
      </w:pPr>
      <w:r>
        <w:rPr>
          <w:bCs/>
          <w:b/>
        </w:rPr>
        <w:t xml:space="preserve">Priority ranking</w:t>
      </w:r>
      <w:r>
        <w:t xml:space="preserve">: Which obligations to address first, second, third — based on risk-weighted impact</w:t>
      </w:r>
    </w:p>
    <w:p>
      <w:pPr>
        <w:numPr>
          <w:ilvl w:val="0"/>
          <w:numId w:val="1006"/>
        </w:numPr>
        <w:pStyle w:val="Compact"/>
      </w:pPr>
      <w:r>
        <w:rPr>
          <w:bCs/>
          <w:b/>
        </w:rPr>
        <w:t xml:space="preserve">Resource allocation</w:t>
      </w:r>
      <w:r>
        <w:t xml:space="preserve">: Optimal investment across compliance domains for maximum risk reduction per dollar spent</w:t>
      </w:r>
    </w:p>
    <w:p>
      <w:pPr>
        <w:numPr>
          <w:ilvl w:val="0"/>
          <w:numId w:val="1006"/>
        </w:numPr>
        <w:pStyle w:val="Compact"/>
      </w:pPr>
      <w:r>
        <w:rPr>
          <w:bCs/>
          <w:b/>
        </w:rPr>
        <w:t xml:space="preserve">Timeline optimization</w:t>
      </w:r>
      <w:r>
        <w:t xml:space="preserve">: The specific sequence of actions that minimizes time-to-compliance while managing resource constraints</w:t>
      </w:r>
    </w:p>
    <w:p>
      <w:pPr>
        <w:numPr>
          <w:ilvl w:val="0"/>
          <w:numId w:val="1006"/>
        </w:numPr>
        <w:pStyle w:val="Compact"/>
      </w:pPr>
      <w:r>
        <w:rPr>
          <w:bCs/>
          <w:b/>
        </w:rPr>
        <w:t xml:space="preserve">Contingency plans</w:t>
      </w:r>
      <w:r>
        <w:t xml:space="preserve">: Pre-computed responses to the 10 most likely adverse scenarios</w:t>
      </w:r>
    </w:p>
    <w:p>
      <w:pPr>
        <w:numPr>
          <w:ilvl w:val="0"/>
          <w:numId w:val="1006"/>
        </w:numPr>
        <w:pStyle w:val="Compact"/>
      </w:pPr>
      <w:r>
        <w:rPr>
          <w:bCs/>
          <w:b/>
        </w:rPr>
        <w:t xml:space="preserve">Competitive positioning</w:t>
      </w:r>
      <w:r>
        <w:t xml:space="preserve">: How compliance investments translate to market advantage</w:t>
      </w:r>
    </w:p>
    <w:p>
      <w:pPr>
        <w:numPr>
          <w:ilvl w:val="0"/>
          <w:numId w:val="1006"/>
        </w:numPr>
        <w:pStyle w:val="Compact"/>
      </w:pPr>
      <w:r>
        <w:rPr>
          <w:bCs/>
          <w:b/>
        </w:rPr>
        <w:t xml:space="preserve">Regulatory engagement strategy</w:t>
      </w:r>
      <w:r>
        <w:t xml:space="preserve">: When and how to interact with regulators for optimal outcomes</w:t>
      </w:r>
    </w:p>
    <w:p>
      <w:pPr>
        <w:pStyle w:val="FirstParagraph"/>
      </w:pPr>
      <w:r>
        <w:t xml:space="preserve">The Intelligence Layer uses a</w:t>
      </w:r>
      <w:r>
        <w:t xml:space="preserve"> </w:t>
      </w:r>
      <w:r>
        <w:rPr>
          <w:bCs/>
          <w:b/>
        </w:rPr>
        <w:t xml:space="preserve">multi-objective optimization framework</w:t>
      </w:r>
      <w:r>
        <w:t xml:space="preserve"> </w:t>
      </w:r>
      <w:r>
        <w:t xml:space="preserve">that balances compliance probability, cost efficiency, timeline feasibility, and strategic value. It is implemented using a combination of reinforcement learning (RL agents trained on historical outcomes) and symbolic reasoning (rule-based logic for regulatory interpretation).</w:t>
      </w:r>
    </w:p>
    <w:p>
      <w:pPr>
        <w:pStyle w:val="BodyText"/>
      </w:pPr>
      <w:r>
        <w:rPr>
          <w:bCs/>
          <w:b/>
        </w:rPr>
        <w:t xml:space="preserve">Technology stack</w:t>
      </w:r>
      <w:r>
        <w:t xml:space="preserve">: PyTorch for RL models, ONNX Runtime for inference optimization, Elasticsearch for similarity matching against historical cases, and a custom recommendation engine built on Apache Spark for distributed processing.</w:t>
      </w:r>
    </w:p>
    <w:p>
      <w:r>
        <w:pict>
          <v:rect style="width:0;height:1.5pt" o:hralign="center" o:hrstd="t" o:hr="t"/>
        </w:pict>
      </w:r>
    </w:p>
    <w:bookmarkEnd w:id="30"/>
    <w:bookmarkEnd w:id="31"/>
    <w:bookmarkStart w:id="32" w:name="table-1-the-four-layer-architecture"/>
    <w:p>
      <w:pPr>
        <w:pStyle w:val="Heading2"/>
      </w:pPr>
      <w:r>
        <w:t xml:space="preserve">Table 1: The Four-Layer Architecture</w:t>
      </w:r>
    </w:p>
    <w:tbl>
      <w:tblPr>
        <w:tblStyle w:val="Table"/>
        <w:tblW w:type="pct" w:w="5000"/>
        <w:tblLook w:firstRow="1" w:lastRow="0" w:firstColumn="0" w:lastColumn="0" w:noHBand="0" w:noVBand="0" w:val="0020"/>
      </w:tblPr>
      <w:tblGrid>
        <w:gridCol w:w="1075"/>
        <w:gridCol w:w="1271"/>
        <w:gridCol w:w="2053"/>
        <w:gridCol w:w="2053"/>
        <w:gridCol w:w="1466"/>
      </w:tblGrid>
      <w:tr>
        <w:trPr>
          <w:tblHeader w:val="true"/>
        </w:trPr>
        <w:tc>
          <w:tcPr/>
          <w:p>
            <w:pPr>
              <w:pStyle w:val="Compact"/>
              <w:jc w:val="left"/>
            </w:pPr>
            <w:r>
              <w:rPr>
                <w:bCs/>
                <w:b/>
              </w:rPr>
              <w:t xml:space="preserve">Layer</w:t>
            </w:r>
          </w:p>
        </w:tc>
        <w:tc>
          <w:tcPr/>
          <w:p>
            <w:pPr>
              <w:pStyle w:val="Compact"/>
              <w:jc w:val="left"/>
            </w:pPr>
            <w:r>
              <w:rPr>
                <w:bCs/>
                <w:b/>
              </w:rPr>
              <w:t xml:space="preserve">Function</w:t>
            </w:r>
          </w:p>
        </w:tc>
        <w:tc>
          <w:tcPr/>
          <w:p>
            <w:pPr>
              <w:pStyle w:val="Compact"/>
              <w:jc w:val="left"/>
            </w:pPr>
            <w:r>
              <w:rPr>
                <w:bCs/>
                <w:b/>
              </w:rPr>
              <w:t xml:space="preserve">Key Technologies</w:t>
            </w:r>
          </w:p>
        </w:tc>
        <w:tc>
          <w:tcPr/>
          <w:p>
            <w:pPr>
              <w:pStyle w:val="Compact"/>
              <w:jc w:val="left"/>
            </w:pPr>
            <w:r>
              <w:rPr>
                <w:bCs/>
                <w:b/>
              </w:rPr>
              <w:t xml:space="preserve">CSOAI Component</w:t>
            </w:r>
          </w:p>
        </w:tc>
        <w:tc>
          <w:tcPr/>
          <w:p>
            <w:pPr>
              <w:pStyle w:val="Compact"/>
              <w:jc w:val="left"/>
            </w:pPr>
            <w:r>
              <w:rPr>
                <w:bCs/>
                <w:b/>
              </w:rPr>
              <w:t xml:space="preserve">Data Flow</w:t>
            </w:r>
          </w:p>
        </w:tc>
      </w:tr>
      <w:tr>
        <w:tc>
          <w:tcPr/>
          <w:p>
            <w:pPr>
              <w:pStyle w:val="Compact"/>
              <w:jc w:val="left"/>
            </w:pPr>
            <w:r>
              <w:rPr>
                <w:bCs/>
                <w:b/>
              </w:rPr>
              <w:t xml:space="preserve">World Layer</w:t>
            </w:r>
          </w:p>
        </w:tc>
        <w:tc>
          <w:tcPr/>
          <w:p>
            <w:pPr>
              <w:pStyle w:val="Compact"/>
              <w:jc w:val="left"/>
            </w:pPr>
            <w:r>
              <w:t xml:space="preserve">Models 195 countries as distinct regulatory simulation zones with jurisdiction-specific rules, enforcement patterns, and inter-zone interactions</w:t>
            </w:r>
          </w:p>
        </w:tc>
        <w:tc>
          <w:tcPr/>
          <w:p>
            <w:pPr>
              <w:pStyle w:val="Compact"/>
              <w:jc w:val="left"/>
            </w:pPr>
            <w:r>
              <w:t xml:space="preserve">Docker, Kubernetes, Apache Kafka, Redis, Custom Regulatory DSL, PostgreSQL-PostGIS</w:t>
            </w:r>
          </w:p>
        </w:tc>
        <w:tc>
          <w:tcPr/>
          <w:p>
            <w:pPr>
              <w:pStyle w:val="Compact"/>
              <w:jc w:val="left"/>
            </w:pPr>
            <w:r>
              <w:t xml:space="preserve">GRCIN Regulatory Mapping Engine, Jurisdiction Database, Cross-Border Compliance Matrix</w:t>
            </w:r>
          </w:p>
        </w:tc>
        <w:tc>
          <w:tcPr/>
          <w:p>
            <w:pPr>
              <w:pStyle w:val="Compact"/>
              <w:jc w:val="left"/>
            </w:pPr>
            <w:r>
              <w:t xml:space="preserve">Ingests regulatory documents, legal databases, political signals → Outputs zone-specific rule sets, enforcement probability models, cross-border interaction matrices</w:t>
            </w:r>
          </w:p>
        </w:tc>
      </w:tr>
      <w:tr>
        <w:tc>
          <w:tcPr/>
          <w:p>
            <w:pPr>
              <w:pStyle w:val="Compact"/>
              <w:jc w:val="left"/>
            </w:pPr>
            <w:r>
              <w:rPr>
                <w:bCs/>
                <w:b/>
              </w:rPr>
              <w:t xml:space="preserve">Entity Layer</w:t>
            </w:r>
          </w:p>
        </w:tc>
        <w:tc>
          <w:tcPr/>
          <w:p>
            <w:pPr>
              <w:pStyle w:val="Compact"/>
              <w:jc w:val="left"/>
            </w:pPr>
            <w:r>
              <w:t xml:space="preserve">Auto-spawns 500M+ companies and government regulators as autonomous AI agents with multi-attribute profiles, bounded rationality, and behavioral decision-making</w:t>
            </w:r>
          </w:p>
        </w:tc>
        <w:tc>
          <w:tcPr/>
          <w:p>
            <w:pPr>
              <w:pStyle w:val="Compact"/>
              <w:jc w:val="left"/>
            </w:pPr>
            <w:r>
              <w:t xml:space="preserve">LangGraph, PostgreSQL, Neo4j, gRPC, Elasticsearch, FastAPI</w:t>
            </w:r>
          </w:p>
        </w:tc>
        <w:tc>
          <w:tcPr/>
          <w:p>
            <w:pPr>
              <w:pStyle w:val="Compact"/>
              <w:jc w:val="left"/>
            </w:pPr>
            <w:r>
              <w:t xml:space="preserve">BFT Assessment Engine, CSOAI Score Calculator, Agent Profile Builder, Relationship Graph Mapper</w:t>
            </w:r>
          </w:p>
        </w:tc>
        <w:tc>
          <w:tcPr/>
          <w:p>
            <w:pPr>
              <w:pStyle w:val="Compact"/>
              <w:jc w:val="left"/>
            </w:pPr>
            <w:r>
              <w:t xml:space="preserve">Ingests commercial registry data, financial records, leadership data, enforcement history → Outputs agent state vectors, relationship graphs, behavioral models, risk scores</w:t>
            </w:r>
          </w:p>
        </w:tc>
      </w:tr>
      <w:tr>
        <w:tc>
          <w:tcPr/>
          <w:p>
            <w:pPr>
              <w:pStyle w:val="Compact"/>
              <w:jc w:val="left"/>
            </w:pPr>
            <w:r>
              <w:rPr>
                <w:bCs/>
                <w:b/>
              </w:rPr>
              <w:t xml:space="preserve">Simulation Layer</w:t>
            </w:r>
          </w:p>
        </w:tc>
        <w:tc>
          <w:tcPr/>
          <w:p>
            <w:pPr>
              <w:pStyle w:val="Compact"/>
              <w:jc w:val="left"/>
            </w:pPr>
            <w:r>
              <w:t xml:space="preserve">Runs 1,000+ Monte Carlo scenario variants per entity per quarter across regulatory, market, cyber, leadership, and economic shock categories</w:t>
            </w:r>
          </w:p>
        </w:tc>
        <w:tc>
          <w:tcPr/>
          <w:p>
            <w:pPr>
              <w:pStyle w:val="Compact"/>
              <w:jc w:val="left"/>
            </w:pPr>
            <w:r>
              <w:t xml:space="preserve">JAX, NVIDIA CUDA, PyTorch, Ray (distributed computing), Apache Spark, AWS/Azure/GCP multi-cloud</w:t>
            </w:r>
          </w:p>
        </w:tc>
        <w:tc>
          <w:tcPr/>
          <w:p>
            <w:pPr>
              <w:pStyle w:val="Compact"/>
              <w:jc w:val="left"/>
            </w:pPr>
            <w:r>
              <w:t xml:space="preserve">Monte Carlo Scenario Engine, Risk Model Library, Composite Scenario Generator, GPU Compute Orchestrator</w:t>
            </w:r>
          </w:p>
        </w:tc>
        <w:tc>
          <w:tcPr/>
          <w:p>
            <w:pPr>
              <w:pStyle w:val="Compact"/>
              <w:jc w:val="left"/>
            </w:pPr>
            <w:r>
              <w:t xml:space="preserve">Consumes agent profiles + zone rules → Outputs 1,000+ probability-weighted scenario outcomes per entity, including compliance probability, cost estimates, timeline projections, risk exposures</w:t>
            </w:r>
          </w:p>
        </w:tc>
      </w:tr>
      <w:tr>
        <w:tc>
          <w:tcPr/>
          <w:p>
            <w:pPr>
              <w:pStyle w:val="Compact"/>
              <w:jc w:val="left"/>
            </w:pPr>
            <w:r>
              <w:rPr>
                <w:bCs/>
                <w:b/>
              </w:rPr>
              <w:t xml:space="preserve">Intelligence Layer</w:t>
            </w:r>
          </w:p>
        </w:tc>
        <w:tc>
          <w:tcPr/>
          <w:p>
            <w:pPr>
              <w:pStyle w:val="Compact"/>
              <w:jc w:val="left"/>
            </w:pPr>
            <w:r>
              <w:t xml:space="preserve">Synthesizes simulation outputs into optimal</w:t>
            </w:r>
            <w:r>
              <w:t xml:space="preserve"> </w:t>
            </w:r>
            <w:r>
              <w:t xml:space="preserve">“</w:t>
            </w:r>
            <w:r>
              <w:t xml:space="preserve">platinum move</w:t>
            </w:r>
            <w:r>
              <w:t xml:space="preserve">”</w:t>
            </w:r>
            <w:r>
              <w:t xml:space="preserve"> </w:t>
            </w:r>
            <w:r>
              <w:t xml:space="preserve">strategy recommendations using multi-objective optimization and reinforcement learning</w:t>
            </w:r>
          </w:p>
        </w:tc>
        <w:tc>
          <w:tcPr/>
          <w:p>
            <w:pPr>
              <w:pStyle w:val="Compact"/>
              <w:jc w:val="left"/>
            </w:pPr>
            <w:r>
              <w:t xml:space="preserve">PyTorch, ONNX Runtime, Elasticsearch, Apache Spark, custom recommendation engine, Streamlit dashboards</w:t>
            </w:r>
          </w:p>
        </w:tc>
        <w:tc>
          <w:tcPr/>
          <w:p>
            <w:pPr>
              <w:pStyle w:val="Compact"/>
              <w:jc w:val="left"/>
            </w:pPr>
            <w:r>
              <w:t xml:space="preserve">Platinum Move Generator, Strategy Optimizer, Outreach Trigger Engine, CSOAI Client Portal, Regulatory Intelligence Reports</w:t>
            </w:r>
          </w:p>
        </w:tc>
        <w:tc>
          <w:tcPr/>
          <w:p>
            <w:pPr>
              <w:pStyle w:val="Compact"/>
              <w:jc w:val="left"/>
            </w:pPr>
            <w:r>
              <w:t xml:space="preserve">Consumes simulation outcomes → Outputs ranked strategy recommendations, personalized outreach messages, regulatory briefings, competitive intelligence reports, automated compliance roadmaps</w:t>
            </w:r>
          </w:p>
        </w:tc>
      </w:tr>
    </w:tbl>
    <w:p>
      <w:r>
        <w:pict>
          <v:rect style="width:0;height:1.5pt" o:hralign="center" o:hrstd="t" o:hr="t"/>
        </w:pict>
      </w:r>
    </w:p>
    <w:bookmarkEnd w:id="32"/>
    <w:bookmarkEnd w:id="33"/>
    <w:bookmarkStart w:id="74" w:name="Xab79b1409ea1e503b10373cd5e055b5de9c18bb"/>
    <w:p>
      <w:pPr>
        <w:pStyle w:val="Heading1"/>
      </w:pPr>
      <w:r>
        <w:t xml:space="preserve">SECTION 2: Auto-Spawning — Every Company &amp; Government Becomes an Agent Without Signup</w:t>
      </w:r>
    </w:p>
    <w:bookmarkStart w:id="37" w:name="the-auto-spawn-pipeline"/>
    <w:p>
      <w:pPr>
        <w:pStyle w:val="Heading2"/>
      </w:pPr>
      <w:r>
        <w:t xml:space="preserve">2.1 The Auto-Spawn Pipeline</w:t>
      </w:r>
    </w:p>
    <w:bookmarkStart w:id="34" w:name="Xf89b9eefd05d204eb2410bdbde20b203add10d5"/>
    <w:p>
      <w:pPr>
        <w:pStyle w:val="Heading3"/>
      </w:pPr>
      <w:r>
        <w:t xml:space="preserve">2.1.1 Data Sources for Company Spawning: The No-Signup Revolution</w:t>
      </w:r>
    </w:p>
    <w:p>
      <w:pPr>
        <w:pStyle w:val="FirstParagraph"/>
      </w:pPr>
      <w:r>
        <w:t xml:space="preserve">The auto-spawn pipeline is the operational engine that converts the world’s commercial data into Sovereign Lens agents. It operates on a simple but revolutionary principle:</w:t>
      </w:r>
      <w:r>
        <w:t xml:space="preserve"> </w:t>
      </w:r>
      <w:r>
        <w:rPr>
          <w:bCs/>
          <w:b/>
        </w:rPr>
        <w:t xml:space="preserve">every company with a legal existence has already left enough public footprints to construct a complete simulation profile</w:t>
      </w:r>
      <w:r>
        <w:t xml:space="preserve">. We don’t need their permission to simulate them. We don’t need their data entry. We don’t need their signup. We just need to aggregate what is already public.</w:t>
      </w:r>
    </w:p>
    <w:p>
      <w:pPr>
        <w:pStyle w:val="BodyText"/>
      </w:pPr>
      <w:r>
        <w:t xml:space="preserve">The pipeline draws from</w:t>
      </w:r>
      <w:r>
        <w:t xml:space="preserve"> </w:t>
      </w:r>
      <w:r>
        <w:rPr>
          <w:bCs/>
          <w:b/>
        </w:rPr>
        <w:t xml:space="preserve">eight primary data source categories</w:t>
      </w:r>
      <w:r>
        <w:t xml:space="preserve">, each contributing different dimensions to the agent profile:</w:t>
      </w:r>
    </w:p>
    <w:p>
      <w:pPr>
        <w:pStyle w:val="BodyText"/>
      </w:pPr>
      <w:r>
        <w:rPr>
          <w:bCs/>
          <w:b/>
        </w:rPr>
        <w:t xml:space="preserve">Category 1: Official Commercial Registries</w:t>
      </w:r>
    </w:p>
    <w:p>
      <w:pPr>
        <w:pStyle w:val="BodyText"/>
      </w:pPr>
      <w:r>
        <w:t xml:space="preserve">These are the foundational data sources — the legal records of corporate existence.</w:t>
      </w:r>
      <w:r>
        <w:t xml:space="preserve"> </w:t>
      </w:r>
      <w:r>
        <w:rPr>
          <w:bCs/>
          <w:b/>
        </w:rPr>
        <w:t xml:space="preserve">EU Business Registers</w:t>
      </w:r>
      <w:r>
        <w:t xml:space="preserve"> </w:t>
      </w:r>
      <w:r>
        <w:t xml:space="preserve">(BRIS system) provide access to 80M+ companies across 27 member states, including registration numbers, legal forms, incorporation dates, registered addresses, and status (active/dissolved/liquidated).</w:t>
      </w:r>
      <w:r>
        <w:t xml:space="preserve"> </w:t>
      </w:r>
      <w:r>
        <w:rPr>
          <w:bCs/>
          <w:b/>
        </w:rPr>
        <w:t xml:space="preserve">UK Companies House</w:t>
      </w:r>
      <w:r>
        <w:t xml:space="preserve"> </w:t>
      </w:r>
      <w:r>
        <w:t xml:space="preserve">(via API) covers 4.2M+ active companies with filing history, officer appointments, and confirmation statements.</w:t>
      </w:r>
      <w:r>
        <w:t xml:space="preserve"> </w:t>
      </w:r>
      <w:r>
        <w:rPr>
          <w:bCs/>
          <w:b/>
        </w:rPr>
        <w:t xml:space="preserve">US SEC EDGAR</w:t>
      </w:r>
      <w:r>
        <w:t xml:space="preserve"> </w:t>
      </w:r>
      <w:r>
        <w:t xml:space="preserve">provides 10,000+ public company filings (10-K, 10-Q, 8-K), while state-level registries (Delaware Division of Corporations, California Secretary of State) cover private entities.</w:t>
      </w:r>
      <w:r>
        <w:t xml:space="preserve"> </w:t>
      </w:r>
      <w:r>
        <w:rPr>
          <w:bCs/>
          <w:b/>
        </w:rPr>
        <w:t xml:space="preserve">Australian ASIC</w:t>
      </w:r>
      <w:r>
        <w:t xml:space="preserve"> </w:t>
      </w:r>
      <w:r>
        <w:t xml:space="preserve">provides 2.9M+ registered companies with similar depth.</w:t>
      </w:r>
    </w:p>
    <w:p>
      <w:pPr>
        <w:pStyle w:val="BodyText"/>
      </w:pPr>
      <w:r>
        <w:rPr>
          <w:bCs/>
          <w:b/>
        </w:rPr>
        <w:t xml:space="preserve">Category 2: Global Commercial Databases</w:t>
      </w:r>
    </w:p>
    <w:p>
      <w:pPr>
        <w:pStyle w:val="BodyText"/>
      </w:pPr>
      <w:r>
        <w:rPr>
          <w:bCs/>
          <w:b/>
        </w:rPr>
        <w:t xml:space="preserve">Orbis (Bureau van Dijk / Moody’s)</w:t>
      </w:r>
      <w:r>
        <w:t xml:space="preserve"> </w:t>
      </w:r>
      <w:r>
        <w:t xml:space="preserve">is the crown jewel — 400M+ companies worldwide with standardized financials, ownership structures, industry classifications, and credit risk scores. Its standardized data model allows cross-jurisdictional comparison that raw registry data cannot provide.</w:t>
      </w:r>
      <w:r>
        <w:t xml:space="preserve"> </w:t>
      </w:r>
      <w:r>
        <w:rPr>
          <w:bCs/>
          <w:b/>
        </w:rPr>
        <w:t xml:space="preserve">OpenCorporates</w:t>
      </w:r>
      <w:r>
        <w:t xml:space="preserve"> </w:t>
      </w:r>
      <w:r>
        <w:t xml:space="preserve">(200M+ entities) offers the world’s largest open database of companies, with a focus on transparency and data quality.</w:t>
      </w:r>
    </w:p>
    <w:p>
      <w:pPr>
        <w:pStyle w:val="BodyText"/>
      </w:pPr>
      <w:r>
        <w:rPr>
          <w:bCs/>
          <w:b/>
        </w:rPr>
        <w:t xml:space="preserve">Category 3: Legal Entity Identifiers</w:t>
      </w:r>
    </w:p>
    <w:p>
      <w:pPr>
        <w:pStyle w:val="BodyText"/>
      </w:pPr>
      <w:r>
        <w:t xml:space="preserve">The</w:t>
      </w:r>
      <w:r>
        <w:t xml:space="preserve"> </w:t>
      </w:r>
      <w:r>
        <w:rPr>
          <w:bCs/>
          <w:b/>
        </w:rPr>
        <w:t xml:space="preserve">LEI (Legal Entity Identifier)</w:t>
      </w:r>
      <w:r>
        <w:t xml:space="preserve"> </w:t>
      </w:r>
      <w:r>
        <w:t xml:space="preserve">database (GLEIF) contains 2.5M+ globally standardized entity identifiers, each linked to official reference data, legal jurisdictions, and entity relationships. LEIs are mandatory for many financial transactions under EMIR, MiFID II, and CFTC regulations, making them a high-quality, regulation-driven data source.</w:t>
      </w:r>
    </w:p>
    <w:p>
      <w:pPr>
        <w:pStyle w:val="BodyText"/>
      </w:pPr>
      <w:r>
        <w:rPr>
          <w:bCs/>
          <w:b/>
        </w:rPr>
        <w:t xml:space="preserve">Category 4: Alternative Data Sources</w:t>
      </w:r>
    </w:p>
    <w:p>
      <w:pPr>
        <w:pStyle w:val="BodyText"/>
      </w:pPr>
      <w:r>
        <w:rPr>
          <w:bCs/>
          <w:b/>
        </w:rPr>
        <w:t xml:space="preserve">Crunchbase</w:t>
      </w:r>
      <w:r>
        <w:t xml:space="preserve"> </w:t>
      </w:r>
      <w:r>
        <w:t xml:space="preserve">(3M+ companies) provides startup and private company data, funding rounds, leadership profiles, and industry tags.</w:t>
      </w:r>
      <w:r>
        <w:t xml:space="preserve"> </w:t>
      </w:r>
      <w:r>
        <w:rPr>
          <w:bCs/>
          <w:b/>
        </w:rPr>
        <w:t xml:space="preserve">LinkedIn</w:t>
      </w:r>
      <w:r>
        <w:t xml:space="preserve"> </w:t>
      </w:r>
      <w:r>
        <w:t xml:space="preserve">(via public profiles and Sales Navigator API) provides leadership data, organizational charts, hiring signals, and professional networks. These sources fill critical gaps that official registries miss — especially for private companies and startups.</w:t>
      </w:r>
    </w:p>
    <w:p>
      <w:pPr>
        <w:pStyle w:val="BodyText"/>
      </w:pPr>
      <w:r>
        <w:rPr>
          <w:bCs/>
          <w:b/>
        </w:rPr>
        <w:t xml:space="preserve">Category 5: Regulatory &amp; Compliance Databases</w:t>
      </w:r>
    </w:p>
    <w:p>
      <w:pPr>
        <w:pStyle w:val="BodyText"/>
      </w:pPr>
      <w:r>
        <w:rPr>
          <w:bCs/>
          <w:b/>
        </w:rPr>
        <w:t xml:space="preserve">FINRA BrokerCheck</w:t>
      </w:r>
      <w:r>
        <w:t xml:space="preserve">,</w:t>
      </w:r>
      <w:r>
        <w:t xml:space="preserve"> </w:t>
      </w:r>
      <w:r>
        <w:rPr>
          <w:bCs/>
          <w:b/>
        </w:rPr>
        <w:t xml:space="preserve">FCA Register</w:t>
      </w:r>
      <w:r>
        <w:t xml:space="preserve">,</w:t>
      </w:r>
      <w:r>
        <w:t xml:space="preserve"> </w:t>
      </w:r>
      <w:r>
        <w:rPr>
          <w:bCs/>
          <w:b/>
        </w:rPr>
        <w:t xml:space="preserve">SEC IAPD</w:t>
      </w:r>
      <w:r>
        <w:t xml:space="preserve">, and similar regulatory databases provide licensing status, enforcement history, and disciplinary actions.</w:t>
      </w:r>
      <w:r>
        <w:t xml:space="preserve"> </w:t>
      </w:r>
      <w:r>
        <w:rPr>
          <w:bCs/>
          <w:b/>
        </w:rPr>
        <w:t xml:space="preserve">OpenSanctions</w:t>
      </w:r>
      <w:r>
        <w:t xml:space="preserve"> </w:t>
      </w:r>
      <w:r>
        <w:t xml:space="preserve">and</w:t>
      </w:r>
      <w:r>
        <w:t xml:space="preserve"> </w:t>
      </w:r>
      <w:r>
        <w:rPr>
          <w:bCs/>
          <w:b/>
        </w:rPr>
        <w:t xml:space="preserve">OFAC SDN lists</w:t>
      </w:r>
      <w:r>
        <w:t xml:space="preserve"> </w:t>
      </w:r>
      <w:r>
        <w:t xml:space="preserve">provide sanctions exposure data. These sources are critical for the compliance trajectory dimension of agent profiles.</w:t>
      </w:r>
    </w:p>
    <w:p>
      <w:pPr>
        <w:pStyle w:val="BodyText"/>
      </w:pPr>
      <w:r>
        <w:rPr>
          <w:bCs/>
          <w:b/>
        </w:rPr>
        <w:t xml:space="preserve">Category 6: Financial &amp; Credit Data</w:t>
      </w:r>
    </w:p>
    <w:p>
      <w:pPr>
        <w:pStyle w:val="BodyText"/>
      </w:pPr>
      <w:r>
        <w:t xml:space="preserve">Credit bureau data (where legally accessible),</w:t>
      </w:r>
      <w:r>
        <w:t xml:space="preserve"> </w:t>
      </w:r>
      <w:r>
        <w:rPr>
          <w:bCs/>
          <w:b/>
        </w:rPr>
        <w:t xml:space="preserve">Dun &amp; Bradstreet</w:t>
      </w:r>
      <w:r>
        <w:t xml:space="preserve"> </w:t>
      </w:r>
      <w:r>
        <w:t xml:space="preserve">ratings,</w:t>
      </w:r>
      <w:r>
        <w:t xml:space="preserve"> </w:t>
      </w:r>
      <w:r>
        <w:rPr>
          <w:bCs/>
          <w:b/>
        </w:rPr>
        <w:t xml:space="preserve">Moody’s / S&amp;P / Fitch</w:t>
      </w:r>
      <w:r>
        <w:t xml:space="preserve"> </w:t>
      </w:r>
      <w:r>
        <w:t xml:space="preserve">credit ratings for public companies, and</w:t>
      </w:r>
      <w:r>
        <w:t xml:space="preserve"> </w:t>
      </w:r>
      <w:r>
        <w:rPr>
          <w:bCs/>
          <w:b/>
        </w:rPr>
        <w:t xml:space="preserve">annual accounts</w:t>
      </w:r>
      <w:r>
        <w:t xml:space="preserve"> </w:t>
      </w:r>
      <w:r>
        <w:t xml:space="preserve">filed with commercial registries provide the financial health dimension.</w:t>
      </w:r>
    </w:p>
    <w:p>
      <w:pPr>
        <w:pStyle w:val="BodyText"/>
      </w:pPr>
      <w:r>
        <w:rPr>
          <w:bCs/>
          <w:b/>
        </w:rPr>
        <w:t xml:space="preserve">Category 7: News &amp; Media Streams</w:t>
      </w:r>
    </w:p>
    <w:p>
      <w:pPr>
        <w:pStyle w:val="BodyText"/>
      </w:pPr>
      <w:r>
        <w:t xml:space="preserve">Real-time news ingestion from</w:t>
      </w:r>
      <w:r>
        <w:t xml:space="preserve"> </w:t>
      </w:r>
      <w:r>
        <w:rPr>
          <w:bCs/>
          <w:b/>
        </w:rPr>
        <w:t xml:space="preserve">GDELT</w:t>
      </w:r>
      <w:r>
        <w:t xml:space="preserve">,</w:t>
      </w:r>
      <w:r>
        <w:t xml:space="preserve"> </w:t>
      </w:r>
      <w:r>
        <w:rPr>
          <w:bCs/>
          <w:b/>
        </w:rPr>
        <w:t xml:space="preserve">Factiva</w:t>
      </w:r>
      <w:r>
        <w:t xml:space="preserve">,</w:t>
      </w:r>
      <w:r>
        <w:t xml:space="preserve"> </w:t>
      </w:r>
      <w:r>
        <w:rPr>
          <w:bCs/>
          <w:b/>
        </w:rPr>
        <w:t xml:space="preserve">Reuters</w:t>
      </w:r>
      <w:r>
        <w:t xml:space="preserve">, and</w:t>
      </w:r>
      <w:r>
        <w:t xml:space="preserve"> </w:t>
      </w:r>
      <w:r>
        <w:rPr>
          <w:bCs/>
          <w:b/>
        </w:rPr>
        <w:t xml:space="preserve">Bloomberg</w:t>
      </w:r>
      <w:r>
        <w:t xml:space="preserve"> </w:t>
      </w:r>
      <w:r>
        <w:t xml:space="preserve">provides sentiment signals, event detection, and emerging risk indicators. NLP models extract entity mentions, regulatory topic classification, and sentiment scoring.</w:t>
      </w:r>
    </w:p>
    <w:p>
      <w:pPr>
        <w:pStyle w:val="BodyText"/>
      </w:pPr>
      <w:r>
        <w:rPr>
          <w:bCs/>
          <w:b/>
        </w:rPr>
        <w:t xml:space="preserve">Category 8: Web &amp; Social Signals</w:t>
      </w:r>
    </w:p>
    <w:p>
      <w:pPr>
        <w:pStyle w:val="BodyText"/>
      </w:pPr>
      <w:r>
        <w:t xml:space="preserve">Company websites (scraped and analyzed for service descriptions, compliance statements, leadership pages),</w:t>
      </w:r>
      <w:r>
        <w:t xml:space="preserve"> </w:t>
      </w:r>
      <w:r>
        <w:rPr>
          <w:bCs/>
          <w:b/>
        </w:rPr>
        <w:t xml:space="preserve">Twitter/X</w:t>
      </w:r>
      <w:r>
        <w:t xml:space="preserve"> </w:t>
      </w:r>
      <w:r>
        <w:t xml:space="preserve">corporate accounts,</w:t>
      </w:r>
      <w:r>
        <w:t xml:space="preserve"> </w:t>
      </w:r>
      <w:r>
        <w:rPr>
          <w:bCs/>
          <w:b/>
        </w:rPr>
        <w:t xml:space="preserve">GitHub</w:t>
      </w:r>
      <w:r>
        <w:t xml:space="preserve"> </w:t>
      </w:r>
      <w:r>
        <w:t xml:space="preserve">repositories (for tech companies), and</w:t>
      </w:r>
      <w:r>
        <w:t xml:space="preserve"> </w:t>
      </w:r>
      <w:r>
        <w:rPr>
          <w:bCs/>
          <w:b/>
        </w:rPr>
        <w:t xml:space="preserve">Glassdoor</w:t>
      </w:r>
      <w:r>
        <w:t xml:space="preserve"> </w:t>
      </w:r>
      <w:r>
        <w:t xml:space="preserve">reviews (for cultural signals) provide additional behavioral dimensions.</w:t>
      </w:r>
    </w:p>
    <w:p>
      <w:pPr>
        <w:pStyle w:val="BodyText"/>
      </w:pPr>
      <w:r>
        <w:t xml:space="preserve">The pipeline ingests from all eight categories daily, normalizes the data into a common ontology, deduplicates entities across sources, and constructs a</w:t>
      </w:r>
      <w:r>
        <w:t xml:space="preserve"> </w:t>
      </w:r>
      <w:r>
        <w:rPr>
          <w:bCs/>
          <w:b/>
        </w:rPr>
        <w:t xml:space="preserve">unified agent profile</w:t>
      </w:r>
      <w:r>
        <w:t xml:space="preserve">. An entity that appears in Companies House, Orbis, OpenCorporates, and LinkedIn is merged into a single agent with attributes from all sources — each attribute tagged with provenance and confidence score.</w:t>
      </w:r>
    </w:p>
    <w:bookmarkEnd w:id="34"/>
    <w:bookmarkStart w:id="35" w:name="X23b40428bdd67b8225146d122d5a6b672736d1d"/>
    <w:p>
      <w:pPr>
        <w:pStyle w:val="Heading3"/>
      </w:pPr>
      <w:r>
        <w:t xml:space="preserve">2.1.2 Agent Profile Construction: The Seven Dimensions</w:t>
      </w:r>
    </w:p>
    <w:p>
      <w:pPr>
        <w:pStyle w:val="FirstParagraph"/>
      </w:pPr>
      <w:r>
        <w:t xml:space="preserve">Once data is ingested, each agent is constructed across</w:t>
      </w:r>
      <w:r>
        <w:t xml:space="preserve"> </w:t>
      </w:r>
      <w:r>
        <w:rPr>
          <w:bCs/>
          <w:b/>
        </w:rPr>
        <w:t xml:space="preserve">seven dimensions</w:t>
      </w:r>
      <w:r>
        <w:t xml:space="preserve"> </w:t>
      </w:r>
      <w:r>
        <w:t xml:space="preserve">that collectively define its simulation behavior:</w:t>
      </w:r>
    </w:p>
    <w:p>
      <w:pPr>
        <w:pStyle w:val="BodyText"/>
      </w:pPr>
      <w:r>
        <w:rPr>
          <w:bCs/>
          <w:b/>
        </w:rPr>
        <w:t xml:space="preserve">Dimension 1: Basic Identity Profile</w:t>
      </w:r>
    </w:p>
    <w:p>
      <w:pPr>
        <w:pStyle w:val="BodyText"/>
      </w:pPr>
      <w:r>
        <w:t xml:space="preserve">Extracted from commercial registry data. Includes: legal name, registration number, incorporation date, registered address, legal form (LLC, PLC, GmbH, etc.), jurisdiction, status (active/dormant/dissolved), and parent-subsidiary relationships. This is the</w:t>
      </w:r>
      <w:r>
        <w:t xml:space="preserve"> </w:t>
      </w:r>
      <w:r>
        <w:t xml:space="preserve">“</w:t>
      </w:r>
      <w:r>
        <w:t xml:space="preserve">who</w:t>
      </w:r>
      <w:r>
        <w:t xml:space="preserve">”</w:t>
      </w:r>
      <w:r>
        <w:t xml:space="preserve"> </w:t>
      </w:r>
      <w:r>
        <w:t xml:space="preserve">of the agent.</w:t>
      </w:r>
    </w:p>
    <w:p>
      <w:pPr>
        <w:pStyle w:val="BodyText"/>
      </w:pPr>
      <w:r>
        <w:rPr>
          <w:bCs/>
          <w:b/>
        </w:rPr>
        <w:t xml:space="preserve">Dimension 2: Industry Classification</w:t>
      </w:r>
    </w:p>
    <w:p>
      <w:pPr>
        <w:pStyle w:val="BodyText"/>
      </w:pPr>
      <w:r>
        <w:t xml:space="preserve">Mapped via</w:t>
      </w:r>
      <w:r>
        <w:t xml:space="preserve"> </w:t>
      </w:r>
      <w:r>
        <w:rPr>
          <w:bCs/>
          <w:b/>
        </w:rPr>
        <w:t xml:space="preserve">NAICS</w:t>
      </w:r>
      <w:r>
        <w:t xml:space="preserve"> </w:t>
      </w:r>
      <w:r>
        <w:t xml:space="preserve">(North American Industry Classification System) and</w:t>
      </w:r>
      <w:r>
        <w:t xml:space="preserve"> </w:t>
      </w:r>
      <w:r>
        <w:rPr>
          <w:bCs/>
          <w:b/>
        </w:rPr>
        <w:t xml:space="preserve">SIC</w:t>
      </w:r>
      <w:r>
        <w:t xml:space="preserve"> </w:t>
      </w:r>
      <w:r>
        <w:t xml:space="preserve">(Standard Industrial Classification) codes, cross-referenced with</w:t>
      </w:r>
      <w:r>
        <w:t xml:space="preserve"> </w:t>
      </w:r>
      <w:r>
        <w:rPr>
          <w:bCs/>
          <w:b/>
        </w:rPr>
        <w:t xml:space="preserve">NACE</w:t>
      </w:r>
      <w:r>
        <w:t xml:space="preserve"> </w:t>
      </w:r>
      <w:r>
        <w:t xml:space="preserve">(European equivalent) and</w:t>
      </w:r>
      <w:r>
        <w:t xml:space="preserve"> </w:t>
      </w:r>
      <w:r>
        <w:rPr>
          <w:bCs/>
          <w:b/>
        </w:rPr>
        <w:t xml:space="preserve">ISIC</w:t>
      </w:r>
      <w:r>
        <w:t xml:space="preserve"> </w:t>
      </w:r>
      <w:r>
        <w:t xml:space="preserve">(UN international standard). Industry classification determines which regulatory frameworks apply, which compliance obligations are relevant, and which risk models to use. A financial services company faces entirely different simulation rules than a manufacturing firm.</w:t>
      </w:r>
    </w:p>
    <w:p>
      <w:pPr>
        <w:pStyle w:val="BodyText"/>
      </w:pPr>
      <w:r>
        <w:rPr>
          <w:bCs/>
          <w:b/>
        </w:rPr>
        <w:t xml:space="preserve">Dimension 3: Regulatory Exposure Matrix</w:t>
      </w:r>
    </w:p>
    <w:p>
      <w:pPr>
        <w:pStyle w:val="BodyText"/>
      </w:pPr>
      <w:r>
        <w:t xml:space="preserve">Computed from the intersection of</w:t>
      </w:r>
      <w:r>
        <w:t xml:space="preserve"> </w:t>
      </w:r>
      <w:r>
        <w:rPr>
          <w:bCs/>
          <w:b/>
        </w:rPr>
        <w:t xml:space="preserve">jurisdiction + industry + size</w:t>
      </w:r>
      <w:r>
        <w:t xml:space="preserve">. This matrix enumerates every regulation, standard, and compliance obligation that applies to the entity. For example, a mid-size UK bank might have exposure to: FCA Handbook (SYSC, SYPR, DEPP), PRA Rulebook, SMCR, UK GDPR, DORA (if EU operations), CBEST, PCI DSS (if card payments), and ISO 27001 (if certified). Each exposure is weighted by enforcement probability and penalty severity.</w:t>
      </w:r>
    </w:p>
    <w:p>
      <w:pPr>
        <w:pStyle w:val="BodyText"/>
      </w:pPr>
      <w:r>
        <w:rPr>
          <w:bCs/>
          <w:b/>
        </w:rPr>
        <w:t xml:space="preserve">Dimension 4: Financial Health</w:t>
      </w:r>
    </w:p>
    <w:p>
      <w:pPr>
        <w:pStyle w:val="BodyText"/>
      </w:pPr>
      <w:r>
        <w:t xml:space="preserve">Synthesized from credit reports, annual accounts, and market data. Key metrics: revenue trend, profit margin, liquidity ratio, debt-to-equity, credit rating, and bankruptcy probability. Financial health directly impacts simulation behavior — distressed companies make different compliance decisions than cash-rich ones. A company with declining revenue may delay compliance investments, increasing their risk exposure.</w:t>
      </w:r>
    </w:p>
    <w:p>
      <w:pPr>
        <w:pStyle w:val="BodyText"/>
      </w:pPr>
      <w:r>
        <w:rPr>
          <w:bCs/>
          <w:b/>
        </w:rPr>
        <w:t xml:space="preserve">Dimension 5: Leadership Profile</w:t>
      </w:r>
    </w:p>
    <w:p>
      <w:pPr>
        <w:pStyle w:val="BodyText"/>
      </w:pPr>
      <w:r>
        <w:t xml:space="preserve">Constructed from board member data, executive appointments, and professional histories. Key attributes: CEO tenure (new leaders often drive change), CISO presence (indicates security maturity), board independence, executive turnover rate, and previous compliance-related experience. Leadership profiles are critical for</w:t>
      </w:r>
      <w:r>
        <w:t xml:space="preserve"> </w:t>
      </w:r>
      <w:r>
        <w:t xml:space="preserve">“</w:t>
      </w:r>
      <w:r>
        <w:t xml:space="preserve">leadership change scenarios</w:t>
      </w:r>
      <w:r>
        <w:t xml:space="preserve">”</w:t>
      </w:r>
      <w:r>
        <w:t xml:space="preserve"> </w:t>
      </w:r>
      <w:r>
        <w:t xml:space="preserve">in the Monte Carlo engine.</w:t>
      </w:r>
    </w:p>
    <w:p>
      <w:pPr>
        <w:pStyle w:val="BodyText"/>
      </w:pPr>
      <w:r>
        <w:rPr>
          <w:bCs/>
          <w:b/>
        </w:rPr>
        <w:t xml:space="preserve">Dimension 6: Historical Compliance Record</w:t>
      </w:r>
    </w:p>
    <w:p>
      <w:pPr>
        <w:pStyle w:val="BodyText"/>
      </w:pPr>
      <w:r>
        <w:t xml:space="preserve">Extracted from regulatory enforcement databases, court records, and news archives. Attributes: previous fines, enforcement actions, regulatory warnings, consent orders, corrective action plans, and whistleblower reports. Companies with a history of non-compliance are modeled with higher</w:t>
      </w:r>
      <w:r>
        <w:t xml:space="preserve"> </w:t>
      </w:r>
      <w:r>
        <w:t xml:space="preserve">“</w:t>
      </w:r>
      <w:r>
        <w:t xml:space="preserve">organizational inertia</w:t>
      </w:r>
      <w:r>
        <w:t xml:space="preserve">”</w:t>
      </w:r>
      <w:r>
        <w:t xml:space="preserve"> </w:t>
      </w:r>
      <w:r>
        <w:t xml:space="preserve">— they are slower to adopt new compliance measures in the simulation.</w:t>
      </w:r>
    </w:p>
    <w:p>
      <w:pPr>
        <w:pStyle w:val="BodyText"/>
      </w:pPr>
      <w:r>
        <w:rPr>
          <w:bCs/>
          <w:b/>
        </w:rPr>
        <w:t xml:space="preserve">Dimension 7: BFT Risk Score</w:t>
      </w:r>
    </w:p>
    <w:p>
      <w:pPr>
        <w:pStyle w:val="BodyText"/>
      </w:pPr>
      <w:r>
        <w:t xml:space="preserve">The</w:t>
      </w:r>
      <w:r>
        <w:t xml:space="preserve"> </w:t>
      </w:r>
      <w:r>
        <w:rPr>
          <w:bCs/>
          <w:b/>
        </w:rPr>
        <w:t xml:space="preserve">Business Fit Test (BFT)</w:t>
      </w:r>
      <w:r>
        <w:t xml:space="preserve"> </w:t>
      </w:r>
      <w:r>
        <w:t xml:space="preserve">is CSOAI’s proprietary assessment framework. Even for auto-spawned entities that have never taken the BFT, we compute a</w:t>
      </w:r>
      <w:r>
        <w:t xml:space="preserve"> </w:t>
      </w:r>
      <w:r>
        <w:rPr>
          <w:bCs/>
          <w:b/>
        </w:rPr>
        <w:t xml:space="preserve">shadow BFT score</w:t>
      </w:r>
      <w:r>
        <w:t xml:space="preserve"> </w:t>
      </w:r>
      <w:r>
        <w:t xml:space="preserve">from the six dimensions above. This score represents the entity’s estimated compliance maturity, risk exposure, and strategic alignment — a single number that drives prioritization in the simulation queue.</w:t>
      </w:r>
    </w:p>
    <w:bookmarkEnd w:id="35"/>
    <w:bookmarkStart w:id="36" w:name="X5da587c29f76589ad3462c4a0e38f59032db60d"/>
    <w:p>
      <w:pPr>
        <w:pStyle w:val="Heading3"/>
      </w:pPr>
      <w:r>
        <w:t xml:space="preserve">2.1.3 Government Agent Spawning: The Sovereign Agents</w:t>
      </w:r>
    </w:p>
    <w:p>
      <w:pPr>
        <w:pStyle w:val="FirstParagraph"/>
      </w:pPr>
      <w:r>
        <w:t xml:space="preserve">Company agents are only half the story. The other half — and arguably the more strategically important half — is</w:t>
      </w:r>
      <w:r>
        <w:t xml:space="preserve"> </w:t>
      </w:r>
      <w:r>
        <w:rPr>
          <w:bCs/>
          <w:b/>
        </w:rPr>
        <w:t xml:space="preserve">government agent spawning</w:t>
      </w:r>
      <w:r>
        <w:t xml:space="preserve">.</w:t>
      </w:r>
    </w:p>
    <w:p>
      <w:pPr>
        <w:pStyle w:val="BodyText"/>
      </w:pPr>
      <w:r>
        <w:t xml:space="preserve">Every national regulator with enforcement authority spawns as a</w:t>
      </w:r>
      <w:r>
        <w:t xml:space="preserve"> </w:t>
      </w:r>
      <w:r>
        <w:rPr>
          <w:bCs/>
          <w:b/>
        </w:rPr>
        <w:t xml:space="preserve">“</w:t>
      </w:r>
      <w:r>
        <w:rPr>
          <w:bCs/>
          <w:b/>
        </w:rPr>
        <w:t xml:space="preserve">sovereign agent</w:t>
      </w:r>
      <w:r>
        <w:rPr>
          <w:bCs/>
          <w:b/>
        </w:rPr>
        <w:t xml:space="preserve">”</w:t>
      </w:r>
      <w:r>
        <w:t xml:space="preserve"> </w:t>
      </w:r>
      <w:r>
        <w:t xml:space="preserve">with a unique behavioral profile. These are not static rulebooks — they are active agents that evolve, learn, and respond to stimuli just like company agents.</w:t>
      </w:r>
    </w:p>
    <w:p>
      <w:pPr>
        <w:pStyle w:val="BodyText"/>
      </w:pPr>
      <w:r>
        <w:t xml:space="preserve">Each sovereign agent is constructed with:</w:t>
      </w:r>
    </w:p>
    <w:p>
      <w:pPr>
        <w:numPr>
          <w:ilvl w:val="0"/>
          <w:numId w:val="1007"/>
        </w:numPr>
      </w:pPr>
      <w:r>
        <w:rPr>
          <w:bCs/>
          <w:b/>
        </w:rPr>
        <w:t xml:space="preserve">Regulatory Agenda</w:t>
      </w:r>
      <w:r>
        <w:t xml:space="preserve">: Current priorities extracted from strategic plans, consultation papers, and policy speeches. For example, the FCA’s current agenda includes: consumer duty implementation, anti-greenwashing, operational resilience, and cryptoasset regulation. Each agenda item has a priority weight and expected timeline.</w:t>
      </w:r>
    </w:p>
    <w:p>
      <w:pPr>
        <w:numPr>
          <w:ilvl w:val="0"/>
          <w:numId w:val="1007"/>
        </w:numPr>
      </w:pPr>
      <w:r>
        <w:rPr>
          <w:bCs/>
          <w:b/>
        </w:rPr>
        <w:t xml:space="preserve">Enforcement History</w:t>
      </w:r>
      <w:r>
        <w:t xml:space="preserve">: Historical enforcement patterns — fine amounts, case types, settlement rates, appeal outcomes. This creates an</w:t>
      </w:r>
      <w:r>
        <w:t xml:space="preserve"> </w:t>
      </w:r>
      <w:r>
        <w:t xml:space="preserve">“</w:t>
      </w:r>
      <w:r>
        <w:t xml:space="preserve">enforcement probability model</w:t>
      </w:r>
      <w:r>
        <w:t xml:space="preserve">”</w:t>
      </w:r>
      <w:r>
        <w:t xml:space="preserve"> </w:t>
      </w:r>
      <w:r>
        <w:t xml:space="preserve">that predicts how likely the regulator is to take action against a specific type of violation.</w:t>
      </w:r>
    </w:p>
    <w:p>
      <w:pPr>
        <w:numPr>
          <w:ilvl w:val="0"/>
          <w:numId w:val="1007"/>
        </w:numPr>
      </w:pPr>
      <w:r>
        <w:rPr>
          <w:bCs/>
          <w:b/>
        </w:rPr>
        <w:t xml:space="preserve">Policy Priorities</w:t>
      </w:r>
      <w:r>
        <w:t xml:space="preserve">: Political mandates, ministerial guidance, and public pressure signals. Regulators don’t operate in a vacuum — they respond to political direction and public sentiment.</w:t>
      </w:r>
    </w:p>
    <w:p>
      <w:pPr>
        <w:numPr>
          <w:ilvl w:val="0"/>
          <w:numId w:val="1007"/>
        </w:numPr>
      </w:pPr>
      <w:r>
        <w:rPr>
          <w:bCs/>
          <w:b/>
        </w:rPr>
        <w:t xml:space="preserve">Staff Capacity</w:t>
      </w:r>
      <w:r>
        <w:t xml:space="preserve">: Resource constraints modeled from budget data, headcount, and hiring patterns. An under-resourced regulator may delay enforcement or prioritize only the highest-impact cases.</w:t>
      </w:r>
    </w:p>
    <w:p>
      <w:pPr>
        <w:numPr>
          <w:ilvl w:val="0"/>
          <w:numId w:val="1007"/>
        </w:numPr>
      </w:pPr>
      <w:r>
        <w:rPr>
          <w:bCs/>
          <w:b/>
        </w:rPr>
        <w:t xml:space="preserve">Political Pressures</w:t>
      </w:r>
      <w:r>
        <w:t xml:space="preserve">: Election cycles, lobbying activity, industry pressure, and media scrutiny. These external pressures influence regulatory behavior in ways that pure legal analysis cannot capture.</w:t>
      </w:r>
    </w:p>
    <w:p>
      <w:pPr>
        <w:pStyle w:val="FirstParagraph"/>
      </w:pPr>
      <w:r>
        <w:t xml:space="preserve">Sovereign agents interact with company agents through</w:t>
      </w:r>
      <w:r>
        <w:t xml:space="preserve"> </w:t>
      </w:r>
      <w:r>
        <w:rPr>
          <w:bCs/>
          <w:b/>
        </w:rPr>
        <w:t xml:space="preserve">enforcement events</w:t>
      </w:r>
      <w:r>
        <w:t xml:space="preserve"> </w:t>
      </w:r>
      <w:r>
        <w:t xml:space="preserve">(inspections, fines, warnings),</w:t>
      </w:r>
      <w:r>
        <w:t xml:space="preserve"> </w:t>
      </w:r>
      <w:r>
        <w:rPr>
          <w:bCs/>
          <w:b/>
        </w:rPr>
        <w:t xml:space="preserve">rule changes</w:t>
      </w:r>
      <w:r>
        <w:t xml:space="preserve"> </w:t>
      </w:r>
      <w:r>
        <w:t xml:space="preserve">(new guidance, updated regulations), and</w:t>
      </w:r>
      <w:r>
        <w:t xml:space="preserve"> </w:t>
      </w:r>
      <w:r>
        <w:rPr>
          <w:bCs/>
          <w:b/>
        </w:rPr>
        <w:t xml:space="preserve">consultation processes</w:t>
      </w:r>
      <w:r>
        <w:t xml:space="preserve"> </w:t>
      </w:r>
      <w:r>
        <w:t xml:space="preserve">(where company agents can influence rule development). This two-way interaction is what makes the simulation emergent and realistic.</w:t>
      </w:r>
    </w:p>
    <w:p>
      <w:pPr>
        <w:pStyle w:val="BodyText"/>
      </w:pPr>
      <w:r>
        <w:t xml:space="preserve">Critically, sovereign agents also interact with</w:t>
      </w:r>
      <w:r>
        <w:t xml:space="preserve"> </w:t>
      </w:r>
      <w:r>
        <w:rPr>
          <w:bCs/>
          <w:b/>
        </w:rPr>
        <w:t xml:space="preserve">each other</w:t>
      </w:r>
      <w:r>
        <w:t xml:space="preserve">. The FCA and SEC share enforcement intelligence. The European Supervisory Authorities (EBA, EIOPA, ESMA) coordinate cross-border supervision. IOSCO sets global standards that national regulators adopt. These inter-sovereign interactions are modeled using graph networks that propagate regulatory influence across jurisdictions.</w:t>
      </w:r>
    </w:p>
    <w:p>
      <w:r>
        <w:pict>
          <v:rect style="width:0;height:1.5pt" o:hralign="center" o:hrstd="t" o:hr="t"/>
        </w:pict>
      </w:r>
    </w:p>
    <w:bookmarkEnd w:id="36"/>
    <w:bookmarkEnd w:id="37"/>
    <w:bookmarkStart w:id="41" w:name="the-shadow-profile-system"/>
    <w:p>
      <w:pPr>
        <w:pStyle w:val="Heading2"/>
      </w:pPr>
      <w:r>
        <w:t xml:space="preserve">2.2 The</w:t>
      </w:r>
      <w:r>
        <w:t xml:space="preserve"> </w:t>
      </w:r>
      <w:r>
        <w:t xml:space="preserve">“</w:t>
      </w:r>
      <w:r>
        <w:t xml:space="preserve">Shadow Profile</w:t>
      </w:r>
      <w:r>
        <w:t xml:space="preserve">”</w:t>
      </w:r>
      <w:r>
        <w:t xml:space="preserve"> </w:t>
      </w:r>
      <w:r>
        <w:t xml:space="preserve">System</w:t>
      </w:r>
    </w:p>
    <w:bookmarkStart w:id="38" w:name="what-is-a-shadow-profile"/>
    <w:p>
      <w:pPr>
        <w:pStyle w:val="Heading3"/>
      </w:pPr>
      <w:r>
        <w:t xml:space="preserve">2.2.1 What is a Shadow Profile?</w:t>
      </w:r>
    </w:p>
    <w:p>
      <w:pPr>
        <w:pStyle w:val="FirstParagraph"/>
      </w:pPr>
      <w:r>
        <w:t xml:space="preserve">A</w:t>
      </w:r>
      <w:r>
        <w:t xml:space="preserve"> </w:t>
      </w:r>
      <w:r>
        <w:rPr>
          <w:bCs/>
          <w:b/>
        </w:rPr>
        <w:t xml:space="preserve">shadow profile</w:t>
      </w:r>
      <w:r>
        <w:t xml:space="preserve"> </w:t>
      </w:r>
      <w:r>
        <w:t xml:space="preserve">is the complete simulated record that Sovereign Lens maintains for every auto-spawned entity — even before that entity knows CSOAI exists. It is a living, continuously updated computational dossier built entirely from public data.</w:t>
      </w:r>
    </w:p>
    <w:p>
      <w:pPr>
        <w:pStyle w:val="BodyText"/>
      </w:pPr>
      <w:r>
        <w:t xml:space="preserve">Think of it as a</w:t>
      </w:r>
      <w:r>
        <w:t xml:space="preserve"> </w:t>
      </w:r>
      <w:r>
        <w:rPr>
          <w:bCs/>
          <w:b/>
        </w:rPr>
        <w:t xml:space="preserve">parallel corporate identity</w:t>
      </w:r>
      <w:r>
        <w:t xml:space="preserve"> </w:t>
      </w:r>
      <w:r>
        <w:t xml:space="preserve">— a digital twin that exists in the simulation, accumulating experiences, making decisions, and generating outcomes, while the real company operates in the physical world, often unaware that its simulated counterpart even exists.</w:t>
      </w:r>
    </w:p>
    <w:p>
      <w:pPr>
        <w:pStyle w:val="BodyText"/>
      </w:pPr>
      <w:r>
        <w:t xml:space="preserve">The shadow profile contains everything described in the seven dimensions above, plus the</w:t>
      </w:r>
      <w:r>
        <w:t xml:space="preserve"> </w:t>
      </w:r>
      <w:r>
        <w:rPr>
          <w:bCs/>
          <w:b/>
        </w:rPr>
        <w:t xml:space="preserve">simulation-derived attributes</w:t>
      </w:r>
      <w:r>
        <w:t xml:space="preserve">: compliance trajectory projections, risk heat maps, optimal strategy recommendations, and predicted outcomes under various scenarios. It is, in essence, a</w:t>
      </w:r>
      <w:r>
        <w:t xml:space="preserve"> </w:t>
      </w:r>
      <w:r>
        <w:rPr>
          <w:bCs/>
          <w:b/>
        </w:rPr>
        <w:t xml:space="preserve">pre-computed compliance assessment</w:t>
      </w:r>
      <w:r>
        <w:t xml:space="preserve"> </w:t>
      </w:r>
      <w:r>
        <w:t xml:space="preserve">for every company on Earth.</w:t>
      </w:r>
    </w:p>
    <w:p>
      <w:pPr>
        <w:pStyle w:val="BodyText"/>
      </w:pPr>
      <w:r>
        <w:t xml:space="preserve">The key insight is this:</w:t>
      </w:r>
      <w:r>
        <w:t xml:space="preserve"> </w:t>
      </w:r>
      <w:r>
        <w:rPr>
          <w:bCs/>
          <w:b/>
        </w:rPr>
        <w:t xml:space="preserve">shadow profiles require no consent</w:t>
      </w:r>
      <w:r>
        <w:t xml:space="preserve">. They are built from public data using computational inference. Just as a journalist can write a profile of a public company from publicly available information, Sovereign Lens can simulate a company’s compliance behavior from the same public signals. The simulation itself is speech — computational speech protected under free expression principles. When CSOAI eventually contacts the company, we are not sharing private data; we are sharing</w:t>
      </w:r>
      <w:r>
        <w:t xml:space="preserve"> </w:t>
      </w:r>
      <w:r>
        <w:rPr>
          <w:bCs/>
          <w:b/>
        </w:rPr>
        <w:t xml:space="preserve">the results of our computational analysis of public data</w:t>
      </w:r>
      <w:r>
        <w:t xml:space="preserve">.</w:t>
      </w:r>
    </w:p>
    <w:bookmarkEnd w:id="38"/>
    <w:bookmarkStart w:id="39" w:name="X2db027b05cecc9a1ddc61bfc6a58d7b7c6ca4da"/>
    <w:p>
      <w:pPr>
        <w:pStyle w:val="Heading3"/>
      </w:pPr>
      <w:r>
        <w:t xml:space="preserve">2.2.2 Continuous Shadow Updates: The Living Dossier</w:t>
      </w:r>
    </w:p>
    <w:p>
      <w:pPr>
        <w:pStyle w:val="FirstParagraph"/>
      </w:pPr>
      <w:r>
        <w:t xml:space="preserve">Shadow profiles are not static snapshots — they are</w:t>
      </w:r>
      <w:r>
        <w:t xml:space="preserve"> </w:t>
      </w:r>
      <w:r>
        <w:rPr>
          <w:bCs/>
          <w:b/>
        </w:rPr>
        <w:t xml:space="preserve">continuously evolving</w:t>
      </w:r>
      <w:r>
        <w:t xml:space="preserve"> </w:t>
      </w:r>
      <w:r>
        <w:t xml:space="preserve">through a daily data ingestion pipeline:</w:t>
      </w:r>
    </w:p>
    <w:p>
      <w:pPr>
        <w:pStyle w:val="BodyText"/>
      </w:pPr>
      <w:r>
        <w:rPr>
          <w:bCs/>
          <w:b/>
        </w:rPr>
        <w:t xml:space="preserve">News Mentions (Sentiment Analysis)</w:t>
      </w:r>
      <w:r>
        <w:t xml:space="preserve">: Every day, NLP models scan 50,000+ news sources for mentions of each shadow-profiled entity. Sentiment is scored (positive/neutral/negative), topics are classified (regulatory, financial, operational, leadership, legal), and emerging risks are flagged. A sudden spike in negative regulatory mentions may indicate an impending enforcement action — triggering a priority simulation run.</w:t>
      </w:r>
    </w:p>
    <w:p>
      <w:pPr>
        <w:pStyle w:val="BodyText"/>
      </w:pPr>
      <w:r>
        <w:rPr>
          <w:bCs/>
          <w:b/>
        </w:rPr>
        <w:t xml:space="preserve">Financial Filings (Health Changes)</w:t>
      </w:r>
      <w:r>
        <w:t xml:space="preserve">: Quarterly and annual accounts filed with commercial registries are automatically parsed and analyzed. Revenue trends, profitability changes, and balance sheet shifts update the financial health dimension. A company that posts a loss for the first time in five years receives an updated risk profile and a fresh simulation run.</w:t>
      </w:r>
    </w:p>
    <w:p>
      <w:pPr>
        <w:pStyle w:val="BodyText"/>
      </w:pPr>
      <w:r>
        <w:rPr>
          <w:bCs/>
          <w:b/>
        </w:rPr>
        <w:t xml:space="preserve">Job Postings (Organizational Changes)</w:t>
      </w:r>
      <w:r>
        <w:t xml:space="preserve">: Job posting data from LinkedIn, Indeed, and company career pages provide early signals of organizational change. A surge in compliance-related job postings may indicate a company is preparing for a regulatory deadline. A CISO vacancy may indicate leadership risk. A hiring freeze may indicate financial distress. These signals feed into the simulation’s</w:t>
      </w:r>
      <w:r>
        <w:t xml:space="preserve"> </w:t>
      </w:r>
      <w:r>
        <w:t xml:space="preserve">“</w:t>
      </w:r>
      <w:r>
        <w:t xml:space="preserve">organizational change</w:t>
      </w:r>
      <w:r>
        <w:t xml:space="preserve">”</w:t>
      </w:r>
      <w:r>
        <w:t xml:space="preserve"> </w:t>
      </w:r>
      <w:r>
        <w:t xml:space="preserve">parameters.</w:t>
      </w:r>
    </w:p>
    <w:p>
      <w:pPr>
        <w:pStyle w:val="BodyText"/>
      </w:pPr>
      <w:r>
        <w:rPr>
          <w:bCs/>
          <w:b/>
        </w:rPr>
        <w:t xml:space="preserve">Regulatory Filings (Compliance Status Updates)</w:t>
      </w:r>
      <w:r>
        <w:t xml:space="preserve">: Direct regulatory filings — license applications, incident reports, compliance certifications, regulatory returns — provide ground-truth data on compliance status. When a company files a DORA compliance report with their national regulator, the shadow profile is updated with the actual (not simulated) compliance position.</w:t>
      </w:r>
    </w:p>
    <w:p>
      <w:pPr>
        <w:pStyle w:val="BodyText"/>
      </w:pPr>
      <w:r>
        <w:rPr>
          <w:bCs/>
          <w:b/>
        </w:rPr>
        <w:t xml:space="preserve">Social Media (Reputation Signals)</w:t>
      </w:r>
      <w:r>
        <w:t xml:space="preserve">: Public social media activity from corporate accounts and key executives provides sentiment and engagement signals. A sudden drop in positive engagement, a viral negative story, or executive social media behavior changes may indicate emerging risks.</w:t>
      </w:r>
    </w:p>
    <w:p>
      <w:pPr>
        <w:pStyle w:val="BodyText"/>
      </w:pPr>
      <w:r>
        <w:rPr>
          <w:bCs/>
          <w:b/>
        </w:rPr>
        <w:t xml:space="preserve">Court Records (Legal Risks)</w:t>
      </w:r>
      <w:r>
        <w:t xml:space="preserve">: Litigation databases, court filings, and judgment records update the legal risk dimension. New lawsuits, regulatory proceedings, or judgment enforcements trigger simulation recalibration.</w:t>
      </w:r>
    </w:p>
    <w:p>
      <w:pPr>
        <w:pStyle w:val="BodyText"/>
      </w:pPr>
      <w:r>
        <w:t xml:space="preserve">All six update streams feed into the shadow profile in near real-time. The profile is</w:t>
      </w:r>
      <w:r>
        <w:t xml:space="preserve"> </w:t>
      </w:r>
      <w:r>
        <w:rPr>
          <w:bCs/>
          <w:b/>
        </w:rPr>
        <w:t xml:space="preserve">versioned</w:t>
      </w:r>
      <w:r>
        <w:t xml:space="preserve"> </w:t>
      </w:r>
      <w:r>
        <w:t xml:space="preserve">— every update creates a historical record, enabling trend analysis and change detection. When a company’s shadow profile changes significantly (risk score shifts by &gt;10 points, new regulatory exposure identified, financial health deteriorates), an automatic alert is generated and a new Monte Carlo simulation is queued.</w:t>
      </w:r>
    </w:p>
    <w:bookmarkEnd w:id="39"/>
    <w:bookmarkStart w:id="40" w:name="X3238c1b56e8ca0a8b4351c30716e7a7c29483c0"/>
    <w:p>
      <w:pPr>
        <w:pStyle w:val="Heading3"/>
      </w:pPr>
      <w:r>
        <w:t xml:space="preserve">2.2.3 The Outreach Trigger: From Shadow to Relationship</w:t>
      </w:r>
    </w:p>
    <w:p>
      <w:pPr>
        <w:pStyle w:val="FirstParagraph"/>
      </w:pPr>
      <w:r>
        <w:t xml:space="preserve">The ultimate purpose of shadow profiles is not surveillance — it is</w:t>
      </w:r>
      <w:r>
        <w:t xml:space="preserve"> </w:t>
      </w:r>
      <w:r>
        <w:rPr>
          <w:bCs/>
          <w:b/>
        </w:rPr>
        <w:t xml:space="preserve">proactive value delivery</w:t>
      </w:r>
      <w:r>
        <w:t xml:space="preserve">. The outreach trigger is the mechanism that converts a shadow profile from a passive simulation record into an active client relationship.</w:t>
      </w:r>
    </w:p>
    <w:p>
      <w:pPr>
        <w:pStyle w:val="BodyText"/>
      </w:pPr>
      <w:r>
        <w:t xml:space="preserve">The trigger fires when a shadow profile meets</w:t>
      </w:r>
      <w:r>
        <w:t xml:space="preserve"> </w:t>
      </w:r>
      <w:r>
        <w:rPr>
          <w:bCs/>
          <w:b/>
        </w:rPr>
        <w:t xml:space="preserve">specific conversion criteria</w:t>
      </w:r>
      <w:r>
        <w:t xml:space="preserve">:</w:t>
      </w:r>
    </w:p>
    <w:p>
      <w:pPr>
        <w:pStyle w:val="BodyText"/>
      </w:pPr>
      <w:r>
        <w:rPr>
          <w:bCs/>
          <w:b/>
        </w:rPr>
        <w:t xml:space="preserve">Trigger 1: Approaching Non-Compliance</w:t>
      </w:r>
      <w:r>
        <w:t xml:space="preserve">: When the simulated compliance score drops below a threshold (e.g., 60%) and a regulatory deadline is within 90 days, CSOAI initiates outreach with a</w:t>
      </w:r>
      <w:r>
        <w:t xml:space="preserve"> </w:t>
      </w:r>
      <w:r>
        <w:rPr>
          <w:bCs/>
          <w:b/>
        </w:rPr>
        <w:t xml:space="preserve">specific, personalized analysis</w:t>
      </w:r>
      <w:r>
        <w:t xml:space="preserve">:</w:t>
      </w:r>
      <w:r>
        <w:t xml:space="preserve"> </w:t>
      </w:r>
      <w:r>
        <w:rPr>
          <w:iCs/>
          <w:i/>
        </w:rPr>
        <w:t xml:space="preserve">“</w:t>
      </w:r>
      <w:r>
        <w:rPr>
          <w:iCs/>
          <w:i/>
        </w:rPr>
        <w:t xml:space="preserve">We’ve analyzed your regulatory exposure against DORA Article 28 requirements. Your current implementation path has a 41% probability of on-time compliance based on public filings and industry benchmarks. Here are the three specific gaps we’ve identified and the remediation steps that raise your probability to 89%.</w:t>
      </w:r>
      <w:r>
        <w:rPr>
          <w:iCs/>
          <w:i/>
        </w:rPr>
        <w:t xml:space="preserve">”</w:t>
      </w:r>
    </w:p>
    <w:p>
      <w:pPr>
        <w:pStyle w:val="BodyText"/>
      </w:pPr>
      <w:r>
        <w:rPr>
          <w:bCs/>
          <w:b/>
        </w:rPr>
        <w:t xml:space="preserve">Trigger 2: Risk Score Deterioration</w:t>
      </w:r>
      <w:r>
        <w:t xml:space="preserve">: When a company’s BFT risk score increases by &gt;15 points within 30 days (indicating rapidly escalating risk), CSOAI triggers an outreach with a</w:t>
      </w:r>
      <w:r>
        <w:t xml:space="preserve"> </w:t>
      </w:r>
      <w:r>
        <w:rPr>
          <w:bCs/>
          <w:b/>
        </w:rPr>
        <w:t xml:space="preserve">risk alert and mitigation plan</w:t>
      </w:r>
      <w:r>
        <w:t xml:space="preserve">:</w:t>
      </w:r>
      <w:r>
        <w:t xml:space="preserve"> </w:t>
      </w:r>
      <w:r>
        <w:rPr>
          <w:iCs/>
          <w:i/>
        </w:rPr>
        <w:t xml:space="preserve">“</w:t>
      </w:r>
      <w:r>
        <w:rPr>
          <w:iCs/>
          <w:i/>
        </w:rPr>
        <w:t xml:space="preserve">Our analysis of your recent financial filings and regulatory news coverage indicates a significant increase in your operational risk exposure. Here are the five factors driving this increase and the specific actions we recommend.</w:t>
      </w:r>
      <w:r>
        <w:rPr>
          <w:iCs/>
          <w:i/>
        </w:rPr>
        <w:t xml:space="preserve">”</w:t>
      </w:r>
    </w:p>
    <w:p>
      <w:pPr>
        <w:pStyle w:val="BodyText"/>
      </w:pPr>
      <w:r>
        <w:rPr>
          <w:bCs/>
          <w:b/>
        </w:rPr>
        <w:t xml:space="preserve">Trigger 3: Competitive Advantage Opportunity</w:t>
      </w:r>
      <w:r>
        <w:t xml:space="preserve">: When analysis shows that a company’s competitors are achieving compliance advantages (e.g., competitors obtaining certifications, passing audits, gaining regulatory approvals), CSOAI triggers outreach with a</w:t>
      </w:r>
      <w:r>
        <w:t xml:space="preserve"> </w:t>
      </w:r>
      <w:r>
        <w:rPr>
          <w:bCs/>
          <w:b/>
        </w:rPr>
        <w:t xml:space="preserve">competitive intelligence briefing</w:t>
      </w:r>
      <w:r>
        <w:t xml:space="preserve">:</w:t>
      </w:r>
      <w:r>
        <w:t xml:space="preserve"> </w:t>
      </w:r>
      <w:r>
        <w:rPr>
          <w:iCs/>
          <w:i/>
        </w:rPr>
        <w:t xml:space="preserve">“</w:t>
      </w:r>
      <w:r>
        <w:rPr>
          <w:iCs/>
          <w:i/>
        </w:rPr>
        <w:t xml:space="preserve">Three of your top five competitors have achieved ISO 27001 certification in the past six months. Our simulation indicates that without similar certification, your RFP win rate will decline by 23% over the next 12 months. Here’s the optimal certification roadmap.</w:t>
      </w:r>
      <w:r>
        <w:rPr>
          <w:iCs/>
          <w:i/>
        </w:rPr>
        <w:t xml:space="preserve">”</w:t>
      </w:r>
    </w:p>
    <w:p>
      <w:pPr>
        <w:pStyle w:val="BodyText"/>
      </w:pPr>
      <w:r>
        <w:rPr>
          <w:bCs/>
          <w:b/>
        </w:rPr>
        <w:t xml:space="preserve">Trigger 4: Regulatory Change Impact</w:t>
      </w:r>
      <w:r>
        <w:t xml:space="preserve">: When a new regulation is announced that affects the company’s exposure matrix, CSOAI triggers outreach with a</w:t>
      </w:r>
      <w:r>
        <w:t xml:space="preserve"> </w:t>
      </w:r>
      <w:r>
        <w:rPr>
          <w:bCs/>
          <w:b/>
        </w:rPr>
        <w:t xml:space="preserve">regulatory impact assessment</w:t>
      </w:r>
      <w:r>
        <w:t xml:space="preserve">:</w:t>
      </w:r>
      <w:r>
        <w:t xml:space="preserve"> </w:t>
      </w:r>
      <w:r>
        <w:rPr>
          <w:iCs/>
          <w:i/>
        </w:rPr>
        <w:t xml:space="preserve">“</w:t>
      </w:r>
      <w:r>
        <w:rPr>
          <w:iCs/>
          <w:i/>
        </w:rPr>
        <w:t xml:space="preserve">The SEC’s new cyber disclosure rules (effective December 2025) apply to your entity based on your public filings. Our analysis indicates a 6-month compliance runway with 8 specific disclosure requirements. Here’s your tailored compliance roadmap.</w:t>
      </w:r>
      <w:r>
        <w:rPr>
          <w:iCs/>
          <w:i/>
        </w:rPr>
        <w:t xml:space="preserve">”</w:t>
      </w:r>
    </w:p>
    <w:p>
      <w:pPr>
        <w:pStyle w:val="BodyText"/>
      </w:pPr>
      <w:r>
        <w:t xml:space="preserve">Each outreach message is</w:t>
      </w:r>
      <w:r>
        <w:t xml:space="preserve"> </w:t>
      </w:r>
      <w:r>
        <w:rPr>
          <w:bCs/>
          <w:b/>
        </w:rPr>
        <w:t xml:space="preserve">hyper-personalized</w:t>
      </w:r>
      <w:r>
        <w:t xml:space="preserve"> </w:t>
      </w:r>
      <w:r>
        <w:t xml:space="preserve">— not a generic marketing email, but a specific analysis grounded in the company’s public data, referencing their actual regulatory exposure, citing their actual filings, and providing specific, actionable recommendations. The conversion rate from this type of outreach is</w:t>
      </w:r>
      <w:r>
        <w:t xml:space="preserve"> </w:t>
      </w:r>
      <w:r>
        <w:rPr>
          <w:bCs/>
          <w:b/>
        </w:rPr>
        <w:t xml:space="preserve">10-30x higher</w:t>
      </w:r>
      <w:r>
        <w:t xml:space="preserve"> </w:t>
      </w:r>
      <w:r>
        <w:t xml:space="preserve">than traditional cold outreach because the recipient immediately recognizes the relevance and specificity.</w:t>
      </w:r>
    </w:p>
    <w:p>
      <w:pPr>
        <w:pStyle w:val="BodyText"/>
      </w:pPr>
      <w:r>
        <w:t xml:space="preserve">The outreach channel adapts to the entity:</w:t>
      </w:r>
      <w:r>
        <w:t xml:space="preserve"> </w:t>
      </w:r>
      <w:r>
        <w:rPr>
          <w:bCs/>
          <w:b/>
        </w:rPr>
        <w:t xml:space="preserve">email</w:t>
      </w:r>
      <w:r>
        <w:t xml:space="preserve"> </w:t>
      </w:r>
      <w:r>
        <w:t xml:space="preserve">for mid-market companies,</w:t>
      </w:r>
      <w:r>
        <w:t xml:space="preserve"> </w:t>
      </w:r>
      <w:r>
        <w:rPr>
          <w:bCs/>
          <w:b/>
        </w:rPr>
        <w:t xml:space="preserve">LinkedIn message</w:t>
      </w:r>
      <w:r>
        <w:t xml:space="preserve"> </w:t>
      </w:r>
      <w:r>
        <w:t xml:space="preserve">for executives,</w:t>
      </w:r>
      <w:r>
        <w:t xml:space="preserve"> </w:t>
      </w:r>
      <w:r>
        <w:rPr>
          <w:bCs/>
          <w:b/>
        </w:rPr>
        <w:t xml:space="preserve">formal letter</w:t>
      </w:r>
      <w:r>
        <w:t xml:space="preserve"> </w:t>
      </w:r>
      <w:r>
        <w:t xml:space="preserve">for enterprise and government entities, and</w:t>
      </w:r>
      <w:r>
        <w:t xml:space="preserve"> </w:t>
      </w:r>
      <w:r>
        <w:rPr>
          <w:bCs/>
          <w:b/>
        </w:rPr>
        <w:t xml:space="preserve">regulatory briefing</w:t>
      </w:r>
      <w:r>
        <w:t xml:space="preserve"> </w:t>
      </w:r>
      <w:r>
        <w:t xml:space="preserve">for sovereign agents. Each channel is optimized for the recipient’s communication preferences and organizational culture.</w:t>
      </w:r>
    </w:p>
    <w:p>
      <w:r>
        <w:pict>
          <v:rect style="width:0;height:1.5pt" o:hralign="center" o:hrstd="t" o:hr="t"/>
        </w:pict>
      </w:r>
    </w:p>
    <w:bookmarkEnd w:id="40"/>
    <w:bookmarkEnd w:id="41"/>
    <w:bookmarkStart w:id="45" w:name="ethical-legal-boundaries"/>
    <w:p>
      <w:pPr>
        <w:pStyle w:val="Heading2"/>
      </w:pPr>
      <w:r>
        <w:t xml:space="preserve">2.3 Ethical &amp; Legal Boundaries</w:t>
      </w:r>
    </w:p>
    <w:bookmarkStart w:id="42" w:name="public-data-only-the-bright-line"/>
    <w:p>
      <w:pPr>
        <w:pStyle w:val="Heading3"/>
      </w:pPr>
      <w:r>
        <w:t xml:space="preserve">2.3.1 Public Data Only: The Bright Line</w:t>
      </w:r>
    </w:p>
    <w:p>
      <w:pPr>
        <w:pStyle w:val="FirstParagraph"/>
      </w:pPr>
      <w:r>
        <w:t xml:space="preserve">Sovereign Lens operates on a</w:t>
      </w:r>
      <w:r>
        <w:t xml:space="preserve"> </w:t>
      </w:r>
      <w:r>
        <w:rPr>
          <w:bCs/>
          <w:b/>
        </w:rPr>
        <w:t xml:space="preserve">strict public-data-only policy</w:t>
      </w:r>
      <w:r>
        <w:t xml:space="preserve">. Shadow profiles are constructed exclusively from:</w:t>
      </w:r>
    </w:p>
    <w:p>
      <w:pPr>
        <w:numPr>
          <w:ilvl w:val="0"/>
          <w:numId w:val="1008"/>
        </w:numPr>
        <w:pStyle w:val="Compact"/>
      </w:pPr>
      <w:r>
        <w:t xml:space="preserve">Commercial registry records (public by law)</w:t>
      </w:r>
    </w:p>
    <w:p>
      <w:pPr>
        <w:numPr>
          <w:ilvl w:val="0"/>
          <w:numId w:val="1008"/>
        </w:numPr>
        <w:pStyle w:val="Compact"/>
      </w:pPr>
      <w:r>
        <w:t xml:space="preserve">Regulatory filings (public by law)</w:t>
      </w:r>
    </w:p>
    <w:p>
      <w:pPr>
        <w:numPr>
          <w:ilvl w:val="0"/>
          <w:numId w:val="1008"/>
        </w:numPr>
        <w:pStyle w:val="Compact"/>
      </w:pPr>
      <w:r>
        <w:t xml:space="preserve">Financial accounts filed with registries (public for public companies, legally accessible for private companies in many jurisdictions)</w:t>
      </w:r>
    </w:p>
    <w:p>
      <w:pPr>
        <w:numPr>
          <w:ilvl w:val="0"/>
          <w:numId w:val="1008"/>
        </w:numPr>
        <w:pStyle w:val="Compact"/>
      </w:pPr>
      <w:r>
        <w:t xml:space="preserve">Court records (public by law)</w:t>
      </w:r>
    </w:p>
    <w:p>
      <w:pPr>
        <w:numPr>
          <w:ilvl w:val="0"/>
          <w:numId w:val="1008"/>
        </w:numPr>
        <w:pStyle w:val="Compact"/>
      </w:pPr>
      <w:r>
        <w:t xml:space="preserve">News media (public by definition)</w:t>
      </w:r>
    </w:p>
    <w:p>
      <w:pPr>
        <w:numPr>
          <w:ilvl w:val="0"/>
          <w:numId w:val="1008"/>
        </w:numPr>
        <w:pStyle w:val="Compact"/>
      </w:pPr>
      <w:r>
        <w:t xml:space="preserve">Company websites and public social media (publicly posted)</w:t>
      </w:r>
    </w:p>
    <w:p>
      <w:pPr>
        <w:numPr>
          <w:ilvl w:val="0"/>
          <w:numId w:val="1008"/>
        </w:numPr>
        <w:pStyle w:val="Compact"/>
      </w:pPr>
      <w:r>
        <w:t xml:space="preserve">Job postings (publicly posted)</w:t>
      </w:r>
    </w:p>
    <w:p>
      <w:pPr>
        <w:numPr>
          <w:ilvl w:val="0"/>
          <w:numId w:val="1008"/>
        </w:numPr>
        <w:pStyle w:val="Compact"/>
      </w:pPr>
      <w:r>
        <w:t xml:space="preserve">Credit ratings and reports (legally licensed from rating agencies)</w:t>
      </w:r>
    </w:p>
    <w:p>
      <w:pPr>
        <w:pStyle w:val="FirstParagraph"/>
      </w:pPr>
      <w:r>
        <w:t xml:space="preserve">The following are</w:t>
      </w:r>
      <w:r>
        <w:t xml:space="preserve"> </w:t>
      </w:r>
      <w:r>
        <w:rPr>
          <w:bCs/>
          <w:b/>
        </w:rPr>
        <w:t xml:space="preserve">explicitly excluded</w:t>
      </w:r>
      <w:r>
        <w:t xml:space="preserve"> </w:t>
      </w:r>
      <w:r>
        <w:t xml:space="preserve">and technically blocked:</w:t>
      </w:r>
    </w:p>
    <w:p>
      <w:pPr>
        <w:numPr>
          <w:ilvl w:val="0"/>
          <w:numId w:val="1009"/>
        </w:numPr>
        <w:pStyle w:val="Compact"/>
      </w:pPr>
      <w:r>
        <w:t xml:space="preserve">Private communications (emails, messages, internal documents)</w:t>
      </w:r>
    </w:p>
    <w:p>
      <w:pPr>
        <w:numPr>
          <w:ilvl w:val="0"/>
          <w:numId w:val="1009"/>
        </w:numPr>
        <w:pStyle w:val="Compact"/>
      </w:pPr>
      <w:r>
        <w:t xml:space="preserve">Data obtained through unauthorized access (hacking, credential theft, social engineering)</w:t>
      </w:r>
    </w:p>
    <w:p>
      <w:pPr>
        <w:numPr>
          <w:ilvl w:val="0"/>
          <w:numId w:val="1009"/>
        </w:numPr>
        <w:pStyle w:val="Compact"/>
      </w:pPr>
      <w:r>
        <w:t xml:space="preserve">Data protected by confidentiality agreements</w:t>
      </w:r>
    </w:p>
    <w:p>
      <w:pPr>
        <w:numPr>
          <w:ilvl w:val="0"/>
          <w:numId w:val="1009"/>
        </w:numPr>
        <w:pStyle w:val="Compact"/>
      </w:pPr>
      <w:r>
        <w:t xml:space="preserve">Personal data of individuals not relevant to corporate compliance (employee personal details, customer data)</w:t>
      </w:r>
    </w:p>
    <w:p>
      <w:pPr>
        <w:numPr>
          <w:ilvl w:val="0"/>
          <w:numId w:val="1009"/>
        </w:numPr>
        <w:pStyle w:val="Compact"/>
      </w:pPr>
      <w:r>
        <w:t xml:space="preserve">Trade secrets and proprietary business information</w:t>
      </w:r>
    </w:p>
    <w:p>
      <w:pPr>
        <w:pStyle w:val="FirstParagraph"/>
      </w:pPr>
      <w:r>
        <w:t xml:space="preserve">This bright-line policy is not merely ethical — it is</w:t>
      </w:r>
      <w:r>
        <w:t xml:space="preserve"> </w:t>
      </w:r>
      <w:r>
        <w:rPr>
          <w:bCs/>
          <w:b/>
        </w:rPr>
        <w:t xml:space="preserve">strategic</w:t>
      </w:r>
      <w:r>
        <w:t xml:space="preserve">. Operating exclusively on public data means Sovereign Lens cannot be accused of corporate espionage, unauthorized surveillance, or privacy violations. The simulation is an exercise in</w:t>
      </w:r>
      <w:r>
        <w:t xml:space="preserve"> </w:t>
      </w:r>
      <w:r>
        <w:rPr>
          <w:bCs/>
          <w:b/>
        </w:rPr>
        <w:t xml:space="preserve">computational journalism</w:t>
      </w:r>
      <w:r>
        <w:t xml:space="preserve"> </w:t>
      </w:r>
      <w:r>
        <w:t xml:space="preserve">— analyzing publicly available information at scale — which is unequivocally legal in all jurisdictions.</w:t>
      </w:r>
    </w:p>
    <w:bookmarkEnd w:id="42"/>
    <w:bookmarkStart w:id="43" w:name="transparent-ai-trust-through-disclosure"/>
    <w:p>
      <w:pPr>
        <w:pStyle w:val="Heading3"/>
      </w:pPr>
      <w:r>
        <w:t xml:space="preserve">2.3.2 Transparent AI: Trust Through Disclosure</w:t>
      </w:r>
    </w:p>
    <w:p>
      <w:pPr>
        <w:pStyle w:val="FirstParagraph"/>
      </w:pPr>
      <w:r>
        <w:t xml:space="preserve">When CSOAI contacts a company based on shadow profile analysis, we practice</w:t>
      </w:r>
      <w:r>
        <w:t xml:space="preserve"> </w:t>
      </w:r>
      <w:r>
        <w:rPr>
          <w:bCs/>
          <w:b/>
        </w:rPr>
        <w:t xml:space="preserve">radical transparency</w:t>
      </w:r>
      <w:r>
        <w:t xml:space="preserve">:</w:t>
      </w:r>
    </w:p>
    <w:p>
      <w:pPr>
        <w:numPr>
          <w:ilvl w:val="0"/>
          <w:numId w:val="1010"/>
        </w:numPr>
        <w:pStyle w:val="Compact"/>
      </w:pPr>
      <w:r>
        <w:t xml:space="preserve">We disclose that our analysis is</w:t>
      </w:r>
      <w:r>
        <w:t xml:space="preserve"> </w:t>
      </w:r>
      <w:r>
        <w:rPr>
          <w:bCs/>
          <w:b/>
        </w:rPr>
        <w:t xml:space="preserve">AI-generated from public data</w:t>
      </w:r>
      <w:r>
        <w:t xml:space="preserve">.</w:t>
      </w:r>
    </w:p>
    <w:p>
      <w:pPr>
        <w:numPr>
          <w:ilvl w:val="0"/>
          <w:numId w:val="1010"/>
        </w:numPr>
        <w:pStyle w:val="Compact"/>
      </w:pPr>
      <w:r>
        <w:t xml:space="preserve">We offer to share the</w:t>
      </w:r>
      <w:r>
        <w:t xml:space="preserve"> </w:t>
      </w:r>
      <w:r>
        <w:rPr>
          <w:bCs/>
          <w:b/>
        </w:rPr>
        <w:t xml:space="preserve">full methodology</w:t>
      </w:r>
      <w:r>
        <w:t xml:space="preserve"> </w:t>
      </w:r>
      <w:r>
        <w:t xml:space="preserve">— which data sources we used, which models we applied, which assumptions we made.</w:t>
      </w:r>
    </w:p>
    <w:p>
      <w:pPr>
        <w:numPr>
          <w:ilvl w:val="0"/>
          <w:numId w:val="1010"/>
        </w:numPr>
        <w:pStyle w:val="Compact"/>
      </w:pPr>
      <w:r>
        <w:t xml:space="preserve">We provide the</w:t>
      </w:r>
      <w:r>
        <w:t xml:space="preserve"> </w:t>
      </w:r>
      <w:r>
        <w:rPr>
          <w:bCs/>
          <w:b/>
        </w:rPr>
        <w:t xml:space="preserve">confidence scores</w:t>
      </w:r>
      <w:r>
        <w:t xml:space="preserve"> </w:t>
      </w:r>
      <w:r>
        <w:t xml:space="preserve">for each recommendation — not just</w:t>
      </w:r>
      <w:r>
        <w:t xml:space="preserve"> </w:t>
      </w:r>
      <w:r>
        <w:t xml:space="preserve">“</w:t>
      </w:r>
      <w:r>
        <w:t xml:space="preserve">do X</w:t>
      </w:r>
      <w:r>
        <w:t xml:space="preserve">”</w:t>
      </w:r>
      <w:r>
        <w:t xml:space="preserve"> </w:t>
      </w:r>
      <w:r>
        <w:t xml:space="preserve">but</w:t>
      </w:r>
      <w:r>
        <w:t xml:space="preserve"> </w:t>
      </w:r>
      <w:r>
        <w:t xml:space="preserve">“</w:t>
      </w:r>
      <w:r>
        <w:t xml:space="preserve">our model assigns a 87% confidence that action X will reduce your compliance risk by Y%.</w:t>
      </w:r>
      <w:r>
        <w:t xml:space="preserve">”</w:t>
      </w:r>
    </w:p>
    <w:p>
      <w:pPr>
        <w:numPr>
          <w:ilvl w:val="0"/>
          <w:numId w:val="1010"/>
        </w:numPr>
        <w:pStyle w:val="Compact"/>
      </w:pPr>
      <w:r>
        <w:t xml:space="preserve">We acknowledge</w:t>
      </w:r>
      <w:r>
        <w:t xml:space="preserve"> </w:t>
      </w:r>
      <w:r>
        <w:rPr>
          <w:bCs/>
          <w:b/>
        </w:rPr>
        <w:t xml:space="preserve">limitations</w:t>
      </w:r>
      <w:r>
        <w:t xml:space="preserve"> </w:t>
      </w:r>
      <w:r>
        <w:t xml:space="preserve">— what the shadow profile cannot know from public data, what assumptions the simulation makes, and what uncertainties remain.</w:t>
      </w:r>
    </w:p>
    <w:p>
      <w:pPr>
        <w:pStyle w:val="FirstParagraph"/>
      </w:pPr>
      <w:r>
        <w:t xml:space="preserve">This transparency is a</w:t>
      </w:r>
      <w:r>
        <w:t xml:space="preserve"> </w:t>
      </w:r>
      <w:r>
        <w:rPr>
          <w:bCs/>
          <w:b/>
        </w:rPr>
        <w:t xml:space="preserve">competitive advantage</w:t>
      </w:r>
      <w:r>
        <w:t xml:space="preserve">, not a liability. In a market flooded with opaque AI tools and black-box compliance platforms, CSOAI’s willingness to show its work builds trust at a level that competitors cannot match. Companies that understand</w:t>
      </w:r>
      <w:r>
        <w:t xml:space="preserve"> </w:t>
      </w:r>
      <w:r>
        <w:rPr>
          <w:iCs/>
          <w:i/>
        </w:rPr>
        <w:t xml:space="preserve">how</w:t>
      </w:r>
      <w:r>
        <w:t xml:space="preserve"> </w:t>
      </w:r>
      <w:r>
        <w:t xml:space="preserve">we arrived at our recommendations are more likely to act on them — and more likely to convert to paying clients.</w:t>
      </w:r>
    </w:p>
    <w:p>
      <w:pPr>
        <w:pStyle w:val="BodyText"/>
      </w:pPr>
      <w:r>
        <w:t xml:space="preserve">The transparency policy also serves as a</w:t>
      </w:r>
      <w:r>
        <w:t xml:space="preserve"> </w:t>
      </w:r>
      <w:r>
        <w:rPr>
          <w:bCs/>
          <w:b/>
        </w:rPr>
        <w:t xml:space="preserve">quality control mechanism</w:t>
      </w:r>
      <w:r>
        <w:t xml:space="preserve">. If our methodology is public, it is subject to scrutiny — from clients, from regulators, from academics, and from competitors. This scrutiny drives continuous improvement in our models, data sources, and simulation accuracy.</w:t>
      </w:r>
    </w:p>
    <w:bookmarkEnd w:id="43"/>
    <w:bookmarkStart w:id="44" w:name="opt-out-mechanism-the-paradox-of-trust"/>
    <w:p>
      <w:pPr>
        <w:pStyle w:val="Heading3"/>
      </w:pPr>
      <w:r>
        <w:t xml:space="preserve">2.3.3 Opt-Out Mechanism: The Paradox of Trust</w:t>
      </w:r>
    </w:p>
    <w:p>
      <w:pPr>
        <w:pStyle w:val="FirstParagraph"/>
      </w:pPr>
      <w:r>
        <w:t xml:space="preserve">Any company can</w:t>
      </w:r>
      <w:r>
        <w:t xml:space="preserve"> </w:t>
      </w:r>
      <w:r>
        <w:rPr>
          <w:bCs/>
          <w:b/>
        </w:rPr>
        <w:t xml:space="preserve">request shadow profile deletion</w:t>
      </w:r>
      <w:r>
        <w:t xml:space="preserve"> </w:t>
      </w:r>
      <w:r>
        <w:t xml:space="preserve">at any time. CSOAI honors these requests within 72 hours, removing the agent from the simulation and deleting all associated profile data.</w:t>
      </w:r>
    </w:p>
    <w:p>
      <w:pPr>
        <w:pStyle w:val="BodyText"/>
      </w:pPr>
      <w:r>
        <w:t xml:space="preserve">This opt-out mechanism serves multiple purposes:</w:t>
      </w:r>
    </w:p>
    <w:p>
      <w:pPr>
        <w:pStyle w:val="BodyText"/>
      </w:pPr>
      <w:r>
        <w:rPr>
          <w:bCs/>
          <w:b/>
        </w:rPr>
        <w:t xml:space="preserve">Legal Compliance</w:t>
      </w:r>
      <w:r>
        <w:t xml:space="preserve">: In jurisdictions with strong data protection laws (GDPR, CCPA), the right to opt out aligns with regulatory requirements and demonstrates good faith.</w:t>
      </w:r>
    </w:p>
    <w:p>
      <w:pPr>
        <w:pStyle w:val="BodyText"/>
      </w:pPr>
      <w:r>
        <w:rPr>
          <w:bCs/>
          <w:b/>
        </w:rPr>
        <w:t xml:space="preserve">Trust Building</w:t>
      </w:r>
      <w:r>
        <w:t xml:space="preserve">: Offering opt-out signals respect for corporate autonomy. Companies that know they can leave are more comfortable engaging initially.</w:t>
      </w:r>
    </w:p>
    <w:p>
      <w:pPr>
        <w:pStyle w:val="BodyText"/>
      </w:pPr>
      <w:r>
        <w:rPr>
          <w:bCs/>
          <w:b/>
        </w:rPr>
        <w:t xml:space="preserve">Quality Signal</w:t>
      </w:r>
      <w:r>
        <w:t xml:space="preserve">: Paradoxically, companies that opt out are often the ones with the</w:t>
      </w:r>
      <w:r>
        <w:t xml:space="preserve"> </w:t>
      </w:r>
      <w:r>
        <w:rPr>
          <w:bCs/>
          <w:b/>
        </w:rPr>
        <w:t xml:space="preserve">highest risk profiles</w:t>
      </w:r>
      <w:r>
        <w:t xml:space="preserve">. A company with strong compliance posture has nothing to hide and little incentive to opt out. A company with significant compliance gaps may prefer not to be simulated — and this preference itself becomes valuable data. The opt-out rate by industry, jurisdiction, and risk score provides a</w:t>
      </w:r>
      <w:r>
        <w:t xml:space="preserve"> </w:t>
      </w:r>
      <w:r>
        <w:rPr>
          <w:bCs/>
          <w:b/>
        </w:rPr>
        <w:t xml:space="preserve">meta-signal</w:t>
      </w:r>
      <w:r>
        <w:t xml:space="preserve"> </w:t>
      </w:r>
      <w:r>
        <w:t xml:space="preserve">that feeds back into the simulation’s risk models.</w:t>
      </w:r>
    </w:p>
    <w:p>
      <w:pPr>
        <w:pStyle w:val="BodyText"/>
      </w:pPr>
      <w:r>
        <w:rPr>
          <w:bCs/>
          <w:b/>
        </w:rPr>
        <w:t xml:space="preserve">Regulatory Intelligence</w:t>
      </w:r>
      <w:r>
        <w:t xml:space="preserve">: Sovereign agents (regulators) can access anonymized opt-out statistics as an early warning signal. If 40% of companies in a specific industry opt out after a regulatory change is announced, this may indicate widespread non-compliance anxiety — prompting the regulator to issue clarifying guidance.</w:t>
      </w:r>
    </w:p>
    <w:p>
      <w:pPr>
        <w:pStyle w:val="BodyText"/>
      </w:pPr>
      <w:r>
        <w:t xml:space="preserve">The opt-out mechanism is implemented through a</w:t>
      </w:r>
      <w:r>
        <w:t xml:space="preserve"> </w:t>
      </w:r>
      <w:r>
        <w:rPr>
          <w:bCs/>
          <w:b/>
        </w:rPr>
        <w:t xml:space="preserve">simple web form</w:t>
      </w:r>
      <w:r>
        <w:t xml:space="preserve"> </w:t>
      </w:r>
      <w:r>
        <w:t xml:space="preserve">(shadowprofile@csoai.org) with verification via registered email domain or company registry confirmation. Deleted profiles are purged from all systems within 72 hours, with confirmation sent to the requesting entity.</w:t>
      </w:r>
    </w:p>
    <w:p>
      <w:r>
        <w:pict>
          <v:rect style="width:0;height:1.5pt" o:hralign="center" o:hrstd="t" o:hr="t"/>
        </w:pict>
      </w:r>
    </w:p>
    <w:bookmarkEnd w:id="44"/>
    <w:bookmarkEnd w:id="45"/>
    <w:bookmarkStart w:id="46" w:name="table-2-auto-spawn-data-sources"/>
    <w:p>
      <w:pPr>
        <w:pStyle w:val="Heading2"/>
      </w:pPr>
      <w:r>
        <w:t xml:space="preserve">Table 2: Auto-Spawn Data Sources</w:t>
      </w:r>
    </w:p>
    <w:tbl>
      <w:tblPr>
        <w:tblStyle w:val="Table"/>
        <w:tblW w:type="pct" w:w="5000"/>
        <w:tblLook w:firstRow="1" w:lastRow="0" w:firstColumn="0" w:lastColumn="0" w:noHBand="0" w:noVBand="0" w:val="0020"/>
      </w:tblPr>
      <w:tblGrid>
        <w:gridCol w:w="1035"/>
        <w:gridCol w:w="1462"/>
        <w:gridCol w:w="1096"/>
        <w:gridCol w:w="1279"/>
        <w:gridCol w:w="1888"/>
        <w:gridCol w:w="1157"/>
      </w:tblGrid>
      <w:tr>
        <w:trPr>
          <w:tblHeader w:val="true"/>
        </w:trPr>
        <w:tc>
          <w:tcPr/>
          <w:p>
            <w:pPr>
              <w:pStyle w:val="Compact"/>
              <w:jc w:val="left"/>
            </w:pPr>
            <w:r>
              <w:rPr>
                <w:bCs/>
                <w:b/>
              </w:rPr>
              <w:t xml:space="preserve">Data Source</w:t>
            </w:r>
          </w:p>
        </w:tc>
        <w:tc>
          <w:tcPr/>
          <w:p>
            <w:pPr>
              <w:pStyle w:val="Compact"/>
              <w:jc w:val="left"/>
            </w:pPr>
            <w:r>
              <w:rPr>
                <w:bCs/>
                <w:b/>
              </w:rPr>
              <w:t xml:space="preserve">Geographic Coverage</w:t>
            </w:r>
          </w:p>
        </w:tc>
        <w:tc>
          <w:tcPr/>
          <w:p>
            <w:pPr>
              <w:pStyle w:val="Compact"/>
              <w:jc w:val="left"/>
            </w:pPr>
            <w:r>
              <w:rPr>
                <w:bCs/>
                <w:b/>
              </w:rPr>
              <w:t xml:space="preserve">Entity Count</w:t>
            </w:r>
          </w:p>
        </w:tc>
        <w:tc>
          <w:tcPr/>
          <w:p>
            <w:pPr>
              <w:pStyle w:val="Compact"/>
              <w:jc w:val="left"/>
            </w:pPr>
            <w:r>
              <w:rPr>
                <w:bCs/>
                <w:b/>
              </w:rPr>
              <w:t xml:space="preserve">Update Frequency</w:t>
            </w:r>
          </w:p>
        </w:tc>
        <w:tc>
          <w:tcPr/>
          <w:p>
            <w:pPr>
              <w:pStyle w:val="Compact"/>
              <w:jc w:val="left"/>
            </w:pPr>
            <w:r>
              <w:rPr>
                <w:bCs/>
                <w:b/>
              </w:rPr>
              <w:t xml:space="preserve">Agent Attributes Extracted</w:t>
            </w:r>
          </w:p>
        </w:tc>
        <w:tc>
          <w:tcPr/>
          <w:p>
            <w:pPr>
              <w:pStyle w:val="Compact"/>
              <w:jc w:val="left"/>
            </w:pPr>
            <w:r>
              <w:rPr>
                <w:bCs/>
                <w:b/>
              </w:rPr>
              <w:t xml:space="preserve">Access Method</w:t>
            </w:r>
          </w:p>
        </w:tc>
      </w:tr>
      <w:tr>
        <w:tc>
          <w:tcPr/>
          <w:p>
            <w:pPr>
              <w:pStyle w:val="Compact"/>
              <w:jc w:val="left"/>
            </w:pPr>
            <w:r>
              <w:rPr>
                <w:bCs/>
                <w:b/>
              </w:rPr>
              <w:t xml:space="preserve">EU Business Registers (BRIS)</w:t>
            </w:r>
          </w:p>
        </w:tc>
        <w:tc>
          <w:tcPr/>
          <w:p>
            <w:pPr>
              <w:pStyle w:val="Compact"/>
              <w:jc w:val="left"/>
            </w:pPr>
            <w:r>
              <w:t xml:space="preserve">27 EU member states</w:t>
            </w:r>
          </w:p>
        </w:tc>
        <w:tc>
          <w:tcPr/>
          <w:p>
            <w:pPr>
              <w:pStyle w:val="Compact"/>
              <w:jc w:val="left"/>
            </w:pPr>
            <w:r>
              <w:t xml:space="preserve">80M+ companies</w:t>
            </w:r>
          </w:p>
        </w:tc>
        <w:tc>
          <w:tcPr/>
          <w:p>
            <w:pPr>
              <w:pStyle w:val="Compact"/>
              <w:jc w:val="left"/>
            </w:pPr>
            <w:r>
              <w:t xml:space="preserve">Daily (incremental)</w:t>
            </w:r>
          </w:p>
        </w:tc>
        <w:tc>
          <w:tcPr/>
          <w:p>
            <w:pPr>
              <w:pStyle w:val="Compact"/>
              <w:jc w:val="left"/>
            </w:pPr>
            <w:r>
              <w:t xml:space="preserve">Legal name, registration number, legal form, status, registered address, incorporation date, filing history, officer appointments, annual accounts</w:t>
            </w:r>
          </w:p>
        </w:tc>
        <w:tc>
          <w:tcPr/>
          <w:p>
            <w:pPr>
              <w:pStyle w:val="Compact"/>
              <w:jc w:val="left"/>
            </w:pPr>
            <w:r>
              <w:t xml:space="preserve">BRIS API, national registry APIs</w:t>
            </w:r>
          </w:p>
        </w:tc>
      </w:tr>
      <w:tr>
        <w:tc>
          <w:tcPr/>
          <w:p>
            <w:pPr>
              <w:pStyle w:val="Compact"/>
              <w:jc w:val="left"/>
            </w:pPr>
            <w:r>
              <w:rPr>
                <w:bCs/>
                <w:b/>
              </w:rPr>
              <w:t xml:space="preserve">UK Companies House</w:t>
            </w:r>
          </w:p>
        </w:tc>
        <w:tc>
          <w:tcPr/>
          <w:p>
            <w:pPr>
              <w:pStyle w:val="Compact"/>
              <w:jc w:val="left"/>
            </w:pPr>
            <w:r>
              <w:t xml:space="preserve">United Kingdom</w:t>
            </w:r>
          </w:p>
        </w:tc>
        <w:tc>
          <w:tcPr/>
          <w:p>
            <w:pPr>
              <w:pStyle w:val="Compact"/>
              <w:jc w:val="left"/>
            </w:pPr>
            <w:r>
              <w:t xml:space="preserve">4.2M+ active companies</w:t>
            </w:r>
          </w:p>
        </w:tc>
        <w:tc>
          <w:tcPr/>
          <w:p>
            <w:pPr>
              <w:pStyle w:val="Compact"/>
              <w:jc w:val="left"/>
            </w:pPr>
            <w:r>
              <w:t xml:space="preserve">Real-time (streaming API)</w:t>
            </w:r>
          </w:p>
        </w:tc>
        <w:tc>
          <w:tcPr/>
          <w:p>
            <w:pPr>
              <w:pStyle w:val="Compact"/>
              <w:jc w:val="left"/>
            </w:pPr>
            <w:r>
              <w:t xml:space="preserve">Company profile, filing history, officer appointments, persons with significant control (PSC), confirmation statements, annual accounts, charges/mortgages</w:t>
            </w:r>
          </w:p>
        </w:tc>
        <w:tc>
          <w:tcPr/>
          <w:p>
            <w:pPr>
              <w:pStyle w:val="Compact"/>
              <w:jc w:val="left"/>
            </w:pPr>
            <w:r>
              <w:t xml:space="preserve">Companies House REST API ( streaming)</w:t>
            </w:r>
          </w:p>
        </w:tc>
      </w:tr>
      <w:tr>
        <w:tc>
          <w:tcPr/>
          <w:p>
            <w:pPr>
              <w:pStyle w:val="Compact"/>
              <w:jc w:val="left"/>
            </w:pPr>
            <w:r>
              <w:rPr>
                <w:bCs/>
                <w:b/>
              </w:rPr>
              <w:t xml:space="preserve">US SEC EDGAR</w:t>
            </w:r>
          </w:p>
        </w:tc>
        <w:tc>
          <w:tcPr/>
          <w:p>
            <w:pPr>
              <w:pStyle w:val="Compact"/>
              <w:jc w:val="left"/>
            </w:pPr>
            <w:r>
              <w:t xml:space="preserve">United States (public companies)</w:t>
            </w:r>
          </w:p>
        </w:tc>
        <w:tc>
          <w:tcPr/>
          <w:p>
            <w:pPr>
              <w:pStyle w:val="Compact"/>
              <w:jc w:val="left"/>
            </w:pPr>
            <w:r>
              <w:t xml:space="preserve">10,000+ public companies + mutual funds</w:t>
            </w:r>
          </w:p>
        </w:tc>
        <w:tc>
          <w:tcPr/>
          <w:p>
            <w:pPr>
              <w:pStyle w:val="Compact"/>
              <w:jc w:val="left"/>
            </w:pPr>
            <w:r>
              <w:t xml:space="preserve">Real-time (FTP feed)</w:t>
            </w:r>
          </w:p>
        </w:tc>
        <w:tc>
          <w:tcPr/>
          <w:p>
            <w:pPr>
              <w:pStyle w:val="Compact"/>
              <w:jc w:val="left"/>
            </w:pPr>
            <w:r>
              <w:t xml:space="preserve">10-K, 10-Q, 8-K filings, insider trading reports, proxy statements, registration statements, XBRL financial data</w:t>
            </w:r>
          </w:p>
        </w:tc>
        <w:tc>
          <w:tcPr/>
          <w:p>
            <w:pPr>
              <w:pStyle w:val="Compact"/>
              <w:jc w:val="left"/>
            </w:pPr>
            <w:r>
              <w:t xml:space="preserve">EDGAR FTP, SEC API, CIK lookup</w:t>
            </w:r>
          </w:p>
        </w:tc>
      </w:tr>
      <w:tr>
        <w:tc>
          <w:tcPr/>
          <w:p>
            <w:pPr>
              <w:pStyle w:val="Compact"/>
              <w:jc w:val="left"/>
            </w:pPr>
            <w:r>
              <w:rPr>
                <w:bCs/>
                <w:b/>
              </w:rPr>
              <w:t xml:space="preserve">US State Registries</w:t>
            </w:r>
          </w:p>
        </w:tc>
        <w:tc>
          <w:tcPr/>
          <w:p>
            <w:pPr>
              <w:pStyle w:val="Compact"/>
              <w:jc w:val="left"/>
            </w:pPr>
            <w:r>
              <w:t xml:space="preserve">United States (all states)</w:t>
            </w:r>
          </w:p>
        </w:tc>
        <w:tc>
          <w:tcPr/>
          <w:p>
            <w:pPr>
              <w:pStyle w:val="Compact"/>
              <w:jc w:val="left"/>
            </w:pPr>
            <w:r>
              <w:t xml:space="preserve">30M+ entities</w:t>
            </w:r>
          </w:p>
        </w:tc>
        <w:tc>
          <w:tcPr/>
          <w:p>
            <w:pPr>
              <w:pStyle w:val="Compact"/>
              <w:jc w:val="left"/>
            </w:pPr>
            <w:r>
              <w:t xml:space="preserve">Weekly (varies by state)</w:t>
            </w:r>
          </w:p>
        </w:tc>
        <w:tc>
          <w:tcPr/>
          <w:p>
            <w:pPr>
              <w:pStyle w:val="Compact"/>
              <w:jc w:val="left"/>
            </w:pPr>
            <w:r>
              <w:t xml:space="preserve">Business entity search, registration status, registered agent, filing history</w:t>
            </w:r>
          </w:p>
        </w:tc>
        <w:tc>
          <w:tcPr/>
          <w:p>
            <w:pPr>
              <w:pStyle w:val="Compact"/>
              <w:jc w:val="left"/>
            </w:pPr>
            <w:r>
              <w:t xml:space="preserve">State-specific APIs (Delaware, California, Nevada, etc.)</w:t>
            </w:r>
          </w:p>
        </w:tc>
      </w:tr>
      <w:tr>
        <w:tc>
          <w:tcPr/>
          <w:p>
            <w:pPr>
              <w:pStyle w:val="Compact"/>
              <w:jc w:val="left"/>
            </w:pPr>
            <w:r>
              <w:rPr>
                <w:bCs/>
                <w:b/>
              </w:rPr>
              <w:t xml:space="preserve">Australian ASIC</w:t>
            </w:r>
          </w:p>
        </w:tc>
        <w:tc>
          <w:tcPr/>
          <w:p>
            <w:pPr>
              <w:pStyle w:val="Compact"/>
              <w:jc w:val="left"/>
            </w:pPr>
            <w:r>
              <w:t xml:space="preserve">Australia</w:t>
            </w:r>
          </w:p>
        </w:tc>
        <w:tc>
          <w:tcPr/>
          <w:p>
            <w:pPr>
              <w:pStyle w:val="Compact"/>
              <w:jc w:val="left"/>
            </w:pPr>
            <w:r>
              <w:t xml:space="preserve">2.9M+ companies</w:t>
            </w:r>
          </w:p>
        </w:tc>
        <w:tc>
          <w:tcPr/>
          <w:p>
            <w:pPr>
              <w:pStyle w:val="Compact"/>
              <w:jc w:val="left"/>
            </w:pPr>
            <w:r>
              <w:t xml:space="preserve">Daily</w:t>
            </w:r>
          </w:p>
        </w:tc>
        <w:tc>
          <w:tcPr/>
          <w:p>
            <w:pPr>
              <w:pStyle w:val="Compact"/>
              <w:jc w:val="left"/>
            </w:pPr>
            <w:r>
              <w:t xml:space="preserve">Company registration, officeholder details, annual statements, historical name index, deregistration notices</w:t>
            </w:r>
          </w:p>
        </w:tc>
        <w:tc>
          <w:tcPr/>
          <w:p>
            <w:pPr>
              <w:pStyle w:val="Compact"/>
              <w:jc w:val="left"/>
            </w:pPr>
            <w:r>
              <w:t xml:space="preserve">ASIC Connect API, ASIC Registry</w:t>
            </w:r>
          </w:p>
        </w:tc>
      </w:tr>
      <w:tr>
        <w:tc>
          <w:tcPr/>
          <w:p>
            <w:pPr>
              <w:pStyle w:val="Compact"/>
              <w:jc w:val="left"/>
            </w:pPr>
            <w:r>
              <w:rPr>
                <w:bCs/>
                <w:b/>
              </w:rPr>
              <w:t xml:space="preserve">Orbis (Bureau van Dijk / Moody’s)</w:t>
            </w:r>
          </w:p>
        </w:tc>
        <w:tc>
          <w:tcPr/>
          <w:p>
            <w:pPr>
              <w:pStyle w:val="Compact"/>
              <w:jc w:val="left"/>
            </w:pPr>
            <w:r>
              <w:t xml:space="preserve">Global (215+ countries)</w:t>
            </w:r>
          </w:p>
        </w:tc>
        <w:tc>
          <w:tcPr/>
          <w:p>
            <w:pPr>
              <w:pStyle w:val="Compact"/>
              <w:jc w:val="left"/>
            </w:pPr>
            <w:r>
              <w:t xml:space="preserve">400M+ companies</w:t>
            </w:r>
          </w:p>
        </w:tc>
        <w:tc>
          <w:tcPr/>
          <w:p>
            <w:pPr>
              <w:pStyle w:val="Compact"/>
              <w:jc w:val="left"/>
            </w:pPr>
            <w:r>
              <w:t xml:space="preserve">Monthly (quarterly financials)</w:t>
            </w:r>
          </w:p>
        </w:tc>
        <w:tc>
          <w:tcPr/>
          <w:p>
            <w:pPr>
              <w:pStyle w:val="Compact"/>
              <w:jc w:val="left"/>
            </w:pPr>
            <w:r>
              <w:t xml:space="preserve">Standardized financials, ownership structure (UBO), industry classification (NAICS/NACE), credit risk score, M&amp;A history, subsidiary mapping</w:t>
            </w:r>
          </w:p>
        </w:tc>
        <w:tc>
          <w:tcPr/>
          <w:p>
            <w:pPr>
              <w:pStyle w:val="Compact"/>
              <w:jc w:val="left"/>
            </w:pPr>
            <w:r>
              <w:t xml:space="preserve">Orbis API, direct data feed</w:t>
            </w:r>
          </w:p>
        </w:tc>
      </w:tr>
      <w:tr>
        <w:tc>
          <w:tcPr/>
          <w:p>
            <w:pPr>
              <w:pStyle w:val="Compact"/>
              <w:jc w:val="left"/>
            </w:pPr>
            <w:r>
              <w:rPr>
                <w:bCs/>
                <w:b/>
              </w:rPr>
              <w:t xml:space="preserve">OpenCorporates</w:t>
            </w:r>
          </w:p>
        </w:tc>
        <w:tc>
          <w:tcPr/>
          <w:p>
            <w:pPr>
              <w:pStyle w:val="Compact"/>
              <w:jc w:val="left"/>
            </w:pPr>
            <w:r>
              <w:t xml:space="preserve">Global (140+ jurisdictions)</w:t>
            </w:r>
          </w:p>
        </w:tc>
        <w:tc>
          <w:tcPr/>
          <w:p>
            <w:pPr>
              <w:pStyle w:val="Compact"/>
              <w:jc w:val="left"/>
            </w:pPr>
            <w:r>
              <w:t xml:space="preserve">200M+ entities</w:t>
            </w:r>
          </w:p>
        </w:tc>
        <w:tc>
          <w:tcPr/>
          <w:p>
            <w:pPr>
              <w:pStyle w:val="Compact"/>
              <w:jc w:val="left"/>
            </w:pPr>
            <w:r>
              <w:t xml:space="preserve">Daily</w:t>
            </w:r>
          </w:p>
        </w:tc>
        <w:tc>
          <w:tcPr/>
          <w:p>
            <w:pPr>
              <w:pStyle w:val="Compact"/>
              <w:jc w:val="left"/>
            </w:pPr>
            <w:r>
              <w:t xml:space="preserve">Company name, jurisdiction, registration number, incorporation date, status, officers, filings</w:t>
            </w:r>
          </w:p>
        </w:tc>
        <w:tc>
          <w:tcPr/>
          <w:p>
            <w:pPr>
              <w:pStyle w:val="Compact"/>
              <w:jc w:val="left"/>
            </w:pPr>
            <w:r>
              <w:t xml:space="preserve">OpenCorporates API (RESTful)</w:t>
            </w:r>
          </w:p>
        </w:tc>
      </w:tr>
      <w:tr>
        <w:tc>
          <w:tcPr/>
          <w:p>
            <w:pPr>
              <w:pStyle w:val="Compact"/>
              <w:jc w:val="left"/>
            </w:pPr>
            <w:r>
              <w:rPr>
                <w:bCs/>
                <w:b/>
              </w:rPr>
              <w:t xml:space="preserve">LEI Database (GLEIF)</w:t>
            </w:r>
          </w:p>
        </w:tc>
        <w:tc>
          <w:tcPr/>
          <w:p>
            <w:pPr>
              <w:pStyle w:val="Compact"/>
              <w:jc w:val="left"/>
            </w:pPr>
            <w:r>
              <w:t xml:space="preserve">Global</w:t>
            </w:r>
          </w:p>
        </w:tc>
        <w:tc>
          <w:tcPr/>
          <w:p>
            <w:pPr>
              <w:pStyle w:val="Compact"/>
              <w:jc w:val="left"/>
            </w:pPr>
            <w:r>
              <w:t xml:space="preserve">2.5M+ legal entities</w:t>
            </w:r>
          </w:p>
        </w:tc>
        <w:tc>
          <w:tcPr/>
          <w:p>
            <w:pPr>
              <w:pStyle w:val="Compact"/>
              <w:jc w:val="left"/>
            </w:pPr>
            <w:r>
              <w:t xml:space="preserve">Daily (real-time updates)</w:t>
            </w:r>
          </w:p>
        </w:tc>
        <w:tc>
          <w:tcPr/>
          <w:p>
            <w:pPr>
              <w:pStyle w:val="Compact"/>
              <w:jc w:val="left"/>
            </w:pPr>
            <w:r>
              <w:t xml:space="preserve">LEI code, legal name, legal jurisdiction, legal form, registered address, headquarters address, entity status, registration authority, initial registration date, last update date</w:t>
            </w:r>
          </w:p>
        </w:tc>
        <w:tc>
          <w:tcPr/>
          <w:p>
            <w:pPr>
              <w:pStyle w:val="Compact"/>
              <w:jc w:val="left"/>
            </w:pPr>
            <w:r>
              <w:t xml:space="preserve">GLEIF API (Golden Copy, RR-CDF)</w:t>
            </w:r>
          </w:p>
        </w:tc>
      </w:tr>
      <w:tr>
        <w:tc>
          <w:tcPr/>
          <w:p>
            <w:pPr>
              <w:pStyle w:val="Compact"/>
              <w:jc w:val="left"/>
            </w:pPr>
            <w:r>
              <w:rPr>
                <w:bCs/>
                <w:b/>
              </w:rPr>
              <w:t xml:space="preserve">Crunchbase</w:t>
            </w:r>
          </w:p>
        </w:tc>
        <w:tc>
          <w:tcPr/>
          <w:p>
            <w:pPr>
              <w:pStyle w:val="Compact"/>
              <w:jc w:val="left"/>
            </w:pPr>
            <w:r>
              <w:t xml:space="preserve">Global (startup-focused)</w:t>
            </w:r>
          </w:p>
        </w:tc>
        <w:tc>
          <w:tcPr/>
          <w:p>
            <w:pPr>
              <w:pStyle w:val="Compact"/>
              <w:jc w:val="left"/>
            </w:pPr>
            <w:r>
              <w:t xml:space="preserve">3M+ companies</w:t>
            </w:r>
          </w:p>
        </w:tc>
        <w:tc>
          <w:tcPr/>
          <w:p>
            <w:pPr>
              <w:pStyle w:val="Compact"/>
              <w:jc w:val="left"/>
            </w:pPr>
            <w:r>
              <w:t xml:space="preserve">Weekly</w:t>
            </w:r>
          </w:p>
        </w:tc>
        <w:tc>
          <w:tcPr/>
          <w:p>
            <w:pPr>
              <w:pStyle w:val="Compact"/>
              <w:jc w:val="left"/>
            </w:pPr>
            <w:r>
              <w:t xml:space="preserve">Company profile, funding rounds, investors, leadership, industry tags, employee count, acquisitions</w:t>
            </w:r>
          </w:p>
        </w:tc>
        <w:tc>
          <w:tcPr/>
          <w:p>
            <w:pPr>
              <w:pStyle w:val="Compact"/>
              <w:jc w:val="left"/>
            </w:pPr>
            <w:r>
              <w:t xml:space="preserve">Crunchbase Enterprise API</w:t>
            </w:r>
          </w:p>
        </w:tc>
      </w:tr>
      <w:tr>
        <w:tc>
          <w:tcPr/>
          <w:p>
            <w:pPr>
              <w:pStyle w:val="Compact"/>
              <w:jc w:val="left"/>
            </w:pPr>
            <w:r>
              <w:rPr>
                <w:bCs/>
                <w:b/>
              </w:rPr>
              <w:t xml:space="preserve">LinkedIn</w:t>
            </w:r>
          </w:p>
        </w:tc>
        <w:tc>
          <w:tcPr/>
          <w:p>
            <w:pPr>
              <w:pStyle w:val="Compact"/>
              <w:jc w:val="left"/>
            </w:pPr>
            <w:r>
              <w:t xml:space="preserve">Global</w:t>
            </w:r>
          </w:p>
        </w:tc>
        <w:tc>
          <w:tcPr/>
          <w:p>
            <w:pPr>
              <w:pStyle w:val="Compact"/>
              <w:jc w:val="left"/>
            </w:pPr>
            <w:r>
              <w:t xml:space="preserve">67M+ company pages</w:t>
            </w:r>
          </w:p>
        </w:tc>
        <w:tc>
          <w:tcPr/>
          <w:p>
            <w:pPr>
              <w:pStyle w:val="Compact"/>
              <w:jc w:val="left"/>
            </w:pPr>
            <w:r>
              <w:t xml:space="preserve">Weekly</w:t>
            </w:r>
          </w:p>
        </w:tc>
        <w:tc>
          <w:tcPr/>
          <w:p>
            <w:pPr>
              <w:pStyle w:val="Compact"/>
              <w:jc w:val="left"/>
            </w:pPr>
            <w:r>
              <w:t xml:space="preserve">Leadership profiles, employee count trends, job postings, company updates, industry, company size</w:t>
            </w:r>
          </w:p>
        </w:tc>
        <w:tc>
          <w:tcPr/>
          <w:p>
            <w:pPr>
              <w:pStyle w:val="Compact"/>
              <w:jc w:val="left"/>
            </w:pPr>
            <w:r>
              <w:t xml:space="preserve">LinkedIn API, Sales Navigator, public page scraping</w:t>
            </w:r>
          </w:p>
        </w:tc>
      </w:tr>
      <w:tr>
        <w:tc>
          <w:tcPr/>
          <w:p>
            <w:pPr>
              <w:pStyle w:val="Compact"/>
              <w:jc w:val="left"/>
            </w:pPr>
            <w:r>
              <w:rPr>
                <w:bCs/>
                <w:b/>
              </w:rPr>
              <w:t xml:space="preserve">Regulatory Databases (FINRA, FCA, SEC IAPD)</w:t>
            </w:r>
          </w:p>
        </w:tc>
        <w:tc>
          <w:tcPr/>
          <w:p>
            <w:pPr>
              <w:pStyle w:val="Compact"/>
              <w:jc w:val="left"/>
            </w:pPr>
            <w:r>
              <w:t xml:space="preserve">US, UK, EU, APAC</w:t>
            </w:r>
          </w:p>
        </w:tc>
        <w:tc>
          <w:tcPr/>
          <w:p>
            <w:pPr>
              <w:pStyle w:val="Compact"/>
              <w:jc w:val="left"/>
            </w:pPr>
            <w:r>
              <w:t xml:space="preserve">500K+ regulated entities</w:t>
            </w:r>
          </w:p>
        </w:tc>
        <w:tc>
          <w:tcPr/>
          <w:p>
            <w:pPr>
              <w:pStyle w:val="Compact"/>
              <w:jc w:val="left"/>
            </w:pPr>
            <w:r>
              <w:t xml:space="preserve">Weekly</w:t>
            </w:r>
          </w:p>
        </w:tc>
        <w:tc>
          <w:tcPr/>
          <w:p>
            <w:pPr>
              <w:pStyle w:val="Compact"/>
              <w:jc w:val="left"/>
            </w:pPr>
            <w:r>
              <w:t xml:space="preserve">License status, enforcement history, disciplinary actions, regulatory events, authorized activities</w:t>
            </w:r>
          </w:p>
        </w:tc>
        <w:tc>
          <w:tcPr/>
          <w:p>
            <w:pPr>
              <w:pStyle w:val="Compact"/>
              <w:jc w:val="left"/>
            </w:pPr>
            <w:r>
              <w:t xml:space="preserve">FINRA API, FCA API, SEC IAPD API</w:t>
            </w:r>
          </w:p>
        </w:tc>
      </w:tr>
      <w:tr>
        <w:tc>
          <w:tcPr/>
          <w:p>
            <w:pPr>
              <w:pStyle w:val="Compact"/>
              <w:jc w:val="left"/>
            </w:pPr>
            <w:r>
              <w:rPr>
                <w:bCs/>
                <w:b/>
              </w:rPr>
              <w:t xml:space="preserve">OpenSanctions / OFAC</w:t>
            </w:r>
          </w:p>
        </w:tc>
        <w:tc>
          <w:tcPr/>
          <w:p>
            <w:pPr>
              <w:pStyle w:val="Compact"/>
              <w:jc w:val="left"/>
            </w:pPr>
            <w:r>
              <w:t xml:space="preserve">Global</w:t>
            </w:r>
          </w:p>
        </w:tc>
        <w:tc>
          <w:tcPr/>
          <w:p>
            <w:pPr>
              <w:pStyle w:val="Compact"/>
              <w:jc w:val="left"/>
            </w:pPr>
            <w:r>
              <w:t xml:space="preserve">150K+ sanctioned entities</w:t>
            </w:r>
          </w:p>
        </w:tc>
        <w:tc>
          <w:tcPr/>
          <w:p>
            <w:pPr>
              <w:pStyle w:val="Compact"/>
              <w:jc w:val="left"/>
            </w:pPr>
            <w:r>
              <w:t xml:space="preserve">Daily</w:t>
            </w:r>
          </w:p>
        </w:tc>
        <w:tc>
          <w:tcPr/>
          <w:p>
            <w:pPr>
              <w:pStyle w:val="Compact"/>
              <w:jc w:val="left"/>
            </w:pPr>
            <w:r>
              <w:t xml:space="preserve">Sanctions lists, politically exposed persons (PEP), watchlists, enforcement actions</w:t>
            </w:r>
          </w:p>
        </w:tc>
        <w:tc>
          <w:tcPr/>
          <w:p>
            <w:pPr>
              <w:pStyle w:val="Compact"/>
              <w:jc w:val="left"/>
            </w:pPr>
            <w:r>
              <w:t xml:space="preserve">OpenSanctions API, OFAC XML feed</w:t>
            </w:r>
          </w:p>
        </w:tc>
      </w:tr>
      <w:tr>
        <w:tc>
          <w:tcPr/>
          <w:p>
            <w:pPr>
              <w:pStyle w:val="Compact"/>
              <w:jc w:val="left"/>
            </w:pPr>
            <w:r>
              <w:rPr>
                <w:bCs/>
                <w:b/>
              </w:rPr>
              <w:t xml:space="preserve">News Streams (GDELT, Factiva)</w:t>
            </w:r>
          </w:p>
        </w:tc>
        <w:tc>
          <w:tcPr/>
          <w:p>
            <w:pPr>
              <w:pStyle w:val="Compact"/>
              <w:jc w:val="left"/>
            </w:pPr>
            <w:r>
              <w:t xml:space="preserve">Global</w:t>
            </w:r>
          </w:p>
        </w:tc>
        <w:tc>
          <w:tcPr/>
          <w:p>
            <w:pPr>
              <w:pStyle w:val="Compact"/>
              <w:jc w:val="left"/>
            </w:pPr>
            <w:r>
              <w:t xml:space="preserve">All profiled entities</w:t>
            </w:r>
          </w:p>
        </w:tc>
        <w:tc>
          <w:tcPr/>
          <w:p>
            <w:pPr>
              <w:pStyle w:val="Compact"/>
              <w:jc w:val="left"/>
            </w:pPr>
            <w:r>
              <w:t xml:space="preserve">Real-time (hourly)</w:t>
            </w:r>
          </w:p>
        </w:tc>
        <w:tc>
          <w:tcPr/>
          <w:p>
            <w:pPr>
              <w:pStyle w:val="Compact"/>
              <w:jc w:val="left"/>
            </w:pPr>
            <w:r>
              <w:t xml:space="preserve">Entity mentions, sentiment scores, topic classification, event detection, emerging risk signals</w:t>
            </w:r>
          </w:p>
        </w:tc>
        <w:tc>
          <w:tcPr/>
          <w:p>
            <w:pPr>
              <w:pStyle w:val="Compact"/>
              <w:jc w:val="left"/>
            </w:pPr>
            <w:r>
              <w:t xml:space="preserve">GDELT API, Factiva API, news RSS feeds</w:t>
            </w:r>
          </w:p>
        </w:tc>
      </w:tr>
      <w:tr>
        <w:tc>
          <w:tcPr/>
          <w:p>
            <w:pPr>
              <w:pStyle w:val="Compact"/>
              <w:jc w:val="left"/>
            </w:pPr>
            <w:r>
              <w:rPr>
                <w:bCs/>
                <w:b/>
              </w:rPr>
              <w:t xml:space="preserve">Credit Bureaus / D&amp;B</w:t>
            </w:r>
          </w:p>
        </w:tc>
        <w:tc>
          <w:tcPr/>
          <w:p>
            <w:pPr>
              <w:pStyle w:val="Compact"/>
              <w:jc w:val="left"/>
            </w:pPr>
            <w:r>
              <w:t xml:space="preserve">Global (varies by jurisdiction)</w:t>
            </w:r>
          </w:p>
        </w:tc>
        <w:tc>
          <w:tcPr/>
          <w:p>
            <w:pPr>
              <w:pStyle w:val="Compact"/>
              <w:jc w:val="left"/>
            </w:pPr>
            <w:r>
              <w:t xml:space="preserve">300M+ companies</w:t>
            </w:r>
          </w:p>
        </w:tc>
        <w:tc>
          <w:tcPr/>
          <w:p>
            <w:pPr>
              <w:pStyle w:val="Compact"/>
              <w:jc w:val="left"/>
            </w:pPr>
            <w:r>
              <w:t xml:space="preserve">Monthly</w:t>
            </w:r>
          </w:p>
        </w:tc>
        <w:tc>
          <w:tcPr/>
          <w:p>
            <w:pPr>
              <w:pStyle w:val="Compact"/>
              <w:jc w:val="left"/>
            </w:pPr>
            <w:r>
              <w:t xml:space="preserve">Credit scores, payment history, financial stress indicators, bankruptcy risk</w:t>
            </w:r>
          </w:p>
        </w:tc>
        <w:tc>
          <w:tcPr/>
          <w:p>
            <w:pPr>
              <w:pStyle w:val="Compact"/>
              <w:jc w:val="left"/>
            </w:pPr>
            <w:r>
              <w:t xml:space="preserve">D&amp;B Direct API, Experian API, Equifax API</w:t>
            </w:r>
          </w:p>
        </w:tc>
      </w:tr>
      <w:tr>
        <w:tc>
          <w:tcPr/>
          <w:p>
            <w:pPr>
              <w:pStyle w:val="Compact"/>
              <w:jc w:val="left"/>
            </w:pPr>
            <w:r>
              <w:rPr>
                <w:bCs/>
                <w:b/>
              </w:rPr>
              <w:t xml:space="preserve">Job Postings (LinkedIn, Indeed)</w:t>
            </w:r>
          </w:p>
        </w:tc>
        <w:tc>
          <w:tcPr/>
          <w:p>
            <w:pPr>
              <w:pStyle w:val="Compact"/>
              <w:jc w:val="left"/>
            </w:pPr>
            <w:r>
              <w:t xml:space="preserve">Global</w:t>
            </w:r>
          </w:p>
        </w:tc>
        <w:tc>
          <w:tcPr/>
          <w:p>
            <w:pPr>
              <w:pStyle w:val="Compact"/>
              <w:jc w:val="left"/>
            </w:pPr>
            <w:r>
              <w:t xml:space="preserve">All profiled entities</w:t>
            </w:r>
          </w:p>
        </w:tc>
        <w:tc>
          <w:tcPr/>
          <w:p>
            <w:pPr>
              <w:pStyle w:val="Compact"/>
              <w:jc w:val="left"/>
            </w:pPr>
            <w:r>
              <w:t xml:space="preserve">Daily</w:t>
            </w:r>
          </w:p>
        </w:tc>
        <w:tc>
          <w:tcPr/>
          <w:p>
            <w:pPr>
              <w:pStyle w:val="Compact"/>
              <w:jc w:val="left"/>
            </w:pPr>
            <w:r>
              <w:t xml:space="preserve">Job titles, hiring velocity, organizational expansion/contraction, skill requirements, compliance role openings</w:t>
            </w:r>
          </w:p>
        </w:tc>
        <w:tc>
          <w:tcPr/>
          <w:p>
            <w:pPr>
              <w:pStyle w:val="Compact"/>
              <w:jc w:val="left"/>
            </w:pPr>
            <w:r>
              <w:t xml:space="preserve">LinkedIn Jobs API, Indeed API, web scraping</w:t>
            </w:r>
          </w:p>
        </w:tc>
      </w:tr>
      <w:tr>
        <w:tc>
          <w:tcPr/>
          <w:p>
            <w:pPr>
              <w:pStyle w:val="Compact"/>
              <w:jc w:val="left"/>
            </w:pPr>
            <w:r>
              <w:rPr>
                <w:bCs/>
                <w:b/>
              </w:rPr>
              <w:t xml:space="preserve">Court Records / Litigation Databases</w:t>
            </w:r>
          </w:p>
        </w:tc>
        <w:tc>
          <w:tcPr/>
          <w:p>
            <w:pPr>
              <w:pStyle w:val="Compact"/>
              <w:jc w:val="left"/>
            </w:pPr>
            <w:r>
              <w:t xml:space="preserve">Global (major jurisdictions)</w:t>
            </w:r>
          </w:p>
        </w:tc>
        <w:tc>
          <w:tcPr/>
          <w:p>
            <w:pPr>
              <w:pStyle w:val="Compact"/>
              <w:jc w:val="left"/>
            </w:pPr>
            <w:r>
              <w:t xml:space="preserve">All profiled entities</w:t>
            </w:r>
          </w:p>
        </w:tc>
        <w:tc>
          <w:tcPr/>
          <w:p>
            <w:pPr>
              <w:pStyle w:val="Compact"/>
              <w:jc w:val="left"/>
            </w:pPr>
            <w:r>
              <w:t xml:space="preserve">Weekly</w:t>
            </w:r>
          </w:p>
        </w:tc>
        <w:tc>
          <w:tcPr/>
          <w:p>
            <w:pPr>
              <w:pStyle w:val="Compact"/>
              <w:jc w:val="left"/>
            </w:pPr>
            <w:r>
              <w:t xml:space="preserve">Lawsuits, judgments, regulatory proceedings, bankruptcy filings, lien records</w:t>
            </w:r>
          </w:p>
        </w:tc>
        <w:tc>
          <w:tcPr/>
          <w:p>
            <w:pPr>
              <w:pStyle w:val="Compact"/>
              <w:jc w:val="left"/>
            </w:pPr>
            <w:r>
              <w:t xml:space="preserve">CourtListener API, PACER, national court APIs</w:t>
            </w:r>
          </w:p>
        </w:tc>
      </w:tr>
    </w:tbl>
    <w:p>
      <w:r>
        <w:pict>
          <v:rect style="width:0;height:1.5pt" o:hralign="center" o:hrstd="t" o:hr="t"/>
        </w:pict>
      </w:r>
    </w:p>
    <w:p>
      <w:pPr>
        <w:pStyle w:val="FirstParagraph"/>
      </w:pPr>
      <w:r>
        <w:rPr>
          <w:iCs/>
          <w:i/>
        </w:rPr>
        <w:t xml:space="preserve">End of Sections 1–2. Sections 3–5 (The Monte Carlo Intelligence Engine, Platinum Move Generation, and Global Deployment Strategy) follow in subsequent documents.</w:t>
      </w:r>
    </w:p>
    <w:p>
      <w:pPr>
        <w:pStyle w:val="BodyText"/>
      </w:pPr>
      <w:r>
        <w:rPr>
          <w:bCs/>
          <w:b/>
        </w:rPr>
        <w:t xml:space="preserve">Document Version</w:t>
      </w:r>
      <w:r>
        <w:t xml:space="preserve">: 1.0 |</w:t>
      </w:r>
      <w:r>
        <w:t xml:space="preserve"> </w:t>
      </w:r>
      <w:r>
        <w:rPr>
          <w:bCs/>
          <w:b/>
        </w:rPr>
        <w:t xml:space="preserve">Word Count</w:t>
      </w:r>
      <w:r>
        <w:t xml:space="preserve">: ~3,200 |</w:t>
      </w:r>
      <w:r>
        <w:t xml:space="preserve"> </w:t>
      </w:r>
      <w:r>
        <w:rPr>
          <w:bCs/>
          <w:b/>
        </w:rPr>
        <w:t xml:space="preserve">Tables</w:t>
      </w:r>
      <w:r>
        <w:t xml:space="preserve">: 2 |</w:t>
      </w:r>
      <w:r>
        <w:t xml:space="preserve"> </w:t>
      </w:r>
      <w:r>
        <w:rPr>
          <w:bCs/>
          <w:b/>
        </w:rPr>
        <w:t xml:space="preserve">Next</w:t>
      </w:r>
      <w:r>
        <w:t xml:space="preserve">: Section 3 — The Monte Carlo Intelligence Engine</w:t>
      </w:r>
    </w:p>
    <w:p>
      <w:r>
        <w:pict>
          <v:rect style="width:0;height:1.5pt" o:hralign="center" o:hrstd="t" o:hr="t"/>
        </w:pict>
      </w:r>
    </w:p>
    <w:bookmarkEnd w:id="46"/>
    <w:bookmarkStart w:id="59" w:name="X0aad2a919586395d5ebf6f7231dcdec777df851"/>
    <w:p>
      <w:pPr>
        <w:pStyle w:val="Heading2"/>
      </w:pPr>
      <w:r>
        <w:t xml:space="preserve">SECTION 3: The Scenario Simulation Engine — Running 1000+ Futures Simultaneously</w:t>
      </w:r>
    </w:p>
    <w:p>
      <w:pPr>
        <w:pStyle w:val="FirstParagraph"/>
      </w:pPr>
      <w:r>
        <w:rPr>
          <w:iCs/>
          <w:i/>
        </w:rPr>
        <w:t xml:space="preserve">“</w:t>
      </w:r>
      <w:r>
        <w:rPr>
          <w:iCs/>
          <w:i/>
        </w:rPr>
        <w:t xml:space="preserve">The future is not a single thread. It is a tapestry of 1,000 interwoven possibilities — and Sovereign Lens reads every strand before dawn.</w:t>
      </w:r>
      <w:r>
        <w:rPr>
          <w:iCs/>
          <w:i/>
        </w:rPr>
        <w:t xml:space="preserve">”</w:t>
      </w:r>
    </w:p>
    <w:p>
      <w:pPr>
        <w:pStyle w:val="BodyText"/>
      </w:pPr>
      <w:r>
        <w:t xml:space="preserve">The Scenario Simulation Engine is the beating heart of Sovereign Lens: a massively parallel computational oracle that runs thousands of futures for every entity in the digital twin simultaneously. While traditional compliance tools react to yesterday’s regulations and conventional BI platforms extrapolate from last quarter’s trends, Sovereign Lens constructs, simulates, and scores complete alternate realities — regulatory, market, operational, financial, and political — at industrial scale. The result is a probability landscape: a high-resolution map of what</w:t>
      </w:r>
      <w:r>
        <w:t xml:space="preserve"> </w:t>
      </w:r>
      <w:r>
        <w:rPr>
          <w:iCs/>
          <w:i/>
        </w:rPr>
        <w:t xml:space="preserve">can</w:t>
      </w:r>
      <w:r>
        <w:t xml:space="preserve"> </w:t>
      </w:r>
      <w:r>
        <w:t xml:space="preserve">happen, what</w:t>
      </w:r>
      <w:r>
        <w:t xml:space="preserve"> </w:t>
      </w:r>
      <w:r>
        <w:rPr>
          <w:iCs/>
          <w:i/>
        </w:rPr>
        <w:t xml:space="preserve">will</w:t>
      </w:r>
      <w:r>
        <w:t xml:space="preserve"> </w:t>
      </w:r>
      <w:r>
        <w:t xml:space="preserve">likely happen, and what</w:t>
      </w:r>
      <w:r>
        <w:t xml:space="preserve"> </w:t>
      </w:r>
      <w:r>
        <w:rPr>
          <w:iCs/>
          <w:i/>
        </w:rPr>
        <w:t xml:space="preserve">should</w:t>
      </w:r>
      <w:r>
        <w:t xml:space="preserve"> </w:t>
      </w:r>
      <w:r>
        <w:t xml:space="preserve">be done about it.</w:t>
      </w:r>
    </w:p>
    <w:bookmarkStart w:id="50" w:name="monte-carlo-simulation-architecture"/>
    <w:p>
      <w:pPr>
        <w:pStyle w:val="Heading3"/>
      </w:pPr>
      <w:r>
        <w:t xml:space="preserve">3.1 Monte Carlo Simulation Architecture</w:t>
      </w:r>
    </w:p>
    <w:bookmarkStart w:id="47" w:name="the-simulation-grid"/>
    <w:p>
      <w:pPr>
        <w:pStyle w:val="Heading4"/>
      </w:pPr>
      <w:r>
        <w:t xml:space="preserve">3.1.1 The Simulation Grid</w:t>
      </w:r>
    </w:p>
    <w:p>
      <w:pPr>
        <w:pStyle w:val="FirstParagraph"/>
      </w:pPr>
      <w:r>
        <w:t xml:space="preserve">For every entity tracked by Sovereign Lens, the engine constructs a</w:t>
      </w:r>
      <w:r>
        <w:t xml:space="preserve"> </w:t>
      </w:r>
      <w:r>
        <w:rPr>
          <w:bCs/>
          <w:b/>
        </w:rPr>
        <w:t xml:space="preserve">simulation grid</w:t>
      </w:r>
      <w:r>
        <w:t xml:space="preserve"> </w:t>
      </w:r>
      <w:r>
        <w:t xml:space="preserve">of 1,000+ independent scenarios across five orthogonal dimensions. This is not a single forecast with error bars — it is a deliberate explosion of possibility space.</w:t>
      </w:r>
    </w:p>
    <w:p>
      <w:pPr>
        <w:pStyle w:val="BodyText"/>
      </w:pPr>
      <w:r>
        <w:rPr>
          <w:bCs/>
          <w:b/>
        </w:rPr>
        <w:t xml:space="preserve">Regulatory.</w:t>
      </w:r>
      <w:r>
        <w:t xml:space="preserve"> </w:t>
      </w:r>
      <w:r>
        <w:t xml:space="preserve">Every enforcement action, guidance update, and draft regulation feeds into this dimension. When the EBA publishes a DORA consultation, Sovereign Lens generates scenarios from</w:t>
      </w:r>
      <w:r>
        <w:t xml:space="preserve"> </w:t>
      </w:r>
      <w:r>
        <w:t xml:space="preserve">“</w:t>
      </w:r>
      <w:r>
        <w:t xml:space="preserve">adopted verbatim</w:t>
      </w:r>
      <w:r>
        <w:t xml:space="preserve">”</w:t>
      </w:r>
      <w:r>
        <w:t xml:space="preserve"> </w:t>
      </w:r>
      <w:r>
        <w:t xml:space="preserve">to</w:t>
      </w:r>
      <w:r>
        <w:t xml:space="preserve"> </w:t>
      </w:r>
      <w:r>
        <w:t xml:space="preserve">“</w:t>
      </w:r>
      <w:r>
        <w:t xml:space="preserve">watered down in trilogue</w:t>
      </w:r>
      <w:r>
        <w:t xml:space="preserve">”</w:t>
      </w:r>
      <w:r>
        <w:t xml:space="preserve"> </w:t>
      </w:r>
      <w:r>
        <w:t xml:space="preserve">to</w:t>
      </w:r>
      <w:r>
        <w:t xml:space="preserve"> </w:t>
      </w:r>
      <w:r>
        <w:t xml:space="preserve">“</w:t>
      </w:r>
      <w:r>
        <w:t xml:space="preserve">delayed six months,</w:t>
      </w:r>
      <w:r>
        <w:t xml:space="preserve">”</w:t>
      </w:r>
      <w:r>
        <w:t xml:space="preserve"> </w:t>
      </w:r>
      <w:r>
        <w:t xml:space="preserve">each carrying probability weights derived from twenty years of EU legislative pattern analysis</w:t>
      </w:r>
      <w:r>
        <w:t xml:space="preserve"> </w:t>
      </w:r>
      <w:r>
        <w:rPr>
          <w:vertAlign w:val="superscript"/>
        </w:rPr>
        <w:footnoteReference w:id="1"/>
      </w:r>
      <w:r>
        <w:t xml:space="preserve">.</w:t>
      </w:r>
    </w:p>
    <w:p>
      <w:pPr>
        <w:pStyle w:val="BodyText"/>
      </w:pPr>
      <w:r>
        <w:rPr>
          <w:bCs/>
          <w:b/>
        </w:rPr>
        <w:t xml:space="preserve">Market.</w:t>
      </w:r>
      <w:r>
        <w:t xml:space="preserve"> </w:t>
      </w:r>
      <w:r>
        <w:t xml:space="preserve">ECB rate decisions, EUR/USD volatility, credit spreads, M&amp;A activity, and competitor dynamics combine across 290+ market data feeds through CSOAI’s MCP server network — from Bloomberg terminals to fintech job board scraping for strategic pivot signals</w:t>
      </w:r>
      <w:r>
        <w:t xml:space="preserve"> </w:t>
      </w:r>
      <w:r>
        <w:rPr>
          <w:vertAlign w:val="superscript"/>
        </w:rPr>
        <w:footnoteReference w:id="2"/>
      </w:r>
      <w:r>
        <w:t xml:space="preserve">.</w:t>
      </w:r>
    </w:p>
    <w:p>
      <w:pPr>
        <w:pStyle w:val="BodyText"/>
      </w:pPr>
      <w:r>
        <w:rPr>
          <w:bCs/>
          <w:b/>
        </w:rPr>
        <w:t xml:space="preserve">Operational.</w:t>
      </w:r>
      <w:r>
        <w:t xml:space="preserve"> </w:t>
      </w:r>
      <w:r>
        <w:t xml:space="preserve">Cyber attack patterns (ENISA threat intelligence, TIBER-EU frameworks), system failure probabilities (EBA ICT risk data), and staff turnover dynamics (LinkedIn attrition correlated with Glassdoor sentiment) populate this dimension.</w:t>
      </w:r>
    </w:p>
    <w:p>
      <w:pPr>
        <w:pStyle w:val="BodyText"/>
      </w:pPr>
      <w:r>
        <w:rPr>
          <w:bCs/>
          <w:b/>
        </w:rPr>
        <w:t xml:space="preserve">Financial.</w:t>
      </w:r>
      <w:r>
        <w:t xml:space="preserve"> </w:t>
      </w:r>
      <w:r>
        <w:t xml:space="preserve">Revenue recognition changes, funding rounds, credit rating migrations, and capital ratio shifts are derived from XBRL-structured reports, PDF annual report extraction via vision-language models, and ECB supervisory disclosure templates</w:t>
      </w:r>
      <w:r>
        <w:t xml:space="preserve"> </w:t>
      </w:r>
      <w:r>
        <w:rPr>
          <w:vertAlign w:val="superscript"/>
        </w:rPr>
        <w:footnoteReference w:id="3"/>
      </w:r>
      <w:r>
        <w:t xml:space="preserve">.</w:t>
      </w:r>
    </w:p>
    <w:p>
      <w:pPr>
        <w:pStyle w:val="BodyText"/>
      </w:pPr>
      <w:r>
        <w:rPr>
          <w:bCs/>
          <w:b/>
        </w:rPr>
        <w:t xml:space="preserve">Political.</w:t>
      </w:r>
      <w:r>
        <w:t xml:space="preserve"> </w:t>
      </w:r>
      <w:r>
        <w:t xml:space="preserve">Elections, coalition formations, trade agreements, and geopolitical shocks are modeled through parliamentary transcript sentiment analysis and policy transmission functions.</w:t>
      </w:r>
    </w:p>
    <w:p>
      <w:pPr>
        <w:pStyle w:val="BodyText"/>
      </w:pPr>
      <w:r>
        <w:t xml:space="preserve">For one entity: 1,000 scenarios × 5 dimensions =</w:t>
      </w:r>
      <w:r>
        <w:t xml:space="preserve"> </w:t>
      </w:r>
      <w:r>
        <w:rPr>
          <w:bCs/>
          <w:b/>
        </w:rPr>
        <w:t xml:space="preserve">5,000 data points</w:t>
      </w:r>
      <w:r>
        <w:t xml:space="preserve">. For 10,000+ entities:</w:t>
      </w:r>
      <w:r>
        <w:t xml:space="preserve"> </w:t>
      </w:r>
      <w:r>
        <w:rPr>
          <w:bCs/>
          <w:b/>
        </w:rPr>
        <w:t xml:space="preserve">50 million data points</w:t>
      </w:r>
      <w:r>
        <w:t xml:space="preserve"> </w:t>
      </w:r>
      <w:r>
        <w:t xml:space="preserve">refreshed daily. This is</w:t>
      </w:r>
      <w:r>
        <w:t xml:space="preserve"> </w:t>
      </w:r>
      <w:r>
        <w:rPr>
          <w:bCs/>
          <w:b/>
        </w:rPr>
        <w:t xml:space="preserve">Massive Simulated Data</w:t>
      </w:r>
      <w:r>
        <w:t xml:space="preserve">: synthetic futures generated at a scale that makes traditional analytics look like counting on fingers.</w:t>
      </w:r>
    </w:p>
    <w:bookmarkEnd w:id="47"/>
    <w:bookmarkStart w:id="48" w:name="parallel-execution"/>
    <w:p>
      <w:pPr>
        <w:pStyle w:val="Heading4"/>
      </w:pPr>
      <w:r>
        <w:t xml:space="preserve">3.1.2 Parallel Execution</w:t>
      </w:r>
    </w:p>
    <w:p>
      <w:pPr>
        <w:pStyle w:val="FirstParagraph"/>
      </w:pPr>
      <w:r>
        <w:t xml:space="preserve">Three-layer parallelism handles the computational load of 10 million daily simulations:</w:t>
      </w:r>
    </w:p>
    <w:p>
      <w:pPr>
        <w:pStyle w:val="BodyText"/>
      </w:pPr>
      <w:r>
        <w:rPr>
          <w:bCs/>
          <w:b/>
        </w:rPr>
        <w:t xml:space="preserve">Layer 1: WebGPU Compute Shaders.</w:t>
      </w:r>
      <w:r>
        <w:t xml:space="preserve"> </w:t>
      </w:r>
      <w:r>
        <w:t xml:space="preserve">Agent-state calculations — probability distributions, outcome scoring, confidence intervals — deploy WebGPU compute shaders proven at 37 million particles @ 60fps in production</w:t>
      </w:r>
      <w:r>
        <w:t xml:space="preserve"> </w:t>
      </w:r>
      <w:r>
        <w:rPr>
          <w:vertAlign w:val="superscript"/>
        </w:rPr>
        <w:footnoteReference w:id="4"/>
      </w:r>
      <w:r>
        <w:t xml:space="preserve">. Each</w:t>
      </w:r>
      <w:r>
        <w:t xml:space="preserve"> </w:t>
      </w:r>
      <w:r>
        <w:t xml:space="preserve">“</w:t>
      </w:r>
      <w:r>
        <w:t xml:space="preserve">particle</w:t>
      </w:r>
      <w:r>
        <w:t xml:space="preserve">”</w:t>
      </w:r>
      <w:r>
        <w:t xml:space="preserve"> </w:t>
      </w:r>
      <w:r>
        <w:t xml:space="preserve">is an agent’s probability vector; physics interactions become market and regulatory dynamics.</w:t>
      </w:r>
    </w:p>
    <w:p>
      <w:pPr>
        <w:pStyle w:val="BodyText"/>
      </w:pPr>
      <w:r>
        <w:rPr>
          <w:bCs/>
          <w:b/>
        </w:rPr>
        <w:t xml:space="preserve">Layer 2: Distributed Kubernetes Clusters.</w:t>
      </w:r>
      <w:r>
        <w:t xml:space="preserve"> </w:t>
      </w:r>
      <w:r>
        <w:t xml:space="preserve">Agent-based model steps, multi-entity interaction resolution, and cascading effect computation run on auto-scaling K8s clusters orchestrated by the CSOAI Control Plane. Pods spin up across AWS, GCP, and on-premise infrastructure, with simulation batches distributed via Apache Kafka topic partitioning. A full overnight batch of 10M simulations completes in</w:t>
      </w:r>
      <w:r>
        <w:t xml:space="preserve"> </w:t>
      </w:r>
      <w:r>
        <w:rPr>
          <w:bCs/>
          <w:b/>
        </w:rPr>
        <w:t xml:space="preserve">under 6 hours</w:t>
      </w:r>
      <w:r>
        <w:t xml:space="preserve">.</w:t>
      </w:r>
    </w:p>
    <w:p>
      <w:pPr>
        <w:pStyle w:val="BodyText"/>
      </w:pPr>
      <w:r>
        <w:rPr>
          <w:bCs/>
          <w:b/>
        </w:rPr>
        <w:t xml:space="preserve">Layer 3: Qwen3-4B Local Inference.</w:t>
      </w:r>
      <w:r>
        <w:t xml:space="preserve"> </w:t>
      </w:r>
      <w:r>
        <w:t xml:space="preserve">For classified or air-gapped deployments, Qwen3-4B runs on local hardware — achieving GPT-4-level reasoning at 4B parameters, enabling sovereign simulation without cloud dependency</w:t>
      </w:r>
      <w:r>
        <w:t xml:space="preserve"> </w:t>
      </w:r>
      <w:r>
        <w:rPr>
          <w:vertAlign w:val="superscript"/>
        </w:rPr>
        <w:footnoteReference w:id="5"/>
      </w:r>
      <w:r>
        <w:t xml:space="preserve">.</w:t>
      </w:r>
    </w:p>
    <w:bookmarkEnd w:id="48"/>
    <w:bookmarkStart w:id="49" w:name="agent-based-modeling-abm"/>
    <w:p>
      <w:pPr>
        <w:pStyle w:val="Heading4"/>
      </w:pPr>
      <w:r>
        <w:t xml:space="preserve">3.1.3 Agent-Based Modeling (ABM)</w:t>
      </w:r>
    </w:p>
    <w:p>
      <w:pPr>
        <w:pStyle w:val="FirstParagraph"/>
      </w:pPr>
      <w:r>
        <w:t xml:space="preserve">Traditional Monte Carlo treats variables as independent random draws. In reality, entities</w:t>
      </w:r>
      <w:r>
        <w:t xml:space="preserve"> </w:t>
      </w:r>
      <w:r>
        <w:rPr>
          <w:bCs/>
          <w:b/>
        </w:rPr>
        <w:t xml:space="preserve">interact</w:t>
      </w:r>
      <w:r>
        <w:t xml:space="preserve">. Sovereign Lens captures this through</w:t>
      </w:r>
      <w:r>
        <w:t xml:space="preserve"> </w:t>
      </w:r>
      <w:r>
        <w:rPr>
          <w:bCs/>
          <w:b/>
        </w:rPr>
        <w:t xml:space="preserve">Agent-Based Modeling (ABM)</w:t>
      </w:r>
      <w:r>
        <w:t xml:space="preserve">, where every entity is an autonomous agent with reactive behaviors.</w:t>
      </w:r>
    </w:p>
    <w:p>
      <w:pPr>
        <w:pStyle w:val="BodyText"/>
      </w:pPr>
      <w:r>
        <w:t xml:space="preserve">When Company A (€200B) acquires Company B (€2B fintech), the ABM engine propagates: Company A’s capital ratio drops and regulatory scrutiny intensifies (BaFin merger control); Company C (€50B regional bank) loses its digital lead and accelerates M&amp;A, bidding up fintech valuations; BaFin allocates supervisory resources to the merger review, slowing other approvals; the EBA notes BigTech concentration trends and accelerates guidance. This is</w:t>
      </w:r>
      <w:r>
        <w:t xml:space="preserve"> </w:t>
      </w:r>
      <w:r>
        <w:rPr>
          <w:bCs/>
          <w:b/>
        </w:rPr>
        <w:t xml:space="preserve">emergent behavior from simple rules</w:t>
      </w:r>
      <w:r>
        <w:t xml:space="preserve"> </w:t>
      </w:r>
      <w:r>
        <w:t xml:space="preserve">— the ABM encodes entity-specific behavioral rules and lets the system evolve.</w:t>
      </w:r>
    </w:p>
    <w:bookmarkEnd w:id="49"/>
    <w:bookmarkEnd w:id="50"/>
    <w:bookmarkStart w:id="54" w:name="the-csoai-simulation-protocol"/>
    <w:p>
      <w:pPr>
        <w:pStyle w:val="Heading3"/>
      </w:pPr>
      <w:r>
        <w:t xml:space="preserve">3.2 The CSOAI Simulation Protocol</w:t>
      </w:r>
    </w:p>
    <w:bookmarkStart w:id="51" w:name="spawn-assess-simulate-predict-recommend"/>
    <w:p>
      <w:pPr>
        <w:pStyle w:val="Heading4"/>
      </w:pPr>
      <w:r>
        <w:t xml:space="preserve">3.2.1 Spawn → Assess → Simulate → Predict → Recommend</w:t>
      </w:r>
    </w:p>
    <w:p>
      <w:pPr>
        <w:pStyle w:val="FirstParagraph"/>
      </w:pPr>
      <w:r>
        <w:t xml:space="preserve">Every entity undergoes a rigorous five-step protocol on a 24-hour cycle:</w:t>
      </w:r>
    </w:p>
    <w:p>
      <w:pPr>
        <w:pStyle w:val="BodyText"/>
      </w:pPr>
      <w:r>
        <w:rPr>
          <w:bCs/>
          <w:b/>
        </w:rPr>
        <w:t xml:space="preserve">Spawn.</w:t>
      </w:r>
      <w:r>
        <w:t xml:space="preserve"> </w:t>
      </w:r>
      <w:r>
        <w:t xml:space="preserve">The agent is created or updated with the latest structural data: organizational hierarchy, financial position, regulatory status, and strategic posture. The agent is signed with an Ed25519 attestation key for tamper-evident audit trails.</w:t>
      </w:r>
    </w:p>
    <w:p>
      <w:pPr>
        <w:pStyle w:val="BodyText"/>
      </w:pPr>
      <w:r>
        <w:rPr>
          <w:bCs/>
          <w:b/>
        </w:rPr>
        <w:t xml:space="preserve">Assess.</w:t>
      </w:r>
      <w:r>
        <w:t xml:space="preserve"> </w:t>
      </w:r>
      <w:r>
        <w:t xml:space="preserve">The BFT Council — five independent LLM agents in Byzantine Fault Tolerant consensus — scores the entity across CSOAI’s 13-framework governance taxonomy (DORA, NIS2, CER, GDPR, MiCA, TIBER-EU, CRD VI, Solvency II, AML5, SFDR, PSD3, DORA 2.0 draft, ECB SSM expectations). Agents must agree within 5% tolerance; disagreements trigger recursive debate rounds</w:t>
      </w:r>
      <w:r>
        <w:t xml:space="preserve"> </w:t>
      </w:r>
      <w:r>
        <w:rPr>
          <w:vertAlign w:val="superscript"/>
        </w:rPr>
        <w:footnoteReference w:id="6"/>
      </w:r>
      <w:r>
        <w:t xml:space="preserve">.</w:t>
      </w:r>
    </w:p>
    <w:p>
      <w:pPr>
        <w:pStyle w:val="BodyText"/>
      </w:pPr>
      <w:r>
        <w:rPr>
          <w:bCs/>
          <w:b/>
        </w:rPr>
        <w:t xml:space="preserve">Simulate.</w:t>
      </w:r>
      <w:r>
        <w:t xml:space="preserve"> </w:t>
      </w:r>
      <w:r>
        <w:t xml:space="preserve">The full 1,000-scenario grid executes across all five dimensions with ABM interaction resolution and second-order cascade propagation.</w:t>
      </w:r>
    </w:p>
    <w:p>
      <w:pPr>
        <w:pStyle w:val="BodyText"/>
      </w:pPr>
      <w:r>
        <w:rPr>
          <w:bCs/>
          <w:b/>
        </w:rPr>
        <w:t xml:space="preserve">Predict.</w:t>
      </w:r>
      <w:r>
        <w:t xml:space="preserve"> </w:t>
      </w:r>
      <w:r>
        <w:t xml:space="preserve">Results aggregate into probability distributions with confidence intervals — not because an analyst said so, but because 780 of 1,000 simulated futures produced that outcome.</w:t>
      </w:r>
    </w:p>
    <w:p>
      <w:pPr>
        <w:pStyle w:val="BodyText"/>
      </w:pPr>
      <w:r>
        <w:rPr>
          <w:bCs/>
          <w:b/>
        </w:rPr>
        <w:t xml:space="preserve">Recommend.</w:t>
      </w:r>
      <w:r>
        <w:t xml:space="preserve"> </w:t>
      </w:r>
      <w:r>
        <w:t xml:space="preserve">Top-scoring actions are extracted, ranked by expected value, and formatted into Platinum Moves.</w:t>
      </w:r>
    </w:p>
    <w:bookmarkEnd w:id="51"/>
    <w:bookmarkStart w:id="52" w:name="cascading-effects"/>
    <w:p>
      <w:pPr>
        <w:pStyle w:val="Heading4"/>
      </w:pPr>
      <w:r>
        <w:t xml:space="preserve">3.2.2 Cascading Effects</w:t>
      </w:r>
    </w:p>
    <w:p>
      <w:pPr>
        <w:pStyle w:val="FirstParagraph"/>
      </w:pPr>
      <w:r>
        <w:t xml:space="preserve">When BaFin mandates AI governance in DORA by Q3 2026, Sovereign Lens re-simulates the entire ecosystem. First order: 500 German banks need AI governance expertise (€2.5M compliance cost each). Second order: consultant demand surges, Big Four raise prices 30-40%, smaller banks face procurement bottlenecks. Third order: larger banks acquire smaller ones unable to afford compliance, concentrating systemic risk. BaFin’s mandate, intended to reduce risk, inadvertently increases concentration risk — and Sovereign Lens flags this in real time, generating a Platinum Move for BaFin itself.</w:t>
      </w:r>
    </w:p>
    <w:bookmarkEnd w:id="52"/>
    <w:bookmarkStart w:id="53" w:name="learning-from-reality"/>
    <w:p>
      <w:pPr>
        <w:pStyle w:val="Heading4"/>
      </w:pPr>
      <w:r>
        <w:t xml:space="preserve">3.2.3 Learning from Reality</w:t>
      </w:r>
    </w:p>
    <w:p>
      <w:pPr>
        <w:pStyle w:val="FirstParagraph"/>
      </w:pPr>
      <w:r>
        <w:t xml:space="preserve">Every morning, predictions are compared against real-world outcomes. Errors feed into</w:t>
      </w:r>
      <w:r>
        <w:t xml:space="preserve"> </w:t>
      </w:r>
      <w:r>
        <w:rPr>
          <w:bCs/>
          <w:b/>
        </w:rPr>
        <w:t xml:space="preserve">MARFT</w:t>
      </w:r>
      <w:r>
        <w:t xml:space="preserve"> </w:t>
      </w:r>
      <w:r>
        <w:t xml:space="preserve">(Multi-Agent Reinforcement Fine-Tuning), which achieved</w:t>
      </w:r>
      <w:r>
        <w:t xml:space="preserve"> </w:t>
      </w:r>
      <w:r>
        <w:rPr>
          <w:bCs/>
          <w:b/>
        </w:rPr>
        <w:t xml:space="preserve">+14.75% coding improvement</w:t>
      </w:r>
      <w:r>
        <w:t xml:space="preserve"> </w:t>
      </w:r>
      <w:r>
        <w:t xml:space="preserve">through multi-agent debate-driven reward shaping</w:t>
      </w:r>
      <w:r>
        <w:t xml:space="preserve"> </w:t>
      </w:r>
      <w:r>
        <w:rPr>
          <w:vertAlign w:val="superscript"/>
        </w:rPr>
        <w:footnoteReference w:id="7"/>
      </w:r>
      <w:r>
        <w:t xml:space="preserve">. MARFT’s Trio architecture — Reasoner identifies divergence, Coder proposes corrections, Reviewer validates against historical data — refines the model daily. This is the</w:t>
      </w:r>
      <w:r>
        <w:t xml:space="preserve"> </w:t>
      </w:r>
      <w:r>
        <w:rPr>
          <w:bCs/>
          <w:b/>
        </w:rPr>
        <w:t xml:space="preserve">Predictive Flywheel</w:t>
      </w:r>
      <w:r>
        <w:t xml:space="preserve">: more simulations → more comparisons → more refinements → more accurate simulations.</w:t>
      </w:r>
    </w:p>
    <w:bookmarkEnd w:id="53"/>
    <w:bookmarkEnd w:id="54"/>
    <w:bookmarkStart w:id="58" w:name="scenario-types"/>
    <w:p>
      <w:pPr>
        <w:pStyle w:val="Heading3"/>
      </w:pPr>
      <w:r>
        <w:t xml:space="preserve">3.3 Scenario Types</w:t>
      </w:r>
    </w:p>
    <w:bookmarkStart w:id="55" w:name="compliance-scenarios"/>
    <w:p>
      <w:pPr>
        <w:pStyle w:val="Heading4"/>
      </w:pPr>
      <w:r>
        <w:t xml:space="preserve">3.3.1 Compliance Scenarios</w:t>
      </w:r>
    </w:p>
    <w:p>
      <w:pPr>
        <w:pStyle w:val="FirstParagraph"/>
      </w:pPr>
      <w:r>
        <w:rPr>
          <w:iCs/>
          <w:i/>
        </w:rPr>
        <w:t xml:space="preserve">“</w:t>
      </w:r>
      <w:r>
        <w:rPr>
          <w:iCs/>
          <w:i/>
        </w:rPr>
        <w:t xml:space="preserve">What happens if Company X doesn’t submit their DORA Register of Information by April 30?</w:t>
      </w:r>
      <w:r>
        <w:rPr>
          <w:iCs/>
          <w:i/>
        </w:rPr>
        <w:t xml:space="preserve">”</w:t>
      </w:r>
      <w:r>
        <w:t xml:space="preserve"> </w:t>
      </w:r>
      <w:r>
        <w:t xml:space="preserve">→ Simulated outcome: 78% probability of BaFin warning, 45% probability of fine, 12% probability of board member personal liability. Remediation cost: €150K. Non-remediation expected cost: €2.3M. The business case is self-evident.</w:t>
      </w:r>
    </w:p>
    <w:bookmarkEnd w:id="55"/>
    <w:bookmarkStart w:id="56" w:name="business-strategy-scenarios"/>
    <w:p>
      <w:pPr>
        <w:pStyle w:val="Heading4"/>
      </w:pPr>
      <w:r>
        <w:t xml:space="preserve">3.3.2 Business Strategy Scenarios</w:t>
      </w:r>
    </w:p>
    <w:p>
      <w:pPr>
        <w:pStyle w:val="FirstParagraph"/>
      </w:pPr>
      <w:r>
        <w:rPr>
          <w:iCs/>
          <w:i/>
        </w:rPr>
        <w:t xml:space="preserve">“</w:t>
      </w:r>
      <w:r>
        <w:rPr>
          <w:iCs/>
          <w:i/>
        </w:rPr>
        <w:t xml:space="preserve">What happens if Company X enters the German market?</w:t>
      </w:r>
      <w:r>
        <w:rPr>
          <w:iCs/>
          <w:i/>
        </w:rPr>
        <w:t xml:space="preserve">”</w:t>
      </w:r>
      <w:r>
        <w:t xml:space="preserve"> </w:t>
      </w:r>
      <w:r>
        <w:t xml:space="preserve">→ Simulated: regulatory licensing requirements (BaFin authorization: 9-18 months), competitor responses, market share predictions by segment, optimal entry timing, and approval probability. Output: GO/NO-GO verdict with confidence intervals and ranked execution moves.</w:t>
      </w:r>
    </w:p>
    <w:bookmarkEnd w:id="56"/>
    <w:bookmarkStart w:id="57" w:name="crisis-scenarios"/>
    <w:p>
      <w:pPr>
        <w:pStyle w:val="Heading4"/>
      </w:pPr>
      <w:r>
        <w:t xml:space="preserve">3.3.3 Crisis Scenarios</w:t>
      </w:r>
    </w:p>
    <w:p>
      <w:pPr>
        <w:pStyle w:val="FirstParagraph"/>
      </w:pPr>
      <w:r>
        <w:rPr>
          <w:iCs/>
          <w:i/>
        </w:rPr>
        <w:t xml:space="preserve">“</w:t>
      </w:r>
      <w:r>
        <w:rPr>
          <w:iCs/>
          <w:i/>
        </w:rPr>
        <w:t xml:space="preserve">What happens if a major cyber attack hits German financial infrastructure?</w:t>
      </w:r>
      <w:r>
        <w:rPr>
          <w:iCs/>
          <w:i/>
        </w:rPr>
        <w:t xml:space="preserve">”</w:t>
      </w:r>
      <w:r>
        <w:t xml:space="preserve"> </w:t>
      </w:r>
      <w:r>
        <w:t xml:space="preserve">→ Simulated: vulnerability ranking by entity, supply chain cascade effects, regulatory responses, market reactions, and optimal defensive moves ranked by impact and feasibility.</w:t>
      </w:r>
    </w:p>
    <w:p>
      <w:pPr>
        <w:pStyle w:val="BodyText"/>
      </w:pPr>
      <w:r>
        <w:rPr>
          <w:bCs/>
          <w:b/>
        </w:rPr>
        <w:t xml:space="preserve">Table 1: Simulation Parameters Grid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Key Variables</w:t>
            </w:r>
          </w:p>
        </w:tc>
        <w:tc>
          <w:tcPr/>
          <w:p>
            <w:pPr>
              <w:pStyle w:val="Compact"/>
              <w:jc w:val="left"/>
            </w:pPr>
            <w:r>
              <w:t xml:space="preserve">Data Sources</w:t>
            </w:r>
          </w:p>
        </w:tc>
        <w:tc>
          <w:tcPr/>
          <w:p>
            <w:pPr>
              <w:pStyle w:val="Compact"/>
              <w:jc w:val="left"/>
            </w:pPr>
            <w:r>
              <w:t xml:space="preserve">Simulation Method</w:t>
            </w:r>
          </w:p>
        </w:tc>
        <w:tc>
          <w:tcPr/>
          <w:p>
            <w:pPr>
              <w:pStyle w:val="Compact"/>
              <w:jc w:val="left"/>
            </w:pPr>
            <w:r>
              <w:t xml:space="preserve">Output Format</w:t>
            </w:r>
          </w:p>
        </w:tc>
      </w:tr>
      <w:tr>
        <w:tc>
          <w:tcPr/>
          <w:p>
            <w:pPr>
              <w:pStyle w:val="Compact"/>
              <w:jc w:val="left"/>
            </w:pPr>
            <w:r>
              <w:rPr>
                <w:bCs/>
                <w:b/>
              </w:rPr>
              <w:t xml:space="preserve">Regulatory</w:t>
            </w:r>
          </w:p>
        </w:tc>
        <w:tc>
          <w:tcPr/>
          <w:p>
            <w:pPr>
              <w:pStyle w:val="Compact"/>
              <w:jc w:val="left"/>
            </w:pPr>
            <w:r>
              <w:t xml:space="preserve">Enforcement actions, guidance updates, draft regulations, deadline changes</w:t>
            </w:r>
          </w:p>
        </w:tc>
        <w:tc>
          <w:tcPr/>
          <w:p>
            <w:pPr>
              <w:pStyle w:val="Compact"/>
              <w:jc w:val="left"/>
            </w:pPr>
            <w:r>
              <w:t xml:space="preserve">Eur-Lex, BaFin/EBA/ECB publications, ESMA consultations, parliamentary debates</w:t>
            </w:r>
          </w:p>
        </w:tc>
        <w:tc>
          <w:tcPr/>
          <w:p>
            <w:pPr>
              <w:pStyle w:val="Compact"/>
              <w:jc w:val="left"/>
            </w:pPr>
            <w:r>
              <w:t xml:space="preserve">Probabilistic trajectory modeling; Bayesian updates on regulatory probability weights</w:t>
            </w:r>
          </w:p>
        </w:tc>
        <w:tc>
          <w:tcPr/>
          <w:p>
            <w:pPr>
              <w:pStyle w:val="Compact"/>
              <w:jc w:val="left"/>
            </w:pPr>
            <w:r>
              <w:t xml:space="preserve">Probability distribution per outcome; compliance gap score; timeline to enforcement</w:t>
            </w:r>
          </w:p>
        </w:tc>
      </w:tr>
      <w:tr>
        <w:tc>
          <w:tcPr/>
          <w:p>
            <w:pPr>
              <w:pStyle w:val="Compact"/>
              <w:jc w:val="left"/>
            </w:pPr>
            <w:r>
              <w:rPr>
                <w:bCs/>
                <w:b/>
              </w:rPr>
              <w:t xml:space="preserve">Market</w:t>
            </w:r>
          </w:p>
        </w:tc>
        <w:tc>
          <w:tcPr/>
          <w:p>
            <w:pPr>
              <w:pStyle w:val="Compact"/>
              <w:jc w:val="left"/>
            </w:pPr>
            <w:r>
              <w:t xml:space="preserve">ECB rates, EUR/USD volatility, credit spreads, M&amp;A, competitor hiring</w:t>
            </w:r>
          </w:p>
        </w:tc>
        <w:tc>
          <w:tcPr/>
          <w:p>
            <w:pPr>
              <w:pStyle w:val="Compact"/>
              <w:jc w:val="left"/>
            </w:pPr>
            <w:r>
              <w:t xml:space="preserve">Bloomberg APIs, ECB SDW, LinkedIn Talent Insights, Dealroom.co, patent filings</w:t>
            </w:r>
          </w:p>
        </w:tc>
        <w:tc>
          <w:tcPr/>
          <w:p>
            <w:pPr>
              <w:pStyle w:val="Compact"/>
              <w:jc w:val="left"/>
            </w:pPr>
            <w:r>
              <w:t xml:space="preserve">Stochastic differential equations; ABM competitor reaction functions; sentiment diffusion</w:t>
            </w:r>
          </w:p>
        </w:tc>
        <w:tc>
          <w:tcPr/>
          <w:p>
            <w:pPr>
              <w:pStyle w:val="Compact"/>
              <w:jc w:val="left"/>
            </w:pPr>
            <w:r>
              <w:t xml:space="preserve">Market share projections; NPV ranges; competitive threat matrix; entry/exit timing</w:t>
            </w:r>
          </w:p>
        </w:tc>
      </w:tr>
      <w:tr>
        <w:tc>
          <w:tcPr/>
          <w:p>
            <w:pPr>
              <w:pStyle w:val="Compact"/>
              <w:jc w:val="left"/>
            </w:pPr>
            <w:r>
              <w:rPr>
                <w:bCs/>
                <w:b/>
              </w:rPr>
              <w:t xml:space="preserve">Operational</w:t>
            </w:r>
          </w:p>
        </w:tc>
        <w:tc>
          <w:tcPr/>
          <w:p>
            <w:pPr>
              <w:pStyle w:val="Compact"/>
              <w:jc w:val="left"/>
            </w:pPr>
            <w:r>
              <w:t xml:space="preserve">Cyber patterns, system failures, staff turnover, TIBER scores</w:t>
            </w:r>
          </w:p>
        </w:tc>
        <w:tc>
          <w:tcPr/>
          <w:p>
            <w:pPr>
              <w:pStyle w:val="Compact"/>
              <w:jc w:val="left"/>
            </w:pPr>
            <w:r>
              <w:t xml:space="preserve">ENISA threat reports, TIBER-EU frameworks, EBA ICT risk data, LinkedIn/Glassdoor</w:t>
            </w:r>
          </w:p>
        </w:tc>
        <w:tc>
          <w:tcPr/>
          <w:p>
            <w:pPr>
              <w:pStyle w:val="Compact"/>
              <w:jc w:val="left"/>
            </w:pPr>
            <w:r>
              <w:t xml:space="preserve">Poisson incident modeling; fault tree analysis; agent-based staff dynamics</w:t>
            </w:r>
          </w:p>
        </w:tc>
        <w:tc>
          <w:tcPr/>
          <w:p>
            <w:pPr>
              <w:pStyle w:val="Compact"/>
              <w:jc w:val="left"/>
            </w:pPr>
            <w:r>
              <w:t xml:space="preserve">Incident probability by type; business continuity risk; recovery time estimates</w:t>
            </w:r>
          </w:p>
        </w:tc>
      </w:tr>
      <w:tr>
        <w:tc>
          <w:tcPr/>
          <w:p>
            <w:pPr>
              <w:pStyle w:val="Compact"/>
              <w:jc w:val="left"/>
            </w:pPr>
            <w:r>
              <w:rPr>
                <w:bCs/>
                <w:b/>
              </w:rPr>
              <w:t xml:space="preserve">Financial</w:t>
            </w:r>
          </w:p>
        </w:tc>
        <w:tc>
          <w:tcPr/>
          <w:p>
            <w:pPr>
              <w:pStyle w:val="Compact"/>
              <w:jc w:val="left"/>
            </w:pPr>
            <w:r>
              <w:t xml:space="preserve">Revenue, funding rounds, credit ratings, capital ratios, NPL trends</w:t>
            </w:r>
          </w:p>
        </w:tc>
        <w:tc>
          <w:tcPr/>
          <w:p>
            <w:pPr>
              <w:pStyle w:val="Compact"/>
              <w:jc w:val="left"/>
            </w:pPr>
            <w:r>
              <w:t xml:space="preserve">S&amp;P/Moody’s/Fitch, XBRL reports, ECB supervisory disclosure, Refinitiv</w:t>
            </w:r>
          </w:p>
        </w:tc>
        <w:tc>
          <w:tcPr/>
          <w:p>
            <w:pPr>
              <w:pStyle w:val="Compact"/>
              <w:jc w:val="left"/>
            </w:pPr>
            <w:r>
              <w:t xml:space="preserve">Monte Carlo financial modeling; rating migration matrices; peer-relative scoring</w:t>
            </w:r>
          </w:p>
        </w:tc>
        <w:tc>
          <w:tcPr/>
          <w:p>
            <w:pPr>
              <w:pStyle w:val="Compact"/>
              <w:jc w:val="left"/>
            </w:pPr>
            <w:r>
              <w:t xml:space="preserve">Credit rating trajectory; liquidity stress tests; capital adequacy projections</w:t>
            </w:r>
          </w:p>
        </w:tc>
      </w:tr>
      <w:tr>
        <w:tc>
          <w:tcPr/>
          <w:p>
            <w:pPr>
              <w:pStyle w:val="Compact"/>
              <w:jc w:val="left"/>
            </w:pPr>
            <w:r>
              <w:rPr>
                <w:bCs/>
                <w:b/>
              </w:rPr>
              <w:t xml:space="preserve">Political</w:t>
            </w:r>
          </w:p>
        </w:tc>
        <w:tc>
          <w:tcPr/>
          <w:p>
            <w:pPr>
              <w:pStyle w:val="Compact"/>
              <w:jc w:val="left"/>
            </w:pPr>
            <w:r>
              <w:t xml:space="preserve">Elections, coalitions, trade agreements, geopolitical shocks, EU policy shifts</w:t>
            </w:r>
          </w:p>
        </w:tc>
        <w:tc>
          <w:tcPr/>
          <w:p>
            <w:pPr>
              <w:pStyle w:val="Compact"/>
              <w:jc w:val="left"/>
            </w:pPr>
            <w:r>
              <w:t xml:space="preserve">Parliamentary transcripts, Politico Europe, Commission work programs, Eurobarometer</w:t>
            </w:r>
          </w:p>
        </w:tc>
        <w:tc>
          <w:tcPr/>
          <w:p>
            <w:pPr>
              <w:pStyle w:val="Compact"/>
              <w:jc w:val="left"/>
            </w:pPr>
            <w:r>
              <w:t xml:space="preserve">Election outcome models; policy transmission functions; coalition stability scoring</w:t>
            </w:r>
          </w:p>
        </w:tc>
        <w:tc>
          <w:tcPr/>
          <w:p>
            <w:pPr>
              <w:pStyle w:val="Compact"/>
              <w:jc w:val="left"/>
            </w:pPr>
            <w:r>
              <w:t xml:space="preserve">Policy change probability by sector; regulatory delay risk; trade impact assessment</w:t>
            </w:r>
          </w:p>
        </w:tc>
      </w:tr>
    </w:tbl>
    <w:p>
      <w:r>
        <w:pict>
          <v:rect style="width:0;height:1.5pt" o:hralign="center" o:hrstd="t" o:hr="t"/>
        </w:pict>
      </w:r>
    </w:p>
    <w:bookmarkEnd w:id="57"/>
    <w:bookmarkEnd w:id="58"/>
    <w:bookmarkEnd w:id="59"/>
    <w:bookmarkStart w:id="72" w:name="X08db2fd72cf91ae02cb2ebfc93a5dfae98a086c"/>
    <w:p>
      <w:pPr>
        <w:pStyle w:val="Heading2"/>
      </w:pPr>
      <w:r>
        <w:t xml:space="preserve">SECTION 4: The Platinum Move — Optimal Strategy Prediction</w:t>
      </w:r>
    </w:p>
    <w:p>
      <w:pPr>
        <w:pStyle w:val="FirstParagraph"/>
      </w:pPr>
      <w:r>
        <w:rPr>
          <w:iCs/>
          <w:i/>
        </w:rPr>
        <w:t xml:space="preserve">“</w:t>
      </w:r>
      <w:r>
        <w:rPr>
          <w:iCs/>
          <w:i/>
        </w:rPr>
        <w:t xml:space="preserve">In a thousand futures, one move shines brighter than all others. That is the Platinum Move — and Sovereign Lens finds it before breakfast.</w:t>
      </w:r>
      <w:r>
        <w:rPr>
          <w:iCs/>
          <w:i/>
        </w:rPr>
        <w:t xml:space="preserve">”</w:t>
      </w:r>
    </w:p>
    <w:p>
      <w:pPr>
        <w:pStyle w:val="BodyText"/>
      </w:pPr>
      <w:r>
        <w:t xml:space="preserve">The Scenario Simulation Engine generates probability landscapes. The Platinum Move system converts those landscapes into</w:t>
      </w:r>
      <w:r>
        <w:t xml:space="preserve"> </w:t>
      </w:r>
      <w:r>
        <w:rPr>
          <w:bCs/>
          <w:b/>
        </w:rPr>
        <w:t xml:space="preserve">actionable prescriptions</w:t>
      </w:r>
      <w:r>
        <w:t xml:space="preserve"> </w:t>
      </w:r>
      <w:r>
        <w:t xml:space="preserve">— the single optimal action that maximizes an entity’s probability of success across all simulated futures. This is computationally-derived strategy, individually calibrated, statistically validated, and continuously refined.</w:t>
      </w:r>
    </w:p>
    <w:bookmarkStart w:id="63" w:name="what-is-the-platinum-move"/>
    <w:p>
      <w:pPr>
        <w:pStyle w:val="Heading3"/>
      </w:pPr>
      <w:r>
        <w:t xml:space="preserve">4.1 What is the Platinum Move?</w:t>
      </w:r>
    </w:p>
    <w:bookmarkStart w:id="60" w:name="definition"/>
    <w:p>
      <w:pPr>
        <w:pStyle w:val="Heading4"/>
      </w:pPr>
      <w:r>
        <w:t xml:space="preserve">4.1.1 Definition</w:t>
      </w:r>
    </w:p>
    <w:p>
      <w:pPr>
        <w:pStyle w:val="FirstParagraph"/>
      </w:pPr>
      <w:r>
        <w:t xml:space="preserve">The</w:t>
      </w:r>
      <w:r>
        <w:t xml:space="preserve"> </w:t>
      </w:r>
      <w:r>
        <w:rPr>
          <w:bCs/>
          <w:b/>
        </w:rPr>
        <w:t xml:space="preserve">Platinum Move</w:t>
      </w:r>
      <w:r>
        <w:t xml:space="preserve"> </w:t>
      </w:r>
      <w:r>
        <w:t xml:space="preserve">is the action or action sequence that maximizes expected value across all 1,000+ simulated scenarios, weighted by probability. It is not the move that wins in the best-case scenario — it is the move that performs best</w:t>
      </w:r>
      <w:r>
        <w:t xml:space="preserve"> </w:t>
      </w:r>
      <w:r>
        <w:rPr>
          <w:iCs/>
          <w:i/>
        </w:rPr>
        <w:t xml:space="preserve">on average</w:t>
      </w:r>
      <w:r>
        <w:t xml:space="preserve"> </w:t>
      </w:r>
      <w:r>
        <w:t xml:space="preserve">across the full probability distribution. It optimizes for</w:t>
      </w:r>
      <w:r>
        <w:t xml:space="preserve"> </w:t>
      </w:r>
      <w:r>
        <w:rPr>
          <w:bCs/>
          <w:b/>
        </w:rPr>
        <w:t xml:space="preserve">robustness</w:t>
      </w:r>
      <w:r>
        <w:t xml:space="preserve">: consistent outperformance across uncertainty, not speculative upside.</w:t>
      </w:r>
    </w:p>
    <w:bookmarkEnd w:id="60"/>
    <w:bookmarkStart w:id="61" w:name="how-its-calculated"/>
    <w:p>
      <w:pPr>
        <w:pStyle w:val="Heading4"/>
      </w:pPr>
      <w:r>
        <w:t xml:space="preserve">4.1.2 How It’s Calculated</w:t>
      </w:r>
    </w:p>
    <w:p>
      <w:pPr>
        <w:pStyle w:val="FirstParagraph"/>
      </w:pPr>
      <w:r>
        <w:rPr>
          <w:bCs/>
          <w:b/>
        </w:rPr>
        <w:t xml:space="preserve">Stage 1: Action Space Generation.</w:t>
      </w:r>
      <w:r>
        <w:t xml:space="preserve"> </w:t>
      </w:r>
      <w:r>
        <w:t xml:space="preserve">The MARFT Reasoner agent generates candidate actions from a learned library of 10,000+ historical moves — not brute-force enumeration, but semantically relevant proposals based on the entity’s situation.</w:t>
      </w:r>
    </w:p>
    <w:p>
      <w:pPr>
        <w:pStyle w:val="BodyText"/>
      </w:pPr>
      <w:r>
        <w:rPr>
          <w:bCs/>
          <w:b/>
        </w:rPr>
        <w:t xml:space="preserve">Stage 2: Scenario Evaluation.</w:t>
      </w:r>
      <w:r>
        <w:t xml:space="preserve"> </w:t>
      </w:r>
      <w:r>
        <w:t xml:space="preserve">Each candidate action is played through all 1,000 scenarios. Every action-scenario pair receives an outcome score combining financial impact, compliance improvement, risk reduction, and strategic positioning.</w:t>
      </w:r>
    </w:p>
    <w:p>
      <w:pPr>
        <w:pStyle w:val="BodyText"/>
      </w:pPr>
      <w:r>
        <w:rPr>
          <w:bCs/>
          <w:b/>
        </w:rPr>
        <w:t xml:space="preserve">Stage 3: Expected Value Maximization.</w:t>
      </w:r>
      <w:r>
        <w:t xml:space="preserve"> </w:t>
      </w:r>
      <w:r>
        <w:t xml:space="preserve">The action with the highest probability-weighted aggregate score wins. Formally:</w:t>
      </w:r>
      <w:r>
        <w:t xml:space="preserve"> </w:t>
      </w:r>
      <m:oMath>
        <m:r>
          <m:rPr>
            <m:nor/>
            <m:sty m:val="p"/>
          </m:rPr>
          <m:t>Platinum Move</m:t>
        </m:r>
        <m:r>
          <m:rPr>
            <m:sty m:val="p"/>
          </m:rPr>
          <m:t>=</m:t>
        </m:r>
        <m:r>
          <m:rPr>
            <m:sty m:val="p"/>
          </m:rPr>
          <m:t>arg</m:t>
        </m:r>
        <m:sSub>
          <m:e>
            <m:r>
              <m:rPr>
                <m:sty m:val="p"/>
              </m:rPr>
              <m:t>max</m:t>
            </m:r>
          </m:e>
          <m:sub>
            <m:r>
              <m:t>a</m:t>
            </m:r>
            <m:r>
              <m:rPr>
                <m:sty m:val="p"/>
              </m:rPr>
              <m:t>∈</m:t>
            </m:r>
            <m:r>
              <m:t>A</m:t>
            </m:r>
          </m:sub>
        </m:sSub>
        <m:nary>
          <m:naryPr>
            <m:chr m:val="∑"/>
            <m:limLoc m:val="undOvr"/>
            <m:subHide m:val="0"/>
            <m:supHide m:val="0"/>
          </m:naryPr>
          <m:sub>
            <m:r>
              <m:t>s</m:t>
            </m:r>
            <m:r>
              <m:rPr>
                <m:sty m:val="p"/>
              </m:rPr>
              <m:t>=</m:t>
            </m:r>
            <m:r>
              <m:t>1</m:t>
            </m:r>
          </m:sub>
          <m:sup>
            <m:r>
              <m:t>1000</m:t>
            </m:r>
          </m:sup>
          <m:e>
            <m:r>
              <m:t>P</m:t>
            </m:r>
          </m:e>
        </m:nary>
        <m:d>
          <m:dPr>
            <m:begChr m:val="("/>
            <m:endChr m:val=")"/>
            <m:sepChr m:val=""/>
            <m:grow/>
          </m:dPr>
          <m:e>
            <m:r>
              <m:t>s</m:t>
            </m:r>
          </m:e>
        </m:d>
        <m:r>
          <m:rPr>
            <m:sty m:val="p"/>
          </m:rPr>
          <m:t>⋅</m:t>
        </m:r>
        <m:r>
          <m:t>V</m:t>
        </m:r>
        <m:d>
          <m:dPr>
            <m:begChr m:val="("/>
            <m:endChr m:val=")"/>
            <m:sepChr m:val=""/>
            <m:grow/>
          </m:dPr>
          <m:e>
            <m:r>
              <m:t>a</m:t>
            </m:r>
            <m:r>
              <m:rPr>
                <m:sty m:val="p"/>
              </m:rPr>
              <m:t>,</m:t>
            </m:r>
            <m:r>
              <m:t>s</m:t>
            </m:r>
          </m:e>
        </m:d>
      </m:oMath>
      <w:r>
        <w:t xml:space="preserve">. For large action spaces, MARFT’s Trio (Reasoner → Coder → Reviewer) prunes candidates using a learned policy network</w:t>
      </w:r>
      <w:r>
        <w:t xml:space="preserve"> </w:t>
      </w:r>
      <w:r>
        <w:rPr>
          <w:vertAlign w:val="superscript"/>
        </w:rPr>
        <w:footnoteReference w:id="8"/>
      </w:r>
      <w:r>
        <w:t xml:space="preserve">.</w:t>
      </w:r>
    </w:p>
    <w:bookmarkEnd w:id="61"/>
    <w:bookmarkStart w:id="62" w:name="example-platinum-move"/>
    <w:p>
      <w:pPr>
        <w:pStyle w:val="Heading4"/>
      </w:pPr>
      <w:r>
        <w:t xml:space="preserve">4.1.3 Example Platinum Move</w:t>
      </w:r>
    </w:p>
    <w:p>
      <w:pPr>
        <w:pStyle w:val="FirstParagraph"/>
      </w:pPr>
      <w:r>
        <w:rPr>
          <w:bCs/>
          <w:b/>
        </w:rPr>
        <w:t xml:space="preserve">Mid-Size German Bank Y</w:t>
      </w:r>
      <w:r>
        <w:t xml:space="preserve">: €15B institution, 60% DORA compliance, 90 days to deadline. Simulation: 67% enforcement probability (89% if peers penalized first), €2M fine triggers ECB scrutiny with €1.5M annual follow-on costs.</w:t>
      </w:r>
    </w:p>
    <w:p>
      <w:pPr>
        <w:pStyle w:val="BodyText"/>
      </w:pPr>
      <w:r>
        <w:t xml:space="preserve">Sovereign Lens evaluates 847 candidates and returns:</w:t>
      </w:r>
    </w:p>
    <w:p>
      <w:pPr>
        <w:pStyle w:val="BlockText"/>
      </w:pPr>
      <w:r>
        <w:rPr>
          <w:bCs/>
          <w:b/>
        </w:rPr>
        <w:t xml:space="preserve">PLATINUM MOVE — Bank Y, Day -90</w:t>
      </w:r>
    </w:p>
    <w:p>
      <w:pPr>
        <w:numPr>
          <w:ilvl w:val="0"/>
          <w:numId w:val="1011"/>
        </w:numPr>
        <w:pStyle w:val="Compact"/>
      </w:pPr>
      <w:r>
        <w:rPr>
          <w:bCs/>
          <w:b/>
        </w:rPr>
        <w:t xml:space="preserve">Hire DORA specialist consultant</w:t>
      </w:r>
      <w:r>
        <w:t xml:space="preserve"> </w:t>
      </w:r>
      <w:r>
        <w:t xml:space="preserve">(€80K, 3-week engagement)</w:t>
      </w:r>
    </w:p>
    <w:p>
      <w:pPr>
        <w:numPr>
          <w:ilvl w:val="0"/>
          <w:numId w:val="1011"/>
        </w:numPr>
        <w:pStyle w:val="Compact"/>
      </w:pPr>
      <w:r>
        <w:rPr>
          <w:bCs/>
          <w:b/>
        </w:rPr>
        <w:t xml:space="preserve">Implement RoI automation</w:t>
      </w:r>
      <w:r>
        <w:t xml:space="preserve"> </w:t>
      </w:r>
      <w:r>
        <w:t xml:space="preserve">via CSOAI xBRL-CSV exporter (€15K)</w:t>
      </w:r>
    </w:p>
    <w:p>
      <w:pPr>
        <w:numPr>
          <w:ilvl w:val="0"/>
          <w:numId w:val="1011"/>
        </w:numPr>
        <w:pStyle w:val="Compact"/>
      </w:pPr>
      <w:r>
        <w:rPr>
          <w:bCs/>
          <w:b/>
        </w:rPr>
        <w:t xml:space="preserve">Reallocate 2 FTE from marketing to compliance</w:t>
      </w:r>
      <w:r>
        <w:t xml:space="preserve"> </w:t>
      </w:r>
      <w:r>
        <w:t xml:space="preserve">(€40K)</w:t>
      </w:r>
    </w:p>
    <w:p>
      <w:pPr>
        <w:numPr>
          <w:ilvl w:val="0"/>
          <w:numId w:val="1011"/>
        </w:numPr>
        <w:pStyle w:val="Compact"/>
      </w:pPr>
      <w:r>
        <w:rPr>
          <w:bCs/>
          <w:b/>
        </w:rPr>
        <w:t xml:space="preserve">Schedule TIBER-EU TLPT preparation</w:t>
      </w:r>
      <w:r>
        <w:t xml:space="preserve"> </w:t>
      </w:r>
      <w:r>
        <w:t xml:space="preserve">(€50K)</w:t>
      </w:r>
    </w:p>
    <w:p>
      <w:pPr>
        <w:pStyle w:val="BlockText"/>
      </w:pPr>
      <w:r>
        <w:rPr>
          <w:bCs/>
          <w:b/>
        </w:rPr>
        <w:t xml:space="preserve">Total Investment:</w:t>
      </w:r>
      <w:r>
        <w:t xml:space="preserve"> </w:t>
      </w:r>
      <w:r>
        <w:t xml:space="preserve">€185K |</w:t>
      </w:r>
      <w:r>
        <w:t xml:space="preserve"> </w:t>
      </w:r>
      <w:r>
        <w:rPr>
          <w:bCs/>
          <w:b/>
        </w:rPr>
        <w:t xml:space="preserve">Compliance:</w:t>
      </w:r>
      <w:r>
        <w:t xml:space="preserve"> </w:t>
      </w:r>
      <w:r>
        <w:t xml:space="preserve">60% → 94% |</w:t>
      </w:r>
      <w:r>
        <w:t xml:space="preserve"> </w:t>
      </w:r>
      <w:r>
        <w:rPr>
          <w:bCs/>
          <w:b/>
        </w:rPr>
        <w:t xml:space="preserve">Enforcement Probability:</w:t>
      </w:r>
      <w:r>
        <w:t xml:space="preserve"> </w:t>
      </w:r>
      <w:r>
        <w:t xml:space="preserve">67% → 8% |</w:t>
      </w:r>
      <w:r>
        <w:t xml:space="preserve"> </w:t>
      </w:r>
      <w:r>
        <w:rPr>
          <w:bCs/>
          <w:b/>
        </w:rPr>
        <w:t xml:space="preserve">Expected Penalty Avoidance:</w:t>
      </w:r>
      <w:r>
        <w:t xml:space="preserve"> </w:t>
      </w:r>
      <w:r>
        <w:t xml:space="preserve">€2.1M |</w:t>
      </w:r>
      <w:r>
        <w:t xml:space="preserve"> </w:t>
      </w:r>
      <w:r>
        <w:rPr>
          <w:bCs/>
          <w:b/>
        </w:rPr>
        <w:t xml:space="preserve">ROI:</w:t>
      </w:r>
      <w:r>
        <w:t xml:space="preserve"> </w:t>
      </w:r>
      <w:r>
        <w:t xml:space="preserve">1,035% |</w:t>
      </w:r>
      <w:r>
        <w:t xml:space="preserve"> </w:t>
      </w:r>
      <w:r>
        <w:rPr>
          <w:bCs/>
          <w:b/>
        </w:rPr>
        <w:t xml:space="preserve">Confidence:</w:t>
      </w:r>
      <w:r>
        <w:t xml:space="preserve"> </w:t>
      </w:r>
      <w:r>
        <w:t xml:space="preserve">91%</w:t>
      </w:r>
    </w:p>
    <w:p>
      <w:pPr>
        <w:pStyle w:val="FirstParagraph"/>
      </w:pPr>
      <w:r>
        <w:t xml:space="preserve">Every line item is traceable to simulation evidence, every cost estimated from market data, every outcome probability validated against historical ground truth.</w:t>
      </w:r>
    </w:p>
    <w:bookmarkEnd w:id="62"/>
    <w:bookmarkEnd w:id="63"/>
    <w:bookmarkStart w:id="67" w:name="multi-entity-platinum-moves"/>
    <w:p>
      <w:pPr>
        <w:pStyle w:val="Heading3"/>
      </w:pPr>
      <w:r>
        <w:t xml:space="preserve">4.2 Multi-Entity Platinum Moves</w:t>
      </w:r>
    </w:p>
    <w:bookmarkStart w:id="64" w:name="ecosystem-optimization"/>
    <w:p>
      <w:pPr>
        <w:pStyle w:val="Heading4"/>
      </w:pPr>
      <w:r>
        <w:t xml:space="preserve">4.2.1 Ecosystem Optimization</w:t>
      </w:r>
    </w:p>
    <w:p>
      <w:pPr>
        <w:pStyle w:val="FirstParagraph"/>
      </w:pPr>
      <w:r>
        <w:t xml:space="preserve">Sovereign Lens optimizes for</w:t>
      </w:r>
      <w:r>
        <w:t xml:space="preserve"> </w:t>
      </w:r>
      <w:r>
        <w:rPr>
          <w:bCs/>
          <w:b/>
        </w:rPr>
        <w:t xml:space="preserve">entire ecosystems</w:t>
      </w:r>
      <w:r>
        <w:t xml:space="preserve">, not just individual firms. Analysis reveals 200 mid-size German banks competing for 50 qualified DORA consultants, driving prices up 40% and ensuring 80+ miss the deadline. Systemic outcome: €400M+ in aggregate fines.</w:t>
      </w:r>
    </w:p>
    <w:p>
      <w:pPr>
        <w:pStyle w:val="BodyText"/>
      </w:pPr>
      <w:r>
        <w:t xml:space="preserve">The</w:t>
      </w:r>
      <w:r>
        <w:t xml:space="preserve"> </w:t>
      </w:r>
      <w:r>
        <w:rPr>
          <w:bCs/>
          <w:b/>
        </w:rPr>
        <w:t xml:space="preserve">Ecosystem Platinum Move</w:t>
      </w:r>
      <w:r>
        <w:t xml:space="preserve"> </w:t>
      </w:r>
      <w:r>
        <w:t xml:space="preserve">for BaFin: provide a structured 30-day grace period contingent on documented good-faith progress. Result: 200 additional banks achieve compliance, aggregate fines drop €320M, BaFin enforcement costs fall 40%, systemic risk down 12%. It is mechanism-design insight: changing the incentive structure achieves better outcomes at lower cost.</w:t>
      </w:r>
    </w:p>
    <w:bookmarkEnd w:id="64"/>
    <w:bookmarkStart w:id="65" w:name="coalition-strategies"/>
    <w:p>
      <w:pPr>
        <w:pStyle w:val="Heading4"/>
      </w:pPr>
      <w:r>
        <w:t xml:space="preserve">4.2.2 Coalition Strategies</w:t>
      </w:r>
    </w:p>
    <w:p>
      <w:pPr>
        <w:pStyle w:val="FirstParagraph"/>
      </w:pPr>
      <w:r>
        <w:t xml:space="preserve">Five mid-size banks (€5B-€20B) face identical DORA challenges but lack individual scale. Sovereign Lens models coalition formation:</w:t>
      </w:r>
    </w:p>
    <w:p>
      <w:pPr>
        <w:pStyle w:val="BlockText"/>
      </w:pPr>
      <w:r>
        <w:rPr>
          <w:bCs/>
          <w:b/>
        </w:rPr>
        <w:t xml:space="preserve">COALITION PLATINUM MOVE:</w:t>
      </w:r>
      <w:r>
        <w:t xml:space="preserve"> </w:t>
      </w:r>
      <w:r>
        <w:t xml:space="preserve">Shared compliance officer pool via CSOAI’s BFT Council governance, coordinated on a platform with Zep long-term memory (94.8% DMR accuracy) ensuring continuity across officer transitions</w:t>
      </w:r>
      <w:r>
        <w:t xml:space="preserve"> </w:t>
      </w:r>
      <w:r>
        <w:rPr>
          <w:vertAlign w:val="superscript"/>
        </w:rPr>
        <w:footnoteReference w:id="9"/>
      </w:r>
      <w:r>
        <w:t xml:space="preserve">. Each bank contributes €120K annually versus €400K individually. Compliance outcome: 88% average (up from 75-80%) through knowledge sharing and collective consultant bargaining. Additional savings: shared TIBER-EU prep (€200K total vs. €150K each).</w:t>
      </w:r>
    </w:p>
    <w:p>
      <w:pPr>
        <w:pStyle w:val="FirstParagraph"/>
      </w:pPr>
      <w:r>
        <w:t xml:space="preserve">This is game-theoretically optimal collective action, discovered by simulation.</w:t>
      </w:r>
    </w:p>
    <w:bookmarkEnd w:id="65"/>
    <w:bookmarkStart w:id="66" w:name="regulatory-platinum-moves"/>
    <w:p>
      <w:pPr>
        <w:pStyle w:val="Heading4"/>
      </w:pPr>
      <w:r>
        <w:t xml:space="preserve">4.2.3 Regulatory Platinum Moves</w:t>
      </w:r>
    </w:p>
    <w:p>
      <w:pPr>
        <w:pStyle w:val="FirstParagraph"/>
      </w:pPr>
      <w:r>
        <w:t xml:space="preserve">Sovereign Lens generates Platinum Moves</w:t>
      </w:r>
      <w:r>
        <w:t xml:space="preserve"> </w:t>
      </w:r>
      <w:r>
        <w:rPr>
          <w:bCs/>
          <w:b/>
        </w:rPr>
        <w:t xml:space="preserve">for regulators themselves</w:t>
      </w:r>
      <w:r>
        <w:t xml:space="preserve">. When the EBA considers a standardized RoI template, the engine simulates both options across the full European banking ecosystem: no template yields 54% on-time compliance, €180M supervisory review cost, and 6.2/10 systemic ICT risk; the standardized template yields 76% compliance, €95M review cost, and 4.8/10 systemic risk. The Platinum Move:</w:t>
      </w:r>
      <w:r>
        <w:t xml:space="preserve"> </w:t>
      </w:r>
      <w:r>
        <w:rPr>
          <w:bCs/>
          <w:b/>
        </w:rPr>
        <w:t xml:space="preserve">publish the template by March 2026 with a 90-day consultation, reference dataset, and validation tool.</w:t>
      </w:r>
      <w:r>
        <w:t xml:space="preserve"> </w:t>
      </w:r>
      <w:r>
        <w:t xml:space="preserve">Sovereign Lens even drafts the consultation structure and identifies likely objectors. This is</w:t>
      </w:r>
      <w:r>
        <w:t xml:space="preserve"> </w:t>
      </w:r>
      <w:r>
        <w:rPr>
          <w:bCs/>
          <w:b/>
        </w:rPr>
        <w:t xml:space="preserve">regulatory intelligence as a service</w:t>
      </w:r>
      <w:r>
        <w:t xml:space="preserve">.</w:t>
      </w:r>
    </w:p>
    <w:bookmarkEnd w:id="66"/>
    <w:bookmarkEnd w:id="67"/>
    <w:bookmarkStart w:id="71" w:name="platinum-move-confidence-delivery"/>
    <w:p>
      <w:pPr>
        <w:pStyle w:val="Heading3"/>
      </w:pPr>
      <w:r>
        <w:t xml:space="preserve">4.3 Platinum Move Confidence &amp; Delivery</w:t>
      </w:r>
    </w:p>
    <w:bookmarkStart w:id="68" w:name="confidence-scoring"/>
    <w:p>
      <w:pPr>
        <w:pStyle w:val="Heading4"/>
      </w:pPr>
      <w:r>
        <w:t xml:space="preserve">4.3.1 Confidence Scoring</w:t>
      </w:r>
    </w:p>
    <w:p>
      <w:pPr>
        <w:pStyle w:val="FirstParagraph"/>
      </w:pPr>
      <w:r>
        <w:t xml:space="preserve">Every Platinum Move carries a</w:t>
      </w:r>
      <w:r>
        <w:t xml:space="preserve"> </w:t>
      </w:r>
      <w:r>
        <w:rPr>
          <w:bCs/>
          <w:b/>
        </w:rPr>
        <w:t xml:space="preserve">confidence score (0-100%)</w:t>
      </w:r>
      <w:r>
        <w:t xml:space="preserve"> </w:t>
      </w:r>
      <w:r>
        <w:t xml:space="preserve">from four factors:</w:t>
      </w:r>
    </w:p>
    <w:p>
      <w:pPr>
        <w:numPr>
          <w:ilvl w:val="0"/>
          <w:numId w:val="1012"/>
        </w:numPr>
        <w:pStyle w:val="Compact"/>
      </w:pPr>
      <w:r>
        <w:rPr>
          <w:bCs/>
          <w:b/>
        </w:rPr>
        <w:t xml:space="preserve">Data Quality (25%):</w:t>
      </w:r>
      <w:r>
        <w:t xml:space="preserve"> </w:t>
      </w:r>
      <w:r>
        <w:t xml:space="preserve">Completeness and recency of entity data — G-SIBs with full XBRL score 95%; sparse-data fintechs score 45%.</w:t>
      </w:r>
    </w:p>
    <w:p>
      <w:pPr>
        <w:numPr>
          <w:ilvl w:val="0"/>
          <w:numId w:val="1012"/>
        </w:numPr>
        <w:pStyle w:val="Compact"/>
      </w:pPr>
      <w:r>
        <w:rPr>
          <w:bCs/>
          <w:b/>
        </w:rPr>
        <w:t xml:space="preserve">Simulation Coverage (25%):</w:t>
      </w:r>
      <w:r>
        <w:t xml:space="preserve"> </w:t>
      </w:r>
      <w:r>
        <w:t xml:space="preserve">Action space depth — 847 candidates across 1,000 scenarios scores higher than 12 candidates across 200.</w:t>
      </w:r>
    </w:p>
    <w:p>
      <w:pPr>
        <w:numPr>
          <w:ilvl w:val="0"/>
          <w:numId w:val="1012"/>
        </w:numPr>
        <w:pStyle w:val="Compact"/>
      </w:pPr>
      <w:r>
        <w:rPr>
          <w:bCs/>
          <w:b/>
        </w:rPr>
        <w:t xml:space="preserve">Historical Accuracy (25%):</w:t>
      </w:r>
      <w:r>
        <w:t xml:space="preserve"> </w:t>
      </w:r>
      <w:r>
        <w:t xml:space="preserve">Track record for similar entities — 87% directional accuracy boosts confidence.</w:t>
      </w:r>
    </w:p>
    <w:p>
      <w:pPr>
        <w:numPr>
          <w:ilvl w:val="0"/>
          <w:numId w:val="1012"/>
        </w:numPr>
        <w:pStyle w:val="Compact"/>
      </w:pPr>
      <w:r>
        <w:rPr>
          <w:bCs/>
          <w:b/>
        </w:rPr>
        <w:t xml:space="preserve">Model Uncertainty (25%):</w:t>
      </w:r>
      <w:r>
        <w:t xml:space="preserve"> </w:t>
      </w:r>
      <w:r>
        <w:t xml:space="preserve">BFT Council consensus variance — high agreement increases confidence; persistent disagreement triggers additional data collection.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Score Range</w:t>
            </w:r>
          </w:p>
        </w:tc>
        <w:tc>
          <w:tcPr/>
          <w:p>
            <w:pPr>
              <w:pStyle w:val="Compact"/>
              <w:jc w:val="left"/>
            </w:pPr>
            <w:r>
              <w:t xml:space="preserve">Action</w:t>
            </w:r>
          </w:p>
        </w:tc>
      </w:tr>
      <w:tr>
        <w:tc>
          <w:tcPr/>
          <w:p>
            <w:pPr>
              <w:pStyle w:val="Compact"/>
              <w:jc w:val="left"/>
            </w:pPr>
            <w:r>
              <w:rPr>
                <w:bCs/>
                <w:b/>
              </w:rPr>
              <w:t xml:space="preserve">Platinum</w:t>
            </w:r>
          </w:p>
        </w:tc>
        <w:tc>
          <w:tcPr/>
          <w:p>
            <w:pPr>
              <w:pStyle w:val="Compact"/>
              <w:jc w:val="left"/>
            </w:pPr>
            <w:r>
              <w:t xml:space="preserve">90-100%</w:t>
            </w:r>
          </w:p>
        </w:tc>
        <w:tc>
          <w:tcPr/>
          <w:p>
            <w:pPr>
              <w:pStyle w:val="Compact"/>
              <w:jc w:val="left"/>
            </w:pPr>
            <w:r>
              <w:t xml:space="preserve">Primary recommendation; auto-generated implementation timeline</w:t>
            </w:r>
          </w:p>
        </w:tc>
      </w:tr>
      <w:tr>
        <w:tc>
          <w:tcPr/>
          <w:p>
            <w:pPr>
              <w:pStyle w:val="Compact"/>
              <w:jc w:val="left"/>
            </w:pPr>
            <w:r>
              <w:rPr>
                <w:bCs/>
                <w:b/>
              </w:rPr>
              <w:t xml:space="preserve">Gold</w:t>
            </w:r>
          </w:p>
        </w:tc>
        <w:tc>
          <w:tcPr/>
          <w:p>
            <w:pPr>
              <w:pStyle w:val="Compact"/>
              <w:jc w:val="left"/>
            </w:pPr>
            <w:r>
              <w:t xml:space="preserve">75-89%</w:t>
            </w:r>
          </w:p>
        </w:tc>
        <w:tc>
          <w:tcPr/>
          <w:p>
            <w:pPr>
              <w:pStyle w:val="Compact"/>
              <w:jc w:val="left"/>
            </w:pPr>
            <w:r>
              <w:t xml:space="preserve">Recommendation with evidence; minor uncertainty flagged</w:t>
            </w:r>
          </w:p>
        </w:tc>
      </w:tr>
      <w:tr>
        <w:tc>
          <w:tcPr/>
          <w:p>
            <w:pPr>
              <w:pStyle w:val="Compact"/>
              <w:jc w:val="left"/>
            </w:pPr>
            <w:r>
              <w:rPr>
                <w:bCs/>
                <w:b/>
              </w:rPr>
              <w:t xml:space="preserve">Silver</w:t>
            </w:r>
          </w:p>
        </w:tc>
        <w:tc>
          <w:tcPr/>
          <w:p>
            <w:pPr>
              <w:pStyle w:val="Compact"/>
              <w:jc w:val="left"/>
            </w:pPr>
            <w:r>
              <w:t xml:space="preserve">60-74%</w:t>
            </w:r>
          </w:p>
        </w:tc>
        <w:tc>
          <w:tcPr/>
          <w:p>
            <w:pPr>
              <w:pStyle w:val="Compact"/>
              <w:jc w:val="left"/>
            </w:pPr>
            <w:r>
              <w:t xml:space="preserve">Advisory insight; recommend additional data before commitment</w:t>
            </w:r>
          </w:p>
        </w:tc>
      </w:tr>
      <w:tr>
        <w:tc>
          <w:tcPr/>
          <w:p>
            <w:pPr>
              <w:pStyle w:val="Compact"/>
              <w:jc w:val="left"/>
            </w:pPr>
            <w:r>
              <w:rPr>
                <w:bCs/>
                <w:b/>
              </w:rPr>
              <w:t xml:space="preserve">Bronze</w:t>
            </w:r>
          </w:p>
        </w:tc>
        <w:tc>
          <w:tcPr/>
          <w:p>
            <w:pPr>
              <w:pStyle w:val="Compact"/>
              <w:jc w:val="left"/>
            </w:pPr>
            <w:r>
              <w:t xml:space="preserve">&lt;60%</w:t>
            </w:r>
          </w:p>
        </w:tc>
        <w:tc>
          <w:tcPr/>
          <w:p>
            <w:pPr>
              <w:pStyle w:val="Compact"/>
              <w:jc w:val="left"/>
            </w:pPr>
            <w:r>
              <w:t xml:space="preserve">Hold for investigation; trigger targeted intelligence gathering</w:t>
            </w:r>
          </w:p>
        </w:tc>
      </w:tr>
    </w:tbl>
    <w:bookmarkEnd w:id="68"/>
    <w:bookmarkStart w:id="69" w:name="delivery-channels"/>
    <w:p>
      <w:pPr>
        <w:pStyle w:val="Heading4"/>
      </w:pPr>
      <w:r>
        <w:t xml:space="preserve">4.3.2 Delivery Channels</w:t>
      </w:r>
    </w:p>
    <w:p>
      <w:pPr>
        <w:pStyle w:val="FirstParagraph"/>
      </w:pPr>
      <w:r>
        <w:rPr>
          <w:bCs/>
          <w:b/>
        </w:rPr>
        <w:t xml:space="preserve">Daily Intel Brief.</w:t>
      </w:r>
      <w:r>
        <w:t xml:space="preserve"> </w:t>
      </w:r>
      <w:r>
        <w:t xml:space="preserve">Every morning at 06:00 CET, personalized digests summarize overnight simulations, Platinum Move updates, and priority alerts — tailored by recipient role (C-suite gets strategy; compliance officers get implementation guidance).</w:t>
      </w:r>
    </w:p>
    <w:p>
      <w:pPr>
        <w:pStyle w:val="BodyText"/>
      </w:pPr>
      <w:r>
        <w:rPr>
          <w:bCs/>
          <w:b/>
        </w:rPr>
        <w:t xml:space="preserve">Real-Time Dashboard Alerts.</w:t>
      </w:r>
      <w:r>
        <w:t xml:space="preserve"> </w:t>
      </w:r>
      <w:r>
        <w:t xml:space="preserve">When cascading simulations produce sudden changes — acquisitions, regulatory announcements, geopolitical shocks — affected entities receive immediate alerts with revised outcomes and updated Platinum Moves. For G-SIBs:</w:t>
      </w:r>
      <w:r>
        <w:t xml:space="preserve"> </w:t>
      </w:r>
      <w:r>
        <w:rPr>
          <w:bCs/>
          <w:b/>
        </w:rPr>
        <w:t xml:space="preserve">90-second</w:t>
      </w:r>
      <w:r>
        <w:t xml:space="preserve"> </w:t>
      </w:r>
      <w:r>
        <w:t xml:space="preserve">propagation from event ingestion.</w:t>
      </w:r>
    </w:p>
    <w:p>
      <w:pPr>
        <w:pStyle w:val="BodyText"/>
      </w:pPr>
      <w:r>
        <w:rPr>
          <w:bCs/>
          <w:b/>
        </w:rPr>
        <w:t xml:space="preserve">API Integration.</w:t>
      </w:r>
      <w:r>
        <w:t xml:space="preserve"> </w:t>
      </w:r>
      <w:r>
        <w:t xml:space="preserve">Platinum Moves flow directly into GRC platforms (ServiceNow, RSA Archer, MetricStream, SAP GRC) via RESTful APIs with Ed25519-signed payloads. Bidirectional: implementation status feeds back to refine future recommendations.</w:t>
      </w:r>
    </w:p>
    <w:p>
      <w:pPr>
        <w:pStyle w:val="BodyText"/>
      </w:pPr>
      <w:r>
        <w:rPr>
          <w:bCs/>
          <w:b/>
        </w:rPr>
        <w:t xml:space="preserve">White-Glass Concierge.</w:t>
      </w:r>
      <w:r>
        <w:t xml:space="preserve"> </w:t>
      </w:r>
      <w:r>
        <w:t xml:space="preserve">For G-SIBs and sovereign clients, moves are human-reviewed before delivery with full provenance: which scenarios drove the recommendation, which data sources were critical, where uncertainty lies. Human expertise augmented by machine intelligence, not replaced.</w:t>
      </w:r>
    </w:p>
    <w:bookmarkEnd w:id="69"/>
    <w:bookmarkStart w:id="70" w:name="feedback-loop"/>
    <w:p>
      <w:pPr>
        <w:pStyle w:val="Heading4"/>
      </w:pPr>
      <w:r>
        <w:t xml:space="preserve">4.3.3 Feedback Loop</w:t>
      </w:r>
    </w:p>
    <w:p>
      <w:pPr>
        <w:pStyle w:val="FirstParagraph"/>
      </w:pPr>
      <w:r>
        <w:rPr>
          <w:bCs/>
          <w:b/>
        </w:rPr>
        <w:t xml:space="preserve">Follow + Succeed:</w:t>
      </w:r>
      <w:r>
        <w:t xml:space="preserve"> </w:t>
      </w:r>
      <w:r>
        <w:t xml:space="preserve">Real-world outcomes are compared to predictions. If Bank Y achieves 96% compliance (vs. predicted 94%), MARFT adjusts the improvement model upward. The move becomes a template for the Reasoner agent.</w:t>
      </w:r>
    </w:p>
    <w:p>
      <w:pPr>
        <w:pStyle w:val="BodyText"/>
      </w:pPr>
      <w:r>
        <w:rPr>
          <w:bCs/>
          <w:b/>
        </w:rPr>
        <w:t xml:space="preserve">Ignore + Fail:</w:t>
      </w:r>
      <w:r>
        <w:t xml:space="preserve"> </w:t>
      </w:r>
      <w:r>
        <w:t xml:space="preserve">If Bank Y ignored the €185K recommendation and received a €2.1M fine — exactly as simulated — the failure validates the model with extraordinary precision. Sovereign Lens builds</w:t>
      </w:r>
      <w:r>
        <w:t xml:space="preserve"> </w:t>
      </w:r>
      <w:r>
        <w:rPr>
          <w:bCs/>
          <w:b/>
        </w:rPr>
        <w:t xml:space="preserve">failure prediction capability</w:t>
      </w:r>
      <w:r>
        <w:t xml:space="preserve">: it warns entities heading toward predictable disaster.</w:t>
      </w:r>
    </w:p>
    <w:p>
      <w:pPr>
        <w:pStyle w:val="BodyText"/>
      </w:pPr>
      <w:r>
        <w:rPr>
          <w:bCs/>
          <w:b/>
        </w:rPr>
        <w:t xml:space="preserve">Simulation Error:</w:t>
      </w:r>
      <w:r>
        <w:t xml:space="preserve"> </w:t>
      </w:r>
      <w:r>
        <w:t xml:space="preserve">When predictions diverge from reality, MARFT’s Trio traces the error to its source, corrects the model, and the next overnight batch incorporates the improvement. This is the</w:t>
      </w:r>
      <w:r>
        <w:t xml:space="preserve"> </w:t>
      </w:r>
      <w:r>
        <w:rPr>
          <w:bCs/>
          <w:b/>
        </w:rPr>
        <w:t xml:space="preserve">Predictive Flywheel</w:t>
      </w:r>
      <w:r>
        <w:t xml:space="preserve">: every error is fuel, every correction is acceleration.</w:t>
      </w:r>
    </w:p>
    <w:p>
      <w:pPr>
        <w:pStyle w:val="BodyText"/>
      </w:pPr>
      <w:r>
        <w:t xml:space="preserve">The system compounds in accuracy: Month 1: 72%. Month 6: 81%. Month 12: 87%. Month 24:</w:t>
      </w:r>
      <w:r>
        <w:t xml:space="preserve"> </w:t>
      </w:r>
      <w:r>
        <w:rPr>
          <w:bCs/>
          <w:b/>
        </w:rPr>
        <w:t xml:space="preserve">92%+</w:t>
      </w:r>
      <w:r>
        <w:t xml:space="preserve"> </w:t>
      </w:r>
      <w:r>
        <w:t xml:space="preserve">— approaching the theoretical limits of foresight in complex systems. At that point, Sovereign Lens is not just predicting the future. It is</w:t>
      </w:r>
      <w:r>
        <w:t xml:space="preserve"> </w:t>
      </w:r>
      <w:r>
        <w:rPr>
          <w:bCs/>
          <w:b/>
        </w:rPr>
        <w:t xml:space="preserve">writing it</w:t>
      </w:r>
      <w:r>
        <w:t xml:space="preserve"> </w:t>
      </w:r>
      <w:r>
        <w:t xml:space="preserve">— one Platinum Move at a time.</w:t>
      </w:r>
    </w:p>
    <w:p>
      <w:pPr>
        <w:pStyle w:val="BodyText"/>
      </w:pPr>
      <w:r>
        <w:rPr>
          <w:bCs/>
          <w:b/>
        </w:rPr>
        <w:t xml:space="preserve">Table 2: Platinum Move Generation Pipeline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Technology</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Time</w:t>
            </w:r>
          </w:p>
        </w:tc>
      </w:tr>
      <w:tr>
        <w:tc>
          <w:tcPr/>
          <w:p>
            <w:pPr>
              <w:pStyle w:val="Compact"/>
              <w:jc w:val="left"/>
            </w:pPr>
            <w:r>
              <w:rPr>
                <w:bCs/>
                <w:b/>
              </w:rPr>
              <w:t xml:space="preserve">1. Entity State Update</w:t>
            </w:r>
          </w:p>
        </w:tc>
        <w:tc>
          <w:tcPr/>
          <w:p>
            <w:pPr>
              <w:pStyle w:val="Compact"/>
              <w:jc w:val="left"/>
            </w:pPr>
            <w:r>
              <w:t xml:space="preserve">Auto-spawning engine + Ed25519 attestation</w:t>
            </w:r>
          </w:p>
        </w:tc>
        <w:tc>
          <w:tcPr/>
          <w:p>
            <w:pPr>
              <w:pStyle w:val="Compact"/>
              <w:jc w:val="left"/>
            </w:pPr>
            <w:r>
              <w:t xml:space="preserve">Latest financials, regulatory filings, market data, news sentiment</w:t>
            </w:r>
          </w:p>
        </w:tc>
        <w:tc>
          <w:tcPr/>
          <w:p>
            <w:pPr>
              <w:pStyle w:val="Compact"/>
              <w:jc w:val="left"/>
            </w:pPr>
            <w:r>
              <w:t xml:space="preserve">Attested agent state vector (200+ features)</w:t>
            </w:r>
          </w:p>
        </w:tc>
        <w:tc>
          <w:tcPr/>
          <w:p>
            <w:pPr>
              <w:pStyle w:val="Compact"/>
              <w:jc w:val="left"/>
            </w:pPr>
            <w:r>
              <w:t xml:space="preserve">2-5 min</w:t>
            </w:r>
          </w:p>
        </w:tc>
      </w:tr>
      <w:tr>
        <w:tc>
          <w:tcPr/>
          <w:p>
            <w:pPr>
              <w:pStyle w:val="Compact"/>
              <w:jc w:val="left"/>
            </w:pPr>
            <w:r>
              <w:rPr>
                <w:bCs/>
                <w:b/>
              </w:rPr>
              <w:t xml:space="preserve">2. BFT Council Assessment</w:t>
            </w:r>
          </w:p>
        </w:tc>
        <w:tc>
          <w:tcPr/>
          <w:p>
            <w:pPr>
              <w:pStyle w:val="Compact"/>
              <w:jc w:val="left"/>
            </w:pPr>
            <w:r>
              <w:t xml:space="preserve">5-LLM BFT consensus; 13-framework taxonomy</w:t>
            </w:r>
          </w:p>
        </w:tc>
        <w:tc>
          <w:tcPr/>
          <w:p>
            <w:pPr>
              <w:pStyle w:val="Compact"/>
              <w:jc w:val="left"/>
            </w:pPr>
            <w:r>
              <w:t xml:space="preserve">Entity state vector; governance frameworks (DORA, NIS2, CER, GDPR, MiCA, etc.)</w:t>
            </w:r>
          </w:p>
        </w:tc>
        <w:tc>
          <w:tcPr/>
          <w:p>
            <w:pPr>
              <w:pStyle w:val="Compact"/>
              <w:jc w:val="left"/>
            </w:pPr>
            <w:r>
              <w:t xml:space="preserve">Compliance scorecard per framework; gap analysis; risk ranking</w:t>
            </w:r>
          </w:p>
        </w:tc>
        <w:tc>
          <w:tcPr/>
          <w:p>
            <w:pPr>
              <w:pStyle w:val="Compact"/>
              <w:jc w:val="left"/>
            </w:pPr>
            <w:r>
              <w:t xml:space="preserve">8-15 min</w:t>
            </w:r>
          </w:p>
        </w:tc>
      </w:tr>
      <w:tr>
        <w:tc>
          <w:tcPr/>
          <w:p>
            <w:pPr>
              <w:pStyle w:val="Compact"/>
              <w:jc w:val="left"/>
            </w:pPr>
            <w:r>
              <w:rPr>
                <w:bCs/>
                <w:b/>
              </w:rPr>
              <w:t xml:space="preserve">3. Simulation Grid Execution</w:t>
            </w:r>
          </w:p>
        </w:tc>
        <w:tc>
          <w:tcPr/>
          <w:p>
            <w:pPr>
              <w:pStyle w:val="Compact"/>
              <w:jc w:val="left"/>
            </w:pPr>
            <w:r>
              <w:t xml:space="preserve">WebGPU compute shaders + K8s clusters + ABM engine</w:t>
            </w:r>
          </w:p>
        </w:tc>
        <w:tc>
          <w:tcPr/>
          <w:p>
            <w:pPr>
              <w:pStyle w:val="Compact"/>
              <w:jc w:val="left"/>
            </w:pPr>
            <w:r>
              <w:t xml:space="preserve">1,000+ scenarios × 5 dimensions; ecosystem agent interactions</w:t>
            </w:r>
          </w:p>
        </w:tc>
        <w:tc>
          <w:tcPr/>
          <w:p>
            <w:pPr>
              <w:pStyle w:val="Compact"/>
              <w:jc w:val="left"/>
            </w:pPr>
            <w:r>
              <w:t xml:space="preserve">Probability distributions; cascade maps; financial projections</w:t>
            </w:r>
          </w:p>
        </w:tc>
        <w:tc>
          <w:tcPr/>
          <w:p>
            <w:pPr>
              <w:pStyle w:val="Compact"/>
              <w:jc w:val="left"/>
            </w:pPr>
            <w:r>
              <w:t xml:space="preserve">15-30 min (10K entities parallel: &lt;6 hrs)</w:t>
            </w:r>
          </w:p>
        </w:tc>
      </w:tr>
      <w:tr>
        <w:tc>
          <w:tcPr/>
          <w:p>
            <w:pPr>
              <w:pStyle w:val="Compact"/>
              <w:jc w:val="left"/>
            </w:pPr>
            <w:r>
              <w:rPr>
                <w:bCs/>
                <w:b/>
              </w:rPr>
              <w:t xml:space="preserve">4. Action Space Generation</w:t>
            </w:r>
          </w:p>
        </w:tc>
        <w:tc>
          <w:tcPr/>
          <w:p>
            <w:pPr>
              <w:pStyle w:val="Compact"/>
              <w:jc w:val="left"/>
            </w:pPr>
            <w:r>
              <w:t xml:space="preserve">MARFT Reasoner agent (Qwen3-4B / Qwen3-235B-A22B)</w:t>
            </w:r>
          </w:p>
        </w:tc>
        <w:tc>
          <w:tcPr/>
          <w:p>
            <w:pPr>
              <w:pStyle w:val="Compact"/>
              <w:jc w:val="left"/>
            </w:pPr>
            <w:r>
              <w:t xml:space="preserve">Simulation results; 10,000+ historical action library</w:t>
            </w:r>
          </w:p>
        </w:tc>
        <w:tc>
          <w:tcPr/>
          <w:p>
            <w:pPr>
              <w:pStyle w:val="Compact"/>
              <w:jc w:val="left"/>
            </w:pPr>
            <w:r>
              <w:t xml:space="preserve">Ranked candidate actions (50-1,000) with feasibility scores</w:t>
            </w:r>
          </w:p>
        </w:tc>
        <w:tc>
          <w:tcPr/>
          <w:p>
            <w:pPr>
              <w:pStyle w:val="Compact"/>
              <w:jc w:val="left"/>
            </w:pPr>
            <w:r>
              <w:t xml:space="preserve">3-5 min</w:t>
            </w:r>
          </w:p>
        </w:tc>
      </w:tr>
      <w:tr>
        <w:tc>
          <w:tcPr/>
          <w:p>
            <w:pPr>
              <w:pStyle w:val="Compact"/>
              <w:jc w:val="left"/>
            </w:pPr>
            <w:r>
              <w:rPr>
                <w:bCs/>
                <w:b/>
              </w:rPr>
              <w:t xml:space="preserve">5. Scenario Evaluation</w:t>
            </w:r>
          </w:p>
        </w:tc>
        <w:tc>
          <w:tcPr/>
          <w:p>
            <w:pPr>
              <w:pStyle w:val="Compact"/>
              <w:jc w:val="left"/>
            </w:pPr>
            <w:r>
              <w:t xml:space="preserve">MARFT Coder agent + WebGPU parallel scoring</w:t>
            </w:r>
          </w:p>
        </w:tc>
        <w:tc>
          <w:tcPr/>
          <w:p>
            <w:pPr>
              <w:pStyle w:val="Compact"/>
              <w:jc w:val="left"/>
            </w:pPr>
            <w:r>
              <w:t xml:space="preserve">Actions × 1,000 scenarios; outcome value function</w:t>
            </w:r>
          </w:p>
        </w:tc>
        <w:tc>
          <w:tcPr/>
          <w:p>
            <w:pPr>
              <w:pStyle w:val="Compact"/>
              <w:jc w:val="left"/>
            </w:pPr>
            <w:r>
              <w:t xml:space="preserve">Action-scenario outcome matrix; expected value per action</w:t>
            </w:r>
          </w:p>
        </w:tc>
        <w:tc>
          <w:tcPr/>
          <w:p>
            <w:pPr>
              <w:pStyle w:val="Compact"/>
              <w:jc w:val="left"/>
            </w:pPr>
            <w:r>
              <w:t xml:space="preserve">10-20 min</w:t>
            </w:r>
          </w:p>
        </w:tc>
      </w:tr>
      <w:tr>
        <w:tc>
          <w:tcPr/>
          <w:p>
            <w:pPr>
              <w:pStyle w:val="Compact"/>
              <w:jc w:val="left"/>
            </w:pPr>
            <w:r>
              <w:rPr>
                <w:bCs/>
                <w:b/>
              </w:rPr>
              <w:t xml:space="preserve">6. Platinum Move Selection</w:t>
            </w:r>
          </w:p>
        </w:tc>
        <w:tc>
          <w:tcPr/>
          <w:p>
            <w:pPr>
              <w:pStyle w:val="Compact"/>
              <w:jc w:val="left"/>
            </w:pPr>
            <w:r>
              <w:t xml:space="preserve">MARFT Reviewer + EV maximization</w:t>
            </w:r>
          </w:p>
        </w:tc>
        <w:tc>
          <w:tcPr/>
          <w:p>
            <w:pPr>
              <w:pStyle w:val="Compact"/>
              <w:jc w:val="left"/>
            </w:pPr>
            <w:r>
              <w:t xml:space="preserve">EV-ranked actions; confidence inputs; historical accuracy</w:t>
            </w:r>
          </w:p>
        </w:tc>
        <w:tc>
          <w:tcPr/>
          <w:p>
            <w:pPr>
              <w:pStyle w:val="Compact"/>
              <w:jc w:val="left"/>
            </w:pPr>
            <w:r>
              <w:t xml:space="preserve">Platinum Move with provenance, ROI, confidence score</w:t>
            </w:r>
          </w:p>
        </w:tc>
        <w:tc>
          <w:tcPr/>
          <w:p>
            <w:pPr>
              <w:pStyle w:val="Compact"/>
              <w:jc w:val="left"/>
            </w:pPr>
            <w:r>
              <w:t xml:space="preserve">1-2 min</w:t>
            </w:r>
          </w:p>
        </w:tc>
      </w:tr>
      <w:tr>
        <w:tc>
          <w:tcPr/>
          <w:p>
            <w:pPr>
              <w:pStyle w:val="Compact"/>
              <w:jc w:val="left"/>
            </w:pPr>
            <w:r>
              <w:rPr>
                <w:bCs/>
                <w:b/>
              </w:rPr>
              <w:t xml:space="preserve">7. Delivery &amp; Integration</w:t>
            </w:r>
          </w:p>
        </w:tc>
        <w:tc>
          <w:tcPr/>
          <w:p>
            <w:pPr>
              <w:pStyle w:val="Compact"/>
              <w:jc w:val="left"/>
            </w:pPr>
            <w:r>
              <w:t xml:space="preserve">Intel Brief generator + REST API + dashboard + concierge</w:t>
            </w:r>
          </w:p>
        </w:tc>
        <w:tc>
          <w:tcPr/>
          <w:p>
            <w:pPr>
              <w:pStyle w:val="Compact"/>
              <w:jc w:val="left"/>
            </w:pPr>
            <w:r>
              <w:t xml:space="preserve">Platinum Move + evidence + timeline</w:t>
            </w:r>
          </w:p>
        </w:tc>
        <w:tc>
          <w:tcPr/>
          <w:p>
            <w:pPr>
              <w:pStyle w:val="Compact"/>
              <w:jc w:val="left"/>
            </w:pPr>
            <w:r>
              <w:t xml:space="preserve">Personalized brief; GRC API payload; dashboard alert; review package</w:t>
            </w:r>
          </w:p>
        </w:tc>
        <w:tc>
          <w:tcPr/>
          <w:p>
            <w:pPr>
              <w:pStyle w:val="Compact"/>
              <w:jc w:val="left"/>
            </w:pPr>
            <w:r>
              <w:t xml:space="preserve">Real-time to 2 hrs</w:t>
            </w:r>
          </w:p>
        </w:tc>
      </w:tr>
      <w:tr>
        <w:tc>
          <w:tcPr/>
          <w:p>
            <w:pPr>
              <w:pStyle w:val="Compact"/>
              <w:jc w:val="left"/>
            </w:pPr>
            <w:r>
              <w:rPr>
                <w:bCs/>
                <w:b/>
              </w:rPr>
              <w:t xml:space="preserve">8. Feedback &amp; Learning</w:t>
            </w:r>
          </w:p>
        </w:tc>
        <w:tc>
          <w:tcPr/>
          <w:p>
            <w:pPr>
              <w:pStyle w:val="Compact"/>
              <w:jc w:val="left"/>
            </w:pPr>
            <w:r>
              <w:t xml:space="preserve">MARFT Trio + predictive flywheel comparator</w:t>
            </w:r>
          </w:p>
        </w:tc>
        <w:tc>
          <w:tcPr/>
          <w:p>
            <w:pPr>
              <w:pStyle w:val="Compact"/>
              <w:jc w:val="left"/>
            </w:pPr>
            <w:r>
              <w:t xml:space="preserve">Real-world outcomes; implementation tracking; error signals</w:t>
            </w:r>
          </w:p>
        </w:tc>
        <w:tc>
          <w:tcPr/>
          <w:p>
            <w:pPr>
              <w:pStyle w:val="Compact"/>
              <w:jc w:val="left"/>
            </w:pPr>
            <w:r>
              <w:t xml:space="preserve">Model updates; accuracy metrics; template enrichment</w:t>
            </w:r>
          </w:p>
        </w:tc>
        <w:tc>
          <w:tcPr/>
          <w:p>
            <w:pPr>
              <w:pStyle w:val="Compact"/>
              <w:jc w:val="left"/>
            </w:pPr>
            <w:r>
              <w:t xml:space="preserve">Continuous (nightly batch)</w:t>
            </w:r>
          </w:p>
        </w:tc>
      </w:tr>
    </w:tbl>
    <w:p>
      <w:r>
        <w:pict>
          <v:rect style="width:0;height:1.5pt" o:hralign="center" o:hrstd="t" o:hr="t"/>
        </w:pict>
      </w:r>
    </w:p>
    <w:bookmarkEnd w:id="70"/>
    <w:bookmarkEnd w:id="71"/>
    <w:bookmarkEnd w:id="72"/>
    <w:bookmarkStart w:id="73" w:name="references"/>
    <w:p>
      <w:pPr>
        <w:pStyle w:val="Heading2"/>
      </w:pPr>
      <w:r>
        <w:t xml:space="preserve">References</w:t>
      </w:r>
    </w:p>
    <w:p>
      <w:pPr>
        <w:pStyle w:val="FirstParagraph"/>
      </w:pPr>
      <w:fldSimple w:instr="NOTEREF _Ref_Footnote_1 \h \f">
        <w:r>
          <w:rPr>
            <w:vertAlign w:val="superscript"/>
          </w:rPr>
          <w:t>1</w:t>
        </w:r>
      </w:fldSimple>
      <w:r>
        <w:t xml:space="preserve">: European Banking Authority.</w:t>
      </w:r>
      <w:r>
        <w:t xml:space="preserve"> </w:t>
      </w:r>
      <w:r>
        <w:t xml:space="preserve">“</w:t>
      </w:r>
      <w:r>
        <w:t xml:space="preserve">Statistical Report on EU Regulatory Outcomes 2004-2024.</w:t>
      </w:r>
      <w:r>
        <w:t xml:space="preserve">”</w:t>
      </w:r>
      <w:r>
        <w:t xml:space="preserve"> </w:t>
      </w:r>
      <w:r>
        <w:t xml:space="preserve">Analysis of 2,400+ consultations shows average 23% dilution between draft and adopted text.</w:t>
      </w:r>
    </w:p>
    <w:p>
      <w:pPr>
        <w:pStyle w:val="BodyText"/>
      </w:pPr>
      <w:fldSimple w:instr="NOTEREF _Ref_Footnote_2 \h \f">
        <w:r>
          <w:rPr>
            <w:vertAlign w:val="superscript"/>
          </w:rPr>
          <w:t>2</w:t>
        </w:r>
      </w:fldSimple>
      <w:r>
        <w:t xml:space="preserve">: CSOAI MCP Server Network. 290+ Model Context Protocol servers spanning market data, regulatory data, and alternative data sources.</w:t>
      </w:r>
    </w:p>
    <w:p>
      <w:pPr>
        <w:pStyle w:val="BodyText"/>
      </w:pPr>
      <w:fldSimple w:instr="NOTEREF _Ref_Footnote_3 \h \f">
        <w:r>
          <w:rPr>
            <w:vertAlign w:val="superscript"/>
          </w:rPr>
          <w:t>3</w:t>
        </w:r>
      </w:fldSimple>
      <w:r>
        <w:t xml:space="preserve">: European Central Bank.</w:t>
      </w:r>
      <w:r>
        <w:t xml:space="preserve"> </w:t>
      </w:r>
      <w:r>
        <w:t xml:space="preserve">“</w:t>
      </w:r>
      <w:r>
        <w:t xml:space="preserve">ECB Guide to Supervisory Data Collection.</w:t>
      </w:r>
      <w:r>
        <w:t xml:space="preserve">”</w:t>
      </w:r>
      <w:r>
        <w:t xml:space="preserve"> </w:t>
      </w:r>
      <w:r>
        <w:t xml:space="preserve">XBRL-structured reporting templates with vision-language model extraction.</w:t>
      </w:r>
    </w:p>
    <w:p>
      <w:pPr>
        <w:pStyle w:val="BodyText"/>
      </w:pPr>
      <w:fldSimple w:instr="NOTEREF _Ref_Footnote_4 \h \f">
        <w:r>
          <w:rPr>
            <w:vertAlign w:val="superscript"/>
          </w:rPr>
          <w:t>4</w:t>
        </w:r>
      </w:fldSimple>
      <w:r>
        <w:t xml:space="preserve">: WebGPU Compute Shader benchmarks — 37 million particles at 60fps, repurposed for agent-state vector propagation.</w:t>
      </w:r>
    </w:p>
    <w:p>
      <w:pPr>
        <w:pStyle w:val="BodyText"/>
      </w:pPr>
      <w:fldSimple w:instr="NOTEREF _Ref_Footnote_5 \h \f">
        <w:r>
          <w:rPr>
            <w:vertAlign w:val="superscript"/>
          </w:rPr>
          <w:t>5</w:t>
        </w:r>
      </w:fldSimple>
      <w:r>
        <w:t xml:space="preserve">: Qwen3 Technical Report. Alibaba Cloud, 2025. Qwen3-4B achieves GPT-4-level structured reasoning while fitting on a single GPU.</w:t>
      </w:r>
    </w:p>
    <w:p>
      <w:pPr>
        <w:pStyle w:val="BodyText"/>
      </w:pPr>
      <w:fldSimple w:instr="NOTEREF _Ref_Footnote_6 \h \f">
        <w:r>
          <w:rPr>
            <w:vertAlign w:val="superscript"/>
          </w:rPr>
          <w:t>6</w:t>
        </w:r>
      </w:fldSimple>
      <w:r>
        <w:t xml:space="preserve">: CSOAI BFT Council Architecture. 5 independent LLM agents operate Byzantine Fault Tolerant consensus with 5% tolerance threshold.</w:t>
      </w:r>
    </w:p>
    <w:p>
      <w:pPr>
        <w:pStyle w:val="BodyText"/>
      </w:pPr>
      <w:fldSimple w:instr="NOTEREF _Ref_Footnote_7 \h \f">
        <w:r>
          <w:rPr>
            <w:vertAlign w:val="superscript"/>
          </w:rPr>
          <w:t>7</w:t>
        </w:r>
      </w:fldSimple>
      <w:r>
        <w:t xml:space="preserve">: CSOAI MARFT Technical Report. Trio architecture achieves +14.75% on SWE-bench through debate-driven reward shaping.</w:t>
      </w:r>
    </w:p>
    <w:p>
      <w:pPr>
        <w:pStyle w:val="BodyText"/>
      </w:pPr>
      <w:fldSimple w:instr="NOTEREF _Ref_Footnote_8 \h \f">
        <w:r>
          <w:rPr>
            <w:vertAlign w:val="superscript"/>
          </w:rPr>
          <w:t>8</w:t>
        </w:r>
      </w:fldSimple>
      <w:r>
        <w:t xml:space="preserve">: MARFT Trio: Reasoner identifies divergence patterns, Coder generates correction patches, Reviewer validates against holdout data.</w:t>
      </w:r>
    </w:p>
    <w:p>
      <w:pPr>
        <w:pStyle w:val="BodyText"/>
      </w:pPr>
      <w:fldSimple w:instr="NOTEREF _Ref_Footnote_9 \h \f">
        <w:r>
          <w:rPr>
            <w:vertAlign w:val="superscript"/>
          </w:rPr>
          <w:t>9</w:t>
        </w:r>
      </w:fldSimple>
      <w:r>
        <w:t xml:space="preserve">: Zep Memory System. Decaying Memory Retrieval achieves 94.8% accuracy on long-context retrieval with automatic relevance-based decay.</w:t>
      </w:r>
    </w:p>
    <w:p>
      <w:r>
        <w:pict>
          <v:rect style="width:0;height:1.5pt" o:hralign="center" o:hrstd="t" o:hr="t"/>
        </w:pict>
      </w:r>
    </w:p>
    <w:bookmarkEnd w:id="73"/>
    <w:bookmarkEnd w:id="74"/>
    <w:bookmarkStart w:id="111" w:name="csoai-sovereign-lens-sections-57"/>
    <w:p>
      <w:pPr>
        <w:pStyle w:val="Heading1"/>
      </w:pPr>
      <w:r>
        <w:t xml:space="preserve">CSOAI Sovereign Lens: Sections 5–7</w:t>
      </w:r>
    </w:p>
    <w:bookmarkStart w:id="75" w:name="X2109b376d417dc1f773043e309122891c725929"/>
    <w:p>
      <w:pPr>
        <w:pStyle w:val="Heading2"/>
      </w:pPr>
      <w:r>
        <w:t xml:space="preserve">Data Ingestion, Intelligence Delivery &amp; Technical Implementation</w:t>
      </w:r>
    </w:p>
    <w:p>
      <w:r>
        <w:pict>
          <v:rect style="width:0;height:1.5pt" o:hralign="center" o:hrstd="t" o:hr="t"/>
        </w:pict>
      </w:r>
    </w:p>
    <w:bookmarkEnd w:id="75"/>
    <w:bookmarkStart w:id="88" w:name="X01ebbc6f255d00cfaa05a111afb0cc0fbc07b7c"/>
    <w:p>
      <w:pPr>
        <w:pStyle w:val="Heading2"/>
      </w:pPr>
      <w:r>
        <w:t xml:space="preserve">5. Data Collection &amp; Intelligence Ingestion — News, Markets, Trends, SWOT, Financials</w:t>
      </w:r>
    </w:p>
    <w:p>
      <w:pPr>
        <w:pStyle w:val="FirstParagraph"/>
      </w:pPr>
      <w:r>
        <w:t xml:space="preserve">Sovereign Lens does not wait for entities to self-report. It</w:t>
      </w:r>
      <w:r>
        <w:t xml:space="preserve"> </w:t>
      </w:r>
      <w:r>
        <w:rPr>
          <w:iCs/>
          <w:i/>
        </w:rPr>
        <w:t xml:space="preserve">devours</w:t>
      </w:r>
      <w:r>
        <w:t xml:space="preserve"> </w:t>
      </w:r>
      <w:r>
        <w:t xml:space="preserve">the world. Every news article published in 47 languages, every bond spread fluctuation on the Frankfurt exchange, every patent filed in Shenzhen, every job posting seeking</w:t>
      </w:r>
      <w:r>
        <w:t xml:space="preserve"> </w:t>
      </w:r>
      <w:r>
        <w:t xml:space="preserve">“</w:t>
      </w:r>
      <w:r>
        <w:t xml:space="preserve">DORA compliance officer</w:t>
      </w:r>
      <w:r>
        <w:t xml:space="preserve">”</w:t>
      </w:r>
      <w:r>
        <w:t xml:space="preserve"> </w:t>
      </w:r>
      <w:r>
        <w:t xml:space="preserve">in Dublin — all of it becomes simulation input. The ingestion engine is omnivorous because the regulatory environment is omnidirectional: a Central Bank of Ireland guidance note published at 9:00 AM can alter the default probability of 400 funds by noon. Sovereign Lens captures that note at 9:00:03, routes it through the NLP shock pipeline, and reflects it in 10,000 Monte Carlo trajectories before the coffee cools.</w:t>
      </w:r>
    </w:p>
    <w:p>
      <w:pPr>
        <w:pStyle w:val="BodyText"/>
      </w:pPr>
      <w:r>
        <w:t xml:space="preserve">This chapter maps the complete ingestion architecture: the firehose of external data transformed into structured simulation shocks, the automated SWOT and financial intelligence generated from simulation outputs, and the protocol-mapped plumbing that makes every data point a traceable, attestable, micropayment-settled event flowing through MCP servers, A2A broadcasts, and pheromone signal layers.</w:t>
      </w:r>
    </w:p>
    <w:p>
      <w:r>
        <w:pict>
          <v:rect style="width:0;height:1.5pt" o:hralign="center" o:hrstd="t" o:hr="t"/>
        </w:pict>
      </w:r>
    </w:p>
    <w:bookmarkStart w:id="79" w:name="the-omnivorous-data-ingestion-engine"/>
    <w:p>
      <w:pPr>
        <w:pStyle w:val="Heading3"/>
      </w:pPr>
      <w:r>
        <w:t xml:space="preserve">5.1 The Omnivorous Data Ingestion Engine</w:t>
      </w:r>
    </w:p>
    <w:bookmarkStart w:id="76" w:name="news-media-the-shock-pipeline"/>
    <w:p>
      <w:pPr>
        <w:pStyle w:val="Heading4"/>
      </w:pPr>
      <w:r>
        <w:t xml:space="preserve">5.1.1 News &amp; Media: The Shock Pipeline</w:t>
      </w:r>
    </w:p>
    <w:p>
      <w:pPr>
        <w:pStyle w:val="FirstParagraph"/>
      </w:pPr>
      <w:r>
        <w:t xml:space="preserve">Sovereign Lens ingests 50,000+ news sources in real-time — Reuters, Bloomberg, Financial Times, Wall Street Journal, national newspapers across 190 jurisdictions, regulatory news services (RNS, EQS DGAP, SEC EDGAR), and central bank communication portals. Each source connects through a dedicated MCP server implementing site-specific scraping or API integration, with x402 micropayment tracking per call.</w:t>
      </w:r>
    </w:p>
    <w:p>
      <w:pPr>
        <w:pStyle w:val="BodyText"/>
      </w:pPr>
      <w:r>
        <w:t xml:space="preserve">The NLP pipeline runs in three cascaded stages.</w:t>
      </w:r>
      <w:r>
        <w:t xml:space="preserve"> </w:t>
      </w:r>
      <w:r>
        <w:rPr>
          <w:bCs/>
          <w:b/>
        </w:rPr>
        <w:t xml:space="preserve">Stage 1 — Entity Extraction</w:t>
      </w:r>
      <w:r>
        <w:t xml:space="preserve">: Fine-tuned NER models identify entity mentions, linking each to the Sovereign Lens knowledge graph (Neo4j) with 99.2% accuracy on financial entity names.</w:t>
      </w:r>
      <w:r>
        <w:t xml:space="preserve"> </w:t>
      </w:r>
      <w:r>
        <w:t xml:space="preserve">“</w:t>
      </w:r>
      <w:r>
        <w:t xml:space="preserve">Deutsche Bank AG</w:t>
      </w:r>
      <w:r>
        <w:t xml:space="preserve">”</w:t>
      </w:r>
      <w:r>
        <w:t xml:space="preserve"> </w:t>
      </w:r>
      <w:r>
        <w:t xml:space="preserve">in a BaFin enforcement notice maps to the same node as</w:t>
      </w:r>
      <w:r>
        <w:t xml:space="preserve"> </w:t>
      </w:r>
      <w:r>
        <w:t xml:space="preserve">“</w:t>
      </w:r>
      <w:r>
        <w:t xml:space="preserve">DB</w:t>
      </w:r>
      <w:r>
        <w:t xml:space="preserve">”</w:t>
      </w:r>
      <w:r>
        <w:t xml:space="preserve"> </w:t>
      </w:r>
      <w:r>
        <w:t xml:space="preserve">in a Bloomberg bond pricing update.</w:t>
      </w:r>
      <w:r>
        <w:t xml:space="preserve"> </w:t>
      </w:r>
      <w:r>
        <w:rPr>
          <w:bCs/>
          <w:b/>
        </w:rPr>
        <w:t xml:space="preserve">Stage 2 — Semantic Classification</w:t>
      </w:r>
      <w:r>
        <w:t xml:space="preserve">: A multi-label classifier tags each article across 120 regulatory dimensions — DORA, NIS2, AI Act, GDPR, Basel III, SEC disclosure rules, and framework-specific sub-categories.</w:t>
      </w:r>
      <w:r>
        <w:t xml:space="preserve"> </w:t>
      </w:r>
      <w:r>
        <w:rPr>
          <w:bCs/>
          <w:b/>
        </w:rPr>
        <w:t xml:space="preserve">Stage 3 — Shock Scoring</w:t>
      </w:r>
      <w:r>
        <w:t xml:space="preserve">: The article’s sentiment, urgency markers (deadline references, enforcement keywords), and cross-entity contagion potential are fused into a single Shock Score from 0–100. A Shock Score above 70 triggers immediate Monte Carlo re-simulation for all affected entities.</w:t>
      </w:r>
    </w:p>
    <w:p>
      <w:pPr>
        <w:pStyle w:val="BodyText"/>
      </w:pPr>
      <w:r>
        <w:t xml:space="preserve">Every news item becomes a</w:t>
      </w:r>
      <w:r>
        <w:t xml:space="preserve"> </w:t>
      </w:r>
      <w:r>
        <w:rPr>
          <w:iCs/>
          <w:i/>
        </w:rPr>
        <w:t xml:space="preserve">shock</w:t>
      </w:r>
      <w:r>
        <w:t xml:space="preserve"> </w:t>
      </w:r>
      <w:r>
        <w:t xml:space="preserve">— a perturbation in the simulation’s initial conditions. When the European Banking Authority publishes final draft technical standards on ICT risk management, that publication is not merely archived. It is injected as a boundary condition into the DORA simulation layer, and every EU financial entity’s compliance trajectory is re-computed within minutes. The news does not inform the simulation. The news</w:t>
      </w:r>
      <w:r>
        <w:t xml:space="preserve"> </w:t>
      </w:r>
      <w:r>
        <w:rPr>
          <w:iCs/>
          <w:i/>
        </w:rPr>
        <w:t xml:space="preserve">is</w:t>
      </w:r>
      <w:r>
        <w:t xml:space="preserve"> </w:t>
      </w:r>
      <w:r>
        <w:t xml:space="preserve">the simulation’s weather front.</w:t>
      </w:r>
    </w:p>
    <w:bookmarkEnd w:id="76"/>
    <w:bookmarkStart w:id="77" w:name="Xf0794fe3c5e3984283d9a33a006881ca4a70e4a"/>
    <w:p>
      <w:pPr>
        <w:pStyle w:val="Heading4"/>
      </w:pPr>
      <w:r>
        <w:t xml:space="preserve">5.1.2 Market Data: The Living Financial Nervous System</w:t>
      </w:r>
    </w:p>
    <w:p>
      <w:pPr>
        <w:pStyle w:val="FirstParagraph"/>
      </w:pPr>
      <w:r>
        <w:t xml:space="preserve">Live market feeds connect via MindsDB connectors and MCP servers — stocks, bonds, commodities, crypto, CDS spreads, volatility indices, and FX rates. Sovereign Lens does not treat market data as a dashboard. It treats market data as</w:t>
      </w:r>
      <w:r>
        <w:t xml:space="preserve"> </w:t>
      </w:r>
      <w:r>
        <w:rPr>
          <w:iCs/>
          <w:i/>
        </w:rPr>
        <w:t xml:space="preserve">physiology</w:t>
      </w:r>
      <w:r>
        <w:t xml:space="preserve">. A 200-basis-point widening in a bank’s CDS spread is not a number — it is a symptom of deteriorating market confidence that the simulation must diagnose.</w:t>
      </w:r>
    </w:p>
    <w:p>
      <w:pPr>
        <w:pStyle w:val="BodyText"/>
      </w:pPr>
      <w:r>
        <w:t xml:space="preserve">Market movements become simulation inputs through five transformation channels:</w:t>
      </w:r>
      <w:r>
        <w:t xml:space="preserve"> </w:t>
      </w:r>
      <w:r>
        <w:rPr>
          <w:bCs/>
          <w:b/>
        </w:rPr>
        <w:t xml:space="preserve">Liquidity Impact</w:t>
      </w:r>
      <w:r>
        <w:t xml:space="preserve"> </w:t>
      </w:r>
      <w:r>
        <w:t xml:space="preserve">— a stock crash triggers liquidity crisis scenarios across all entities holding that equity;</w:t>
      </w:r>
      <w:r>
        <w:t xml:space="preserve"> </w:t>
      </w:r>
      <w:r>
        <w:rPr>
          <w:bCs/>
          <w:b/>
        </w:rPr>
        <w:t xml:space="preserve">Credit Contagion</w:t>
      </w:r>
      <w:r>
        <w:t xml:space="preserve"> </w:t>
      </w:r>
      <w:r>
        <w:t xml:space="preserve">— a sovereign downgrade cascades through all banks with exposure to that sovereign’s debt;</w:t>
      </w:r>
      <w:r>
        <w:t xml:space="preserve"> </w:t>
      </w:r>
      <w:r>
        <w:rPr>
          <w:bCs/>
          <w:b/>
        </w:rPr>
        <w:t xml:space="preserve">Volatility Shock</w:t>
      </w:r>
      <w:r>
        <w:t xml:space="preserve"> </w:t>
      </w:r>
      <w:r>
        <w:t xml:space="preserve">— VIX spikes above 30 trigger stress-test overlays for all trading-book entities;</w:t>
      </w:r>
      <w:r>
        <w:t xml:space="preserve"> </w:t>
      </w:r>
      <w:r>
        <w:rPr>
          <w:bCs/>
          <w:b/>
        </w:rPr>
        <w:t xml:space="preserve">Funding Cost Changes</w:t>
      </w:r>
      <w:r>
        <w:t xml:space="preserve"> </w:t>
      </w:r>
      <w:r>
        <w:t xml:space="preserve">— LIBOR/SOFR movements alter every entity’s cost of capital in financial projections;</w:t>
      </w:r>
      <w:r>
        <w:t xml:space="preserve"> </w:t>
      </w:r>
      <w:r>
        <w:rPr>
          <w:bCs/>
          <w:b/>
        </w:rPr>
        <w:t xml:space="preserve">Correlation Breakdown</w:t>
      </w:r>
      <w:r>
        <w:t xml:space="preserve"> </w:t>
      </w:r>
      <w:r>
        <w:t xml:space="preserve">— during crises, historical correlation matrices are replaced by stressed correlations derived from Sovereign Lens’s own simulation ensemble.</w:t>
      </w:r>
    </w:p>
    <w:p>
      <w:pPr>
        <w:pStyle w:val="BodyText"/>
      </w:pPr>
      <w:r>
        <w:t xml:space="preserve">Financial health scores update in real-time. Each entity carries a continuously computed</w:t>
      </w:r>
      <w:r>
        <w:t xml:space="preserve"> </w:t>
      </w:r>
      <w:r>
        <w:rPr>
          <w:bCs/>
          <w:b/>
        </w:rPr>
        <w:t xml:space="preserve">Vital Signs Panel</w:t>
      </w:r>
      <w:r>
        <w:t xml:space="preserve">: liquidity ratio (animated), capital adequacy trend (directional), default probability trajectory (Monte Carlo distribution), and peer percentile ranking (relative). A bank watching its liquidity score drift from the 75th percentile toward the 40th sees the warning 90 days before it becomes a regulatory problem — because the simulation has already run the scenarios that the market has not yet priced.</w:t>
      </w:r>
    </w:p>
    <w:bookmarkEnd w:id="77"/>
    <w:bookmarkStart w:id="78" w:name="X2133adbb87f7bdeed663f62a6644999d2cb5cd5"/>
    <w:p>
      <w:pPr>
        <w:pStyle w:val="Heading4"/>
      </w:pPr>
      <w:r>
        <w:t xml:space="preserve">5.1.3 Trend Analysis: Seeing the Future in the Present</w:t>
      </w:r>
    </w:p>
    <w:p>
      <w:pPr>
        <w:pStyle w:val="FirstParagraph"/>
      </w:pPr>
      <w:r>
        <w:t xml:space="preserve">News captures what happened. Markets capture what is priced. Trends capture what is</w:t>
      </w:r>
      <w:r>
        <w:t xml:space="preserve"> </w:t>
      </w:r>
      <w:r>
        <w:rPr>
          <w:iCs/>
          <w:i/>
        </w:rPr>
        <w:t xml:space="preserve">emerging</w:t>
      </w:r>
      <w:r>
        <w:t xml:space="preserve"> </w:t>
      </w:r>
      <w:r>
        <w:t xml:space="preserve">— the weak signals that precede regulatory tsunamis by 12–24 months. Sovereign Lens monitors six trend channels: Google Trends (search volume for regulatory keywords), social media sentiment (Twitter/X, LinkedIn, Reddit — NLP-classified by regulatory domain), patent filings (USPTO, EPO, WIPO — classified by technology-regulatory intersection), job posting trends (LinkedIn, Indeed, specialized compliance job boards —</w:t>
      </w:r>
      <w:r>
        <w:t xml:space="preserve"> </w:t>
      </w:r>
      <w:r>
        <w:t xml:space="preserve">“</w:t>
      </w:r>
      <w:r>
        <w:t xml:space="preserve">hiring 50 DORA consultants</w:t>
      </w:r>
      <w:r>
        <w:t xml:space="preserve">”</w:t>
      </w:r>
      <w:r>
        <w:t xml:space="preserve"> </w:t>
      </w:r>
      <w:r>
        <w:t xml:space="preserve">is a leading indicator), conference agendas (Money20/20, Sibos, Eurofi, national regulator conferences — topic clustering reveals priority shifts), and academic publications (arXiv, SSRN, central bank working papers — citation velocity indicates emerging consensus).</w:t>
      </w:r>
    </w:p>
    <w:p>
      <w:pPr>
        <w:pStyle w:val="BodyText"/>
      </w:pPr>
      <w:r>
        <w:t xml:space="preserve">The predictive logic is pattern-driven. If 50+ patent filings mention</w:t>
      </w:r>
      <w:r>
        <w:t xml:space="preserve"> </w:t>
      </w:r>
      <w:r>
        <w:t xml:space="preserve">“</w:t>
      </w:r>
      <w:r>
        <w:t xml:space="preserve">AI model auditing</w:t>
      </w:r>
      <w:r>
        <w:t xml:space="preserve">”</w:t>
      </w:r>
      <w:r>
        <w:t xml:space="preserve"> </w:t>
      </w:r>
      <w:r>
        <w:t xml:space="preserve">in Q2 2026, Sovereign Lens flags a 78% probability of AI audit regulation by Q4 2027 — based on historical lead-lag analysis showing patent activity precedes regulation by 4–6 quarters. If three central banks feature</w:t>
      </w:r>
      <w:r>
        <w:t xml:space="preserve"> </w:t>
      </w:r>
      <w:r>
        <w:t xml:space="preserve">“</w:t>
      </w:r>
      <w:r>
        <w:t xml:space="preserve">operational resilience</w:t>
      </w:r>
      <w:r>
        <w:t xml:space="preserve">”</w:t>
      </w:r>
      <w:r>
        <w:t xml:space="preserve"> </w:t>
      </w:r>
      <w:r>
        <w:t xml:space="preserve">in conference agendas within 30 days, the system elevates the systemic risk weighting for all entities in those jurisdictions. Trend detection is not speculation. It is</w:t>
      </w:r>
      <w:r>
        <w:t xml:space="preserve"> </w:t>
      </w:r>
      <w:r>
        <w:rPr>
          <w:iCs/>
          <w:i/>
        </w:rPr>
        <w:t xml:space="preserve">structured foresight</w:t>
      </w:r>
      <w:r>
        <w:t xml:space="preserve"> </w:t>
      </w:r>
      <w:r>
        <w:t xml:space="preserve">— the statistical distillation of collective intention before it crystallizes into law.</w:t>
      </w:r>
    </w:p>
    <w:p>
      <w:r>
        <w:pict>
          <v:rect style="width:0;height:1.5pt" o:hralign="center" o:hrstd="t" o:hr="t"/>
        </w:pict>
      </w:r>
    </w:p>
    <w:bookmarkEnd w:id="78"/>
    <w:bookmarkEnd w:id="79"/>
    <w:bookmarkStart w:id="83" w:name="swot-strategic-intelligence-generation"/>
    <w:p>
      <w:pPr>
        <w:pStyle w:val="Heading3"/>
      </w:pPr>
      <w:r>
        <w:t xml:space="preserve">5.2 SWOT &amp; Strategic Intelligence Generation</w:t>
      </w:r>
    </w:p>
    <w:bookmarkStart w:id="80" w:name="X4fe5368549a0e5b77a9782295fe997dade6bfdf"/>
    <w:p>
      <w:pPr>
        <w:pStyle w:val="Heading4"/>
      </w:pPr>
      <w:r>
        <w:t xml:space="preserve">5.2.1 Automated SWOT: The Mirror Every Entity Needs</w:t>
      </w:r>
    </w:p>
    <w:p>
      <w:pPr>
        <w:pStyle w:val="FirstParagraph"/>
      </w:pPr>
      <w:r>
        <w:t xml:space="preserve">For every entity in the system — all 22,000+ EU financial entities and beyond — Sovereign Lens auto-generates a SWOT analysis updated daily.</w:t>
      </w:r>
      <w:r>
        <w:t xml:space="preserve"> </w:t>
      </w:r>
      <w:r>
        <w:rPr>
          <w:bCs/>
          <w:b/>
        </w:rPr>
        <w:t xml:space="preserve">Strengths</w:t>
      </w:r>
      <w:r>
        <w:t xml:space="preserve"> </w:t>
      </w:r>
      <w:r>
        <w:t xml:space="preserve">derive from high-compliance simulation percentiles:</w:t>
      </w:r>
      <w:r>
        <w:t xml:space="preserve"> </w:t>
      </w:r>
      <w:r>
        <w:t xml:space="preserve">“</w:t>
      </w:r>
      <w:r>
        <w:t xml:space="preserve">Your DORA ICT risk management score is in the 89th percentile across all EU banks. Your incident reporting framework is a competitive asset.</w:t>
      </w:r>
      <w:r>
        <w:t xml:space="preserve">”</w:t>
      </w:r>
      <w:r>
        <w:t xml:space="preserve"> </w:t>
      </w:r>
      <w:r>
        <w:rPr>
          <w:bCs/>
          <w:b/>
        </w:rPr>
        <w:t xml:space="preserve">Weaknesses</w:t>
      </w:r>
      <w:r>
        <w:t xml:space="preserve"> </w:t>
      </w:r>
      <w:r>
        <w:t xml:space="preserve">emerge from gap analysis:</w:t>
      </w:r>
      <w:r>
        <w:t xml:space="preserve"> </w:t>
      </w:r>
      <w:r>
        <w:t xml:space="preserve">“</w:t>
      </w:r>
      <w:r>
        <w:t xml:space="preserve">Your penetration testing frequency is below the median for your peer group. Simulation shows a 34% probability of undetected vulnerability exploitation within 180 days.</w:t>
      </w:r>
      <w:r>
        <w:t xml:space="preserve">”</w:t>
      </w:r>
      <w:r>
        <w:t xml:space="preserve"> </w:t>
      </w:r>
      <w:r>
        <w:rPr>
          <w:bCs/>
          <w:b/>
        </w:rPr>
        <w:t xml:space="preserve">Opportunities</w:t>
      </w:r>
      <w:r>
        <w:t xml:space="preserve"> </w:t>
      </w:r>
      <w:r>
        <w:t xml:space="preserve">are the platinum moves:</w:t>
      </w:r>
      <w:r>
        <w:t xml:space="preserve"> </w:t>
      </w:r>
      <w:r>
        <w:t xml:space="preserve">“</w:t>
      </w:r>
      <w:r>
        <w:t xml:space="preserve">Acquiring Bank Y would raise your operational resilience score by 12 points and move you from the 3rd to the 1st quartile in your sector.</w:t>
      </w:r>
      <w:r>
        <w:t xml:space="preserve">”</w:t>
      </w:r>
      <w:r>
        <w:t xml:space="preserve"> </w:t>
      </w:r>
      <w:r>
        <w:rPr>
          <w:bCs/>
          <w:b/>
        </w:rPr>
        <w:t xml:space="preserve">Threats</w:t>
      </w:r>
      <w:r>
        <w:t xml:space="preserve"> </w:t>
      </w:r>
      <w:r>
        <w:t xml:space="preserve">come from worst-case scenario ensembles:</w:t>
      </w:r>
      <w:r>
        <w:t xml:space="preserve"> </w:t>
      </w:r>
      <w:r>
        <w:t xml:space="preserve">“</w:t>
      </w:r>
      <w:r>
        <w:t xml:space="preserve">A coordinated ransomware attack on your third-party cloud provider has a 12% simulated probability, with estimated EUR 47M recovery cost.</w:t>
      </w:r>
      <w:r>
        <w:t xml:space="preserve">”</w:t>
      </w:r>
    </w:p>
    <w:p>
      <w:pPr>
        <w:pStyle w:val="BodyText"/>
      </w:pPr>
      <w:r>
        <w:t xml:space="preserve">The SWOT is not a static document. It is a</w:t>
      </w:r>
      <w:r>
        <w:t xml:space="preserve"> </w:t>
      </w:r>
      <w:r>
        <w:rPr>
          <w:iCs/>
          <w:i/>
        </w:rPr>
        <w:t xml:space="preserve">living diagnostic</w:t>
      </w:r>
      <w:r>
        <w:t xml:space="preserve"> </w:t>
      </w:r>
      <w:r>
        <w:t xml:space="preserve">— regenerated after every significant simulation update, delivered to entity agents via A2A protocol, and accessible to authorized human users through the Sovereign Lens dashboard. The BFT Council validates SWOT generation algorithms through consensus, ensuring no single agent can manipulate strategic intelligence for competitive advantage.</w:t>
      </w:r>
    </w:p>
    <w:bookmarkEnd w:id="80"/>
    <w:bookmarkStart w:id="81" w:name="Xf5e714bd5c102f5911fb6c8c59e9da3051cdb4f"/>
    <w:p>
      <w:pPr>
        <w:pStyle w:val="Heading4"/>
      </w:pPr>
      <w:r>
        <w:t xml:space="preserve">5.2.2 Financial Projections: Compliance as a Balance Sheet Item</w:t>
      </w:r>
    </w:p>
    <w:p>
      <w:pPr>
        <w:pStyle w:val="FirstParagraph"/>
      </w:pPr>
      <w:r>
        <w:t xml:space="preserve">Monte Carlo financial modeling transforms compliance from a cost center into a quantified balance sheet line item. Sovereign Lens computes:</w:t>
      </w:r>
      <w:r>
        <w:t xml:space="preserve"> </w:t>
      </w:r>
      <w:r>
        <w:rPr>
          <w:bCs/>
          <w:b/>
        </w:rPr>
        <w:t xml:space="preserve">Revenue projections</w:t>
      </w:r>
      <w:r>
        <w:t xml:space="preserve"> </w:t>
      </w:r>
      <w:r>
        <w:t xml:space="preserve">under compliance and non-compliance scenarios (the</w:t>
      </w:r>
      <w:r>
        <w:t xml:space="preserve"> </w:t>
      </w:r>
      <w:r>
        <w:t xml:space="preserve">“</w:t>
      </w:r>
      <w:r>
        <w:t xml:space="preserve">compliance delta</w:t>
      </w:r>
      <w:r>
        <w:t xml:space="preserve">”</w:t>
      </w:r>
      <w:r>
        <w:t xml:space="preserve">);</w:t>
      </w:r>
      <w:r>
        <w:t xml:space="preserve"> </w:t>
      </w:r>
      <w:r>
        <w:rPr>
          <w:bCs/>
          <w:b/>
        </w:rPr>
        <w:t xml:space="preserve">Cost of compliance</w:t>
      </w:r>
      <w:r>
        <w:t xml:space="preserve"> </w:t>
      </w:r>
      <w:r>
        <w:t xml:space="preserve">fully loaded — technology, personnel, consulting, opportunity cost;</w:t>
      </w:r>
      <w:r>
        <w:t xml:space="preserve"> </w:t>
      </w:r>
      <w:r>
        <w:rPr>
          <w:bCs/>
          <w:b/>
        </w:rPr>
        <w:t xml:space="preserve">ROI of remediation</w:t>
      </w:r>
      <w:r>
        <w:t xml:space="preserve"> </w:t>
      </w:r>
      <w:r>
        <w:t xml:space="preserve">— cost to fix versus probability-weighted penalty avoidance;</w:t>
      </w:r>
      <w:r>
        <w:t xml:space="preserve"> </w:t>
      </w:r>
      <w:r>
        <w:rPr>
          <w:bCs/>
          <w:b/>
        </w:rPr>
        <w:t xml:space="preserve">Penalty risk as contingent liability</w:t>
      </w:r>
      <w:r>
        <w:t xml:space="preserve"> </w:t>
      </w:r>
      <w:r>
        <w:t xml:space="preserve">— expressed in IFRS-recognized expected loss format.</w:t>
      </w:r>
    </w:p>
    <w:p>
      <w:pPr>
        <w:pStyle w:val="BodyText"/>
      </w:pPr>
      <w:r>
        <w:t xml:space="preserve">The output is language that boards and auditors understand.</w:t>
      </w:r>
      <w:r>
        <w:t xml:space="preserve"> </w:t>
      </w:r>
      <w:r>
        <w:t xml:space="preserve">“</w:t>
      </w:r>
      <w:r>
        <w:t xml:space="preserve">Company X has a EUR 2.3M contingent liability from DORA non-compliance risk, probability-weighted at 67%. This affects their credit rating simulation (one-notch downgrade projected), which increases borrowing costs by 47 bps, which reduces expansion capital by EUR 8.1M over three years, which triggers competitive vulnerability in three of their core markets.</w:t>
      </w:r>
      <w:r>
        <w:t xml:space="preserve">”</w:t>
      </w:r>
      <w:r>
        <w:t xml:space="preserve"> </w:t>
      </w:r>
      <w:r>
        <w:t xml:space="preserve">Sovereign Lens traces the causal chain from a regulatory gap to a strategic consequence — because regulators and investors both need to see the full picture.</w:t>
      </w:r>
    </w:p>
    <w:bookmarkEnd w:id="81"/>
    <w:bookmarkStart w:id="82" w:name="Xf20e830bf32afc366b81f19a91d98be9b32250a"/>
    <w:p>
      <w:pPr>
        <w:pStyle w:val="Heading4"/>
      </w:pPr>
      <w:r>
        <w:t xml:space="preserve">5.2.3 Competitive Intelligence: Knowing Where You Stand</w:t>
      </w:r>
    </w:p>
    <w:p>
      <w:pPr>
        <w:pStyle w:val="FirstParagraph"/>
      </w:pPr>
      <w:r>
        <w:t xml:space="preserve">Sovereign Lens compares every entity against its peers continuously. The comparison is not a ranking — it is a</w:t>
      </w:r>
      <w:r>
        <w:t xml:space="preserve"> </w:t>
      </w:r>
      <w:r>
        <w:rPr>
          <w:iCs/>
          <w:i/>
        </w:rPr>
        <w:t xml:space="preserve">multi-dimensional positioning</w:t>
      </w:r>
      <w:r>
        <w:t xml:space="preserve"> </w:t>
      </w:r>
      <w:r>
        <w:t xml:space="preserve">in compliance space.</w:t>
      </w:r>
      <w:r>
        <w:t xml:space="preserve"> </w:t>
      </w:r>
      <w:r>
        <w:t xml:space="preserve">“</w:t>
      </w:r>
      <w:r>
        <w:t xml:space="preserve">You are the 3rd-most-compliant bank in your sector on DORA overall, but your cyber resilience score is in the bottom quartile. Two of your competitors are simulating acquisitions of weaker banks — you are a potential target.</w:t>
      </w:r>
      <w:r>
        <w:t xml:space="preserve">”</w:t>
      </w:r>
      <w:r>
        <w:t xml:space="preserve"> </w:t>
      </w:r>
      <w:r>
        <w:t xml:space="preserve">This intelligence emerges from the interaction of thousands of agent simulations, not from manual analysis.</w:t>
      </w:r>
    </w:p>
    <w:p>
      <w:pPr>
        <w:pStyle w:val="BodyText"/>
      </w:pPr>
      <w:r>
        <w:t xml:space="preserve">The competitive layer also identifies</w:t>
      </w:r>
      <w:r>
        <w:t xml:space="preserve"> </w:t>
      </w:r>
      <w:r>
        <w:rPr>
          <w:iCs/>
          <w:i/>
        </w:rPr>
        <w:t xml:space="preserve">strategic whitespace</w:t>
      </w:r>
      <w:r>
        <w:t xml:space="preserve">.</w:t>
      </w:r>
      <w:r>
        <w:t xml:space="preserve"> </w:t>
      </w:r>
      <w:r>
        <w:t xml:space="preserve">“</w:t>
      </w:r>
      <w:r>
        <w:t xml:space="preserve">No bank in your jurisdiction has achieved full AI Act conformity for credit scoring algorithms. First-mover certification would create a 12–18 month regulatory moat.</w:t>
      </w:r>
      <w:r>
        <w:t xml:space="preserve">”</w:t>
      </w:r>
      <w:r>
        <w:t xml:space="preserve"> </w:t>
      </w:r>
      <w:r>
        <w:t xml:space="preserve">Competitive intelligence in Sovereign Lens is forward-looking by construction — because it is generated from simulated futures, not historical data.</w:t>
      </w:r>
    </w:p>
    <w:p>
      <w:r>
        <w:pict>
          <v:rect style="width:0;height:1.5pt" o:hralign="center" o:hrstd="t" o:hr="t"/>
        </w:pict>
      </w:r>
    </w:p>
    <w:bookmarkEnd w:id="82"/>
    <w:bookmarkEnd w:id="83"/>
    <w:bookmarkStart w:id="87" w:name="protocol-mapped-intelligence"/>
    <w:p>
      <w:pPr>
        <w:pStyle w:val="Heading3"/>
      </w:pPr>
      <w:r>
        <w:t xml:space="preserve">5.3 Protocol-Mapped Intelligence</w:t>
      </w:r>
    </w:p>
    <w:bookmarkStart w:id="84" w:name="X3ab51ee66ad6a5bae809761f9eb7364d8e876ea"/>
    <w:p>
      <w:pPr>
        <w:pStyle w:val="Heading4"/>
      </w:pPr>
      <w:r>
        <w:t xml:space="preserve">5.3.1 MCP as Data Connectors: 340+ Servers, Zero Latency Tolerance</w:t>
      </w:r>
    </w:p>
    <w:p>
      <w:pPr>
        <w:pStyle w:val="FirstParagraph"/>
      </w:pPr>
      <w:r>
        <w:t xml:space="preserve">Every data source in Sovereign Lens is an MCP server. The existing 290+ compliance-native MCP servers are augmented by 50+ additional servers purpose-built for intelligence ingestion:</w:t>
      </w:r>
      <w:r>
        <w:t xml:space="preserve"> </w:t>
      </w:r>
      <w:r>
        <w:rPr>
          <w:rStyle w:val="VerbatimChar"/>
        </w:rPr>
        <w:t xml:space="preserve">sovereign-lens-reuters-mcp</w:t>
      </w:r>
      <w:r>
        <w:t xml:space="preserve">,</w:t>
      </w:r>
      <w:r>
        <w:t xml:space="preserve"> </w:t>
      </w:r>
      <w:r>
        <w:rPr>
          <w:rStyle w:val="VerbatimChar"/>
        </w:rPr>
        <w:t xml:space="preserve">sovereign-lens-bloomberg-mcp</w:t>
      </w:r>
      <w:r>
        <w:t xml:space="preserve">,</w:t>
      </w:r>
      <w:r>
        <w:t xml:space="preserve"> </w:t>
      </w:r>
      <w:r>
        <w:rPr>
          <w:rStyle w:val="VerbatimChar"/>
        </w:rPr>
        <w:t xml:space="preserve">sovereign-lens-secdgar-mcp</w:t>
      </w:r>
      <w:r>
        <w:t xml:space="preserve">,</w:t>
      </w:r>
      <w:r>
        <w:t xml:space="preserve"> </w:t>
      </w:r>
      <w:r>
        <w:rPr>
          <w:rStyle w:val="VerbatimChar"/>
        </w:rPr>
        <w:t xml:space="preserve">sovereign-lens-googletrends-mcp</w:t>
      </w:r>
      <w:r>
        <w:t xml:space="preserve">,</w:t>
      </w:r>
      <w:r>
        <w:t xml:space="preserve"> </w:t>
      </w:r>
      <w:r>
        <w:rPr>
          <w:rStyle w:val="VerbatimChar"/>
        </w:rPr>
        <w:t xml:space="preserve">sovereign-lens-patents-mcp</w:t>
      </w:r>
      <w:r>
        <w:t xml:space="preserve">,</w:t>
      </w:r>
      <w:r>
        <w:t xml:space="preserve"> </w:t>
      </w:r>
      <w:r>
        <w:rPr>
          <w:rStyle w:val="VerbatimChar"/>
        </w:rPr>
        <w:t xml:space="preserve">sovereign-lens-jobs-mcp</w:t>
      </w:r>
      <w:r>
        <w:t xml:space="preserve">, and so on through the full ingestion matrix. Each server implements Ed25519 sigil attestation on every tool call, with x402 micropayment tracking creating an immutable audit trail of every data point purchased.</w:t>
      </w:r>
    </w:p>
    <w:p>
      <w:pPr>
        <w:pStyle w:val="BodyText"/>
      </w:pPr>
      <w:r>
        <w:t xml:space="preserve">When</w:t>
      </w:r>
      <w:r>
        <w:t xml:space="preserve"> </w:t>
      </w:r>
      <w:r>
        <w:rPr>
          <w:rStyle w:val="VerbatimChar"/>
        </w:rPr>
        <w:t xml:space="preserve">sovereign-lens-reuters-mcp</w:t>
      </w:r>
      <w:r>
        <w:t xml:space="preserve"> </w:t>
      </w:r>
      <w:r>
        <w:t xml:space="preserve">delivers a news item, the tool call is a cryptographically signed transaction. The data point’s provenance is provable. Its cost is tracked. Its quality is scored by the BFT Council over time — servers that deliver stale or inaccurate data see their reputation scores decline, reducing their payment rates and eventually triggering removal from the federation. MCP transforms data ingestion from a plumbing problem into a</w:t>
      </w:r>
      <w:r>
        <w:t xml:space="preserve"> </w:t>
      </w:r>
      <w:r>
        <w:rPr>
          <w:iCs/>
          <w:i/>
        </w:rPr>
        <w:t xml:space="preserve">market problem</w:t>
      </w:r>
      <w:r>
        <w:t xml:space="preserve"> </w:t>
      </w:r>
      <w:r>
        <w:t xml:space="preserve">— and markets self-correct.</w:t>
      </w:r>
    </w:p>
    <w:bookmarkEnd w:id="84"/>
    <w:bookmarkStart w:id="85" w:name="X05072d745dc81743f2fd31f9e7f318ac91f25d4"/>
    <w:p>
      <w:pPr>
        <w:pStyle w:val="Heading4"/>
      </w:pPr>
      <w:r>
        <w:t xml:space="preserve">5.3.2 A2A as Agent Communication: The Regulatory Nervous System</w:t>
      </w:r>
    </w:p>
    <w:p>
      <w:pPr>
        <w:pStyle w:val="FirstParagraph"/>
      </w:pPr>
      <w:r>
        <w:t xml:space="preserve">Entities communicate via A2A protocol. When the European Commission publishes a new AI Act implementing act, the Commission’s government agent broadcasts the change to all affected company agents via A2A Task delegation — 4,000+ agents notified within 30 seconds. Each company agent acknowledges receipt, updates its internal regulatory state, and triggers re-simulation. When a company completes a remediation action, it signals completion to its regulator’s agent and to its competitors’ agents (selectively, per disclosure rules). A2A makes regulatory change a</w:t>
      </w:r>
      <w:r>
        <w:t xml:space="preserve"> </w:t>
      </w:r>
      <w:r>
        <w:rPr>
          <w:iCs/>
          <w:i/>
        </w:rPr>
        <w:t xml:space="preserve">conversation</w:t>
      </w:r>
      <w:r>
        <w:t xml:space="preserve"> </w:t>
      </w:r>
      <w:r>
        <w:t xml:space="preserve">rather than a publication.</w:t>
      </w:r>
    </w:p>
    <w:p>
      <w:pPr>
        <w:pStyle w:val="BodyText"/>
      </w:pPr>
      <w:r>
        <w:t xml:space="preserve">The broadcast topology is intelligent. Not every entity receives every message. The Worm Hive routing mesh filters messages by jurisdiction, sector, entity size, and regulatory relevance — ensuring a small credit union in Portugal does not drown in notifications about CTPP requirements that apply only to systemic institutions. A2A + Worm Hive together create what network theorists call a</w:t>
      </w:r>
      <w:r>
        <w:t xml:space="preserve"> </w:t>
      </w:r>
      <w:r>
        <w:rPr>
          <w:iCs/>
          <w:i/>
        </w:rPr>
        <w:t xml:space="preserve">scale-free communication graph</w:t>
      </w:r>
      <w:r>
        <w:t xml:space="preserve">: efficient at any size, from 100 entities to 1,000,000.</w:t>
      </w:r>
    </w:p>
    <w:bookmarkEnd w:id="85"/>
    <w:bookmarkStart w:id="86" w:name="X78c3777b91155064fdf65ba5ec3e22bc9677c0b"/>
    <w:p>
      <w:pPr>
        <w:pStyle w:val="Heading4"/>
      </w:pPr>
      <w:r>
        <w:t xml:space="preserve">5.3.3 Pheromone Signaling: The Weather of Compliance</w:t>
      </w:r>
    </w:p>
    <w:p>
      <w:pPr>
        <w:pStyle w:val="FirstParagraph"/>
      </w:pPr>
      <w:r>
        <w:t xml:space="preserve">Internal status tracking uses the CSOAI Pheromone Protocol — nine signal types drawn from cross-species swarm biology, adapted for regulatory intelligence. In Sovereign Lens, pheromones become the</w:t>
      </w:r>
      <w:r>
        <w:t xml:space="preserve"> </w:t>
      </w:r>
      <w:r>
        <w:rPr>
          <w:iCs/>
          <w:i/>
        </w:rPr>
        <w:t xml:space="preserve">ambient weather system</w:t>
      </w:r>
      <w:r>
        <w:t xml:space="preserve"> </w:t>
      </w:r>
      <w:r>
        <w:t xml:space="preserve">of global compliance.</w:t>
      </w:r>
    </w:p>
    <w:p>
      <w:pPr>
        <w:pStyle w:val="BodyText"/>
      </w:pPr>
      <w:r>
        <w:rPr>
          <w:bCs/>
          <w:b/>
        </w:rPr>
        <w:t xml:space="preserve">High Alarm pheromone</w:t>
      </w:r>
      <w:r>
        <w:t xml:space="preserve"> </w:t>
      </w:r>
      <w:r>
        <w:t xml:space="preserve">(</w:t>
      </w:r>
      <w:r>
        <w:rPr>
          <w:rStyle w:val="VerbatimChar"/>
        </w:rPr>
        <w:t xml:space="preserve">mcp.alarm.red</w:t>
      </w:r>
      <w:r>
        <w:t xml:space="preserve">) radiates when many companies in a sector simultaneously show elevated risk — a correlated stress signal that human analysts might miss but the swarm detects instantly. When Alarm pheromone concentration exceeds threshold in the EU banking sector, the EBA agent receives an automated A2A alert with full simulation context.</w:t>
      </w:r>
      <w:r>
        <w:t xml:space="preserve"> </w:t>
      </w:r>
      <w:r>
        <w:rPr>
          <w:bCs/>
          <w:b/>
        </w:rPr>
        <w:t xml:space="preserve">High Trail pheromone</w:t>
      </w:r>
      <w:r>
        <w:t xml:space="preserve"> </w:t>
      </w:r>
      <w:r>
        <w:t xml:space="preserve">(</w:t>
      </w:r>
      <w:r>
        <w:rPr>
          <w:rStyle w:val="VerbatimChar"/>
        </w:rPr>
        <w:t xml:space="preserve">mcp.trail.green</w:t>
      </w:r>
      <w:r>
        <w:t xml:space="preserve">) marks successful compliance pathways — when multiple entities independently discover effective remediation approaches, the trail signal attracts other struggling entities to proven solutions.</w:t>
      </w:r>
      <w:r>
        <w:t xml:space="preserve"> </w:t>
      </w:r>
      <w:r>
        <w:rPr>
          <w:bCs/>
          <w:b/>
        </w:rPr>
        <w:t xml:space="preserve">Queen pheromone</w:t>
      </w:r>
      <w:r>
        <w:t xml:space="preserve"> </w:t>
      </w:r>
      <w:r>
        <w:t xml:space="preserve">(</w:t>
      </w:r>
      <w:r>
        <w:rPr>
          <w:rStyle w:val="VerbatimChar"/>
        </w:rPr>
        <w:t xml:space="preserve">mcp.sovereign.heartbeat</w:t>
      </w:r>
      <w:r>
        <w:t xml:space="preserve">) pulses continuously from the BFT Council, confirming governance consensus and simulation validity.</w:t>
      </w:r>
    </w:p>
    <w:p>
      <w:pPr>
        <w:pStyle w:val="BodyText"/>
      </w:pPr>
      <w:r>
        <w:t xml:space="preserve">The</w:t>
      </w:r>
      <w:r>
        <w:t xml:space="preserve"> </w:t>
      </w:r>
      <w:r>
        <w:t xml:space="preserve">“</w:t>
      </w:r>
      <w:r>
        <w:t xml:space="preserve">weather</w:t>
      </w:r>
      <w:r>
        <w:t xml:space="preserve">”</w:t>
      </w:r>
      <w:r>
        <w:t xml:space="preserve"> </w:t>
      </w:r>
      <w:r>
        <w:t xml:space="preserve">of Sovereign Lens is visible on every regulator’s dashboard: storm systems (Alarm clusters) brewing over certain sectors, clear skies (green Trail dominance) over well-compliant jurisdictions, and frontal boundaries (regime transitions) where old rules meet new. Regulators do not read reports. They</w:t>
      </w:r>
      <w:r>
        <w:t xml:space="preserve"> </w:t>
      </w:r>
      <w:r>
        <w:rPr>
          <w:iCs/>
          <w:i/>
        </w:rPr>
        <w:t xml:space="preserve">read the sky</w:t>
      </w:r>
      <w:r>
        <w:t xml:space="preserve">.</w:t>
      </w:r>
    </w:p>
    <w:p>
      <w:r>
        <w:pict>
          <v:rect style="width:0;height:1.5pt" o:hralign="center" o:hrstd="t" o:hr="t"/>
        </w:pict>
      </w:r>
    </w:p>
    <w:p>
      <w:pPr>
        <w:pStyle w:val="FirstParagraph"/>
      </w:pPr>
      <w:r>
        <w:rPr>
          <w:bCs/>
          <w:b/>
        </w:rPr>
        <w:t xml:space="preserve">Table 1: Data Ingestion Sources — Category, Sources, Update Frequency, Simulation Impact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Sources</w:t>
            </w:r>
          </w:p>
        </w:tc>
        <w:tc>
          <w:tcPr/>
          <w:p>
            <w:pPr>
              <w:pStyle w:val="Compact"/>
              <w:jc w:val="left"/>
            </w:pPr>
            <w:r>
              <w:t xml:space="preserve">Update Frequency</w:t>
            </w:r>
          </w:p>
        </w:tc>
        <w:tc>
          <w:tcPr/>
          <w:p>
            <w:pPr>
              <w:pStyle w:val="Compact"/>
              <w:jc w:val="left"/>
            </w:pPr>
            <w:r>
              <w:t xml:space="preserve">MCP Server</w:t>
            </w:r>
          </w:p>
        </w:tc>
        <w:tc>
          <w:tcPr/>
          <w:p>
            <w:pPr>
              <w:pStyle w:val="Compact"/>
              <w:jc w:val="left"/>
            </w:pPr>
            <w:r>
              <w:t xml:space="preserve">Simulation Impact</w:t>
            </w:r>
          </w:p>
        </w:tc>
      </w:tr>
      <w:tr>
        <w:tc>
          <w:tcPr/>
          <w:p>
            <w:pPr>
              <w:pStyle w:val="Compact"/>
              <w:jc w:val="left"/>
            </w:pPr>
            <w:r>
              <w:rPr>
                <w:bCs/>
                <w:b/>
              </w:rPr>
              <w:t xml:space="preserve">News &amp; Media</w:t>
            </w:r>
          </w:p>
        </w:tc>
        <w:tc>
          <w:tcPr/>
          <w:p>
            <w:pPr>
              <w:pStyle w:val="Compact"/>
              <w:jc w:val="left"/>
            </w:pPr>
            <w:r>
              <w:t xml:space="preserve">Reuters, Bloomberg, FT, WSJ, 50,000+ publications, regulatory news services (RNS, EQS DGAP, SEC EDGAR), central bank portals</w:t>
            </w:r>
          </w:p>
        </w:tc>
        <w:tc>
          <w:tcPr/>
          <w:p>
            <w:pPr>
              <w:pStyle w:val="Compact"/>
              <w:jc w:val="left"/>
            </w:pPr>
            <w:r>
              <w:t xml:space="preserve">Real-time (sub-minute for tier-1 sources)</w:t>
            </w:r>
          </w:p>
        </w:tc>
        <w:tc>
          <w:tcPr/>
          <w:p>
            <w:pPr>
              <w:pStyle w:val="Compact"/>
              <w:jc w:val="left"/>
            </w:pPr>
            <w:r>
              <w:rPr>
                <w:rStyle w:val="VerbatimChar"/>
              </w:rPr>
              <w:t xml:space="preserve">sovereign-lens-reuters-mcp</w:t>
            </w:r>
            <w:r>
              <w:t xml:space="preserve">,</w:t>
            </w:r>
            <w:r>
              <w:t xml:space="preserve"> </w:t>
            </w:r>
            <w:r>
              <w:rPr>
                <w:rStyle w:val="VerbatimChar"/>
              </w:rPr>
              <w:t xml:space="preserve">sovereign-lens-bloomberg-mcp</w:t>
            </w:r>
            <w:r>
              <w:t xml:space="preserve">,</w:t>
            </w:r>
            <w:r>
              <w:t xml:space="preserve"> </w:t>
            </w:r>
            <w:r>
              <w:rPr>
                <w:rStyle w:val="VerbatimChar"/>
              </w:rPr>
              <w:t xml:space="preserve">sovereign-lens-ft-mcp</w:t>
            </w:r>
            <w:r>
              <w:t xml:space="preserve">,</w:t>
            </w:r>
            <w:r>
              <w:t xml:space="preserve"> </w:t>
            </w:r>
            <w:r>
              <w:rPr>
                <w:rStyle w:val="VerbatimChar"/>
              </w:rPr>
              <w:t xml:space="preserve">sovereign-lens-regnews-mcp</w:t>
            </w:r>
          </w:p>
        </w:tc>
        <w:tc>
          <w:tcPr/>
          <w:p>
            <w:pPr>
              <w:pStyle w:val="Compact"/>
              <w:jc w:val="left"/>
            </w:pPr>
            <w:r>
              <w:t xml:space="preserve">Shock Score triggers Monte Carlo re-simulation; entity sentiment feeds into compliance trajectory</w:t>
            </w:r>
          </w:p>
        </w:tc>
      </w:tr>
      <w:tr>
        <w:tc>
          <w:tcPr/>
          <w:p>
            <w:pPr>
              <w:pStyle w:val="Compact"/>
              <w:jc w:val="left"/>
            </w:pPr>
            <w:r>
              <w:rPr>
                <w:bCs/>
                <w:b/>
              </w:rPr>
              <w:t xml:space="preserve">Market Data</w:t>
            </w:r>
          </w:p>
        </w:tc>
        <w:tc>
          <w:tcPr/>
          <w:p>
            <w:pPr>
              <w:pStyle w:val="Compact"/>
              <w:jc w:val="left"/>
            </w:pPr>
            <w:r>
              <w:t xml:space="preserve">Stocks, bonds, commodities, crypto, CDS spreads, VIX, FX rates, sovereign yields</w:t>
            </w:r>
          </w:p>
        </w:tc>
        <w:tc>
          <w:tcPr/>
          <w:p>
            <w:pPr>
              <w:pStyle w:val="Compact"/>
              <w:jc w:val="left"/>
            </w:pPr>
            <w:r>
              <w:t xml:space="preserve">Real-time (tick-level for liquid markets)</w:t>
            </w:r>
          </w:p>
        </w:tc>
        <w:tc>
          <w:tcPr/>
          <w:p>
            <w:pPr>
              <w:pStyle w:val="Compact"/>
              <w:jc w:val="left"/>
            </w:pPr>
            <w:r>
              <w:rPr>
                <w:rStyle w:val="VerbatimChar"/>
              </w:rPr>
              <w:t xml:space="preserve">sovereign-lens-markets-mcp</w:t>
            </w:r>
            <w:r>
              <w:t xml:space="preserve">,</w:t>
            </w:r>
            <w:r>
              <w:t xml:space="preserve"> </w:t>
            </w:r>
            <w:r>
              <w:rPr>
                <w:rStyle w:val="VerbatimChar"/>
              </w:rPr>
              <w:t xml:space="preserve">sovereign-lens-crypto-mcp</w:t>
            </w:r>
            <w:r>
              <w:t xml:space="preserve">,</w:t>
            </w:r>
            <w:r>
              <w:t xml:space="preserve"> </w:t>
            </w:r>
            <w:r>
              <w:rPr>
                <w:rStyle w:val="VerbatimChar"/>
              </w:rPr>
              <w:t xml:space="preserve">sovereign-lens-cds-mcp</w:t>
            </w:r>
          </w:p>
        </w:tc>
        <w:tc>
          <w:tcPr/>
          <w:p>
            <w:pPr>
              <w:pStyle w:val="Compact"/>
              <w:jc w:val="left"/>
            </w:pPr>
            <w:r>
              <w:t xml:space="preserve">Liquidity/credit/contagion scenarios; financial health score updates; correlation matrix refresh</w:t>
            </w:r>
          </w:p>
        </w:tc>
      </w:tr>
      <w:tr>
        <w:tc>
          <w:tcPr/>
          <w:p>
            <w:pPr>
              <w:pStyle w:val="Compact"/>
              <w:jc w:val="left"/>
            </w:pPr>
            <w:r>
              <w:rPr>
                <w:bCs/>
                <w:b/>
              </w:rPr>
              <w:t xml:space="preserve">Trend Signals</w:t>
            </w:r>
          </w:p>
        </w:tc>
        <w:tc>
          <w:tcPr/>
          <w:p>
            <w:pPr>
              <w:pStyle w:val="Compact"/>
              <w:jc w:val="left"/>
            </w:pPr>
            <w:r>
              <w:t xml:space="preserve">Google Trends, Twitter/X, LinkedIn, Reddit, USPTO/EPO/WIPO patents, job boards, conference agendas, arXiv/SSRN</w:t>
            </w:r>
          </w:p>
        </w:tc>
        <w:tc>
          <w:tcPr/>
          <w:p>
            <w:pPr>
              <w:pStyle w:val="Compact"/>
              <w:jc w:val="left"/>
            </w:pPr>
            <w:r>
              <w:t xml:space="preserve">Hourly (social), Daily (patents/jobs), Weekly (conferences/academic)</w:t>
            </w:r>
          </w:p>
        </w:tc>
        <w:tc>
          <w:tcPr/>
          <w:p>
            <w:pPr>
              <w:pStyle w:val="Compact"/>
              <w:jc w:val="left"/>
            </w:pPr>
            <w:r>
              <w:rPr>
                <w:rStyle w:val="VerbatimChar"/>
              </w:rPr>
              <w:t xml:space="preserve">sovereign-lens-trends-mcp</w:t>
            </w:r>
            <w:r>
              <w:t xml:space="preserve">,</w:t>
            </w:r>
            <w:r>
              <w:t xml:space="preserve"> </w:t>
            </w:r>
            <w:r>
              <w:rPr>
                <w:rStyle w:val="VerbatimChar"/>
              </w:rPr>
              <w:t xml:space="preserve">sovereign-lens-patents-mcp</w:t>
            </w:r>
            <w:r>
              <w:t xml:space="preserve">,</w:t>
            </w:r>
            <w:r>
              <w:t xml:space="preserve"> </w:t>
            </w:r>
            <w:r>
              <w:rPr>
                <w:rStyle w:val="VerbatimChar"/>
              </w:rPr>
              <w:t xml:space="preserve">sovereign-lens-jobs-mcp</w:t>
            </w:r>
            <w:r>
              <w:t xml:space="preserve">,</w:t>
            </w:r>
            <w:r>
              <w:t xml:space="preserve"> </w:t>
            </w:r>
            <w:r>
              <w:rPr>
                <w:rStyle w:val="VerbatimChar"/>
              </w:rPr>
              <w:t xml:space="preserve">sovereign-lens-academic-mcp</w:t>
            </w:r>
          </w:p>
        </w:tc>
        <w:tc>
          <w:tcPr/>
          <w:p>
            <w:pPr>
              <w:pStyle w:val="Compact"/>
              <w:jc w:val="left"/>
            </w:pPr>
            <w:r>
              <w:t xml:space="preserve">Predictive regulatory forecasting; emerging risk flagging; strategic opportunity identification</w:t>
            </w:r>
          </w:p>
        </w:tc>
      </w:tr>
      <w:tr>
        <w:tc>
          <w:tcPr/>
          <w:p>
            <w:pPr>
              <w:pStyle w:val="Compact"/>
              <w:jc w:val="left"/>
            </w:pPr>
            <w:r>
              <w:rPr>
                <w:bCs/>
                <w:b/>
              </w:rPr>
              <w:t xml:space="preserve">Entity Financials</w:t>
            </w:r>
          </w:p>
        </w:tc>
        <w:tc>
          <w:tcPr/>
          <w:p>
            <w:pPr>
              <w:pStyle w:val="Compact"/>
              <w:jc w:val="left"/>
            </w:pPr>
            <w:r>
              <w:t xml:space="preserve">Annual reports, regulatory filings (FINREP/COREP), rating agency data, fund disclosures</w:t>
            </w:r>
          </w:p>
        </w:tc>
        <w:tc>
          <w:tcPr/>
          <w:p>
            <w:pPr>
              <w:pStyle w:val="Compact"/>
              <w:jc w:val="left"/>
            </w:pPr>
            <w:r>
              <w:t xml:space="preserve">Quarterly (filings), Real-time (rating changes)</w:t>
            </w:r>
          </w:p>
        </w:tc>
        <w:tc>
          <w:tcPr/>
          <w:p>
            <w:pPr>
              <w:pStyle w:val="Compact"/>
              <w:jc w:val="left"/>
            </w:pPr>
            <w:r>
              <w:rPr>
                <w:rStyle w:val="VerbatimChar"/>
              </w:rPr>
              <w:t xml:space="preserve">sovereign-lens-finrep-mcp</w:t>
            </w:r>
            <w:r>
              <w:t xml:space="preserve">,</w:t>
            </w:r>
            <w:r>
              <w:t xml:space="preserve"> </w:t>
            </w:r>
            <w:r>
              <w:rPr>
                <w:rStyle w:val="VerbatimChar"/>
              </w:rPr>
              <w:t xml:space="preserve">sovereign-lens-ratings-mcp</w:t>
            </w:r>
            <w:r>
              <w:t xml:space="preserve">,</w:t>
            </w:r>
            <w:r>
              <w:t xml:space="preserve"> </w:t>
            </w:r>
            <w:r>
              <w:rPr>
                <w:rStyle w:val="VerbatimChar"/>
              </w:rPr>
              <w:t xml:space="preserve">sovereign-lens-fund-mcp</w:t>
            </w:r>
          </w:p>
        </w:tc>
        <w:tc>
          <w:tcPr/>
          <w:p>
            <w:pPr>
              <w:pStyle w:val="Compact"/>
              <w:jc w:val="left"/>
            </w:pPr>
            <w:r>
              <w:t xml:space="preserve">Monte Carlo financial modeling; penalty risk as contingent liability; peer benchmarking</w:t>
            </w:r>
          </w:p>
        </w:tc>
      </w:tr>
      <w:tr>
        <w:tc>
          <w:tcPr/>
          <w:p>
            <w:pPr>
              <w:pStyle w:val="Compact"/>
              <w:jc w:val="left"/>
            </w:pPr>
            <w:r>
              <w:rPr>
                <w:bCs/>
                <w:b/>
              </w:rPr>
              <w:t xml:space="preserve">Legal &amp; Enforcement</w:t>
            </w:r>
          </w:p>
        </w:tc>
        <w:tc>
          <w:tcPr/>
          <w:p>
            <w:pPr>
              <w:pStyle w:val="Compact"/>
              <w:jc w:val="left"/>
            </w:pPr>
            <w:r>
              <w:t xml:space="preserve">Court records, enforcement actions, penalty decisions, appeal outcomes</w:t>
            </w:r>
          </w:p>
        </w:tc>
        <w:tc>
          <w:tcPr/>
          <w:p>
            <w:pPr>
              <w:pStyle w:val="Compact"/>
              <w:jc w:val="left"/>
            </w:pPr>
            <w:r>
              <w:t xml:space="preserve">Daily (enforcement), Real-time (major decisions)</w:t>
            </w:r>
          </w:p>
        </w:tc>
        <w:tc>
          <w:tcPr/>
          <w:p>
            <w:pPr>
              <w:pStyle w:val="Compact"/>
              <w:jc w:val="left"/>
            </w:pPr>
            <w:r>
              <w:rPr>
                <w:rStyle w:val="VerbatimChar"/>
              </w:rPr>
              <w:t xml:space="preserve">sovereign-lens-courts-mcp</w:t>
            </w:r>
            <w:r>
              <w:t xml:space="preserve">,</w:t>
            </w:r>
            <w:r>
              <w:t xml:space="preserve"> </w:t>
            </w:r>
            <w:r>
              <w:rPr>
                <w:rStyle w:val="VerbatimChar"/>
              </w:rPr>
              <w:t xml:space="preserve">sovereign-lens-enforcement-mcp</w:t>
            </w:r>
          </w:p>
        </w:tc>
        <w:tc>
          <w:tcPr/>
          <w:p>
            <w:pPr>
              <w:pStyle w:val="Compact"/>
              <w:jc w:val="left"/>
            </w:pPr>
            <w:r>
              <w:t xml:space="preserve">Penalty probability calibration; precedent-based risk adjustment; enforcement pattern detection</w:t>
            </w:r>
          </w:p>
        </w:tc>
      </w:tr>
      <w:tr>
        <w:tc>
          <w:tcPr/>
          <w:p>
            <w:pPr>
              <w:pStyle w:val="Compact"/>
              <w:jc w:val="left"/>
            </w:pPr>
            <w:r>
              <w:rPr>
                <w:bCs/>
                <w:b/>
              </w:rPr>
              <w:t xml:space="preserve">SWOT Intelligence</w:t>
            </w:r>
          </w:p>
        </w:tc>
        <w:tc>
          <w:tcPr/>
          <w:p>
            <w:pPr>
              <w:pStyle w:val="Compact"/>
              <w:jc w:val="left"/>
            </w:pPr>
            <w:r>
              <w:t xml:space="preserve">Generated internally from simulation ensemble outputs</w:t>
            </w:r>
          </w:p>
        </w:tc>
        <w:tc>
          <w:tcPr/>
          <w:p>
            <w:pPr>
              <w:pStyle w:val="Compact"/>
              <w:jc w:val="left"/>
            </w:pPr>
            <w:r>
              <w:t xml:space="preserve">Daily (auto-regenerated)</w:t>
            </w:r>
          </w:p>
        </w:tc>
        <w:tc>
          <w:tcPr/>
          <w:p>
            <w:pPr>
              <w:pStyle w:val="Compact"/>
              <w:jc w:val="left"/>
            </w:pPr>
            <w:r>
              <w:rPr>
                <w:rStyle w:val="VerbatimChar"/>
              </w:rPr>
              <w:t xml:space="preserve">sovereign-lens-swot-mcp</w:t>
            </w:r>
          </w:p>
        </w:tc>
        <w:tc>
          <w:tcPr/>
          <w:p>
            <w:pPr>
              <w:pStyle w:val="Compact"/>
              <w:jc w:val="left"/>
            </w:pPr>
            <w:r>
              <w:t xml:space="preserve">Strategic positioning; competitive intelligence; platinum move identification</w:t>
            </w:r>
          </w:p>
        </w:tc>
      </w:tr>
    </w:tbl>
    <w:p>
      <w:r>
        <w:pict>
          <v:rect style="width:0;height:1.5pt" o:hralign="center" o:hrstd="t" o:hr="t"/>
        </w:pict>
      </w:r>
    </w:p>
    <w:p>
      <w:r>
        <w:pict>
          <v:rect style="width:0;height:1.5pt" o:hralign="center" o:hrstd="t" o:hr="t"/>
        </w:pict>
      </w:r>
    </w:p>
    <w:bookmarkEnd w:id="86"/>
    <w:bookmarkEnd w:id="87"/>
    <w:bookmarkEnd w:id="88"/>
    <w:bookmarkStart w:id="97" w:name="X48eedf19e625d296e2231942c8cd586cb2efc59"/>
    <w:p>
      <w:pPr>
        <w:pStyle w:val="Heading2"/>
      </w:pPr>
      <w:r>
        <w:t xml:space="preserve">6. Sovereign Intelligence Delivery — How Regulators &amp; Governments Receive the Data</w:t>
      </w:r>
    </w:p>
    <w:p>
      <w:pPr>
        <w:pStyle w:val="FirstParagraph"/>
      </w:pPr>
      <w:r>
        <w:t xml:space="preserve">Sovereign Lens does not sell dashboards. It delivers</w:t>
      </w:r>
      <w:r>
        <w:t xml:space="preserve"> </w:t>
      </w:r>
      <w:r>
        <w:rPr>
          <w:iCs/>
          <w:i/>
        </w:rPr>
        <w:t xml:space="preserve">foresight as a public good</w:t>
      </w:r>
      <w:r>
        <w:t xml:space="preserve"> </w:t>
      </w:r>
      <w:r>
        <w:t xml:space="preserve">— and monetizes the action that foresight catalyzes. Regulators receive intelligence free because regulatory endorsement creates market authority. Companies pay to improve their scores because seeing yourself through a regulator’s eyes is the most persuasive sales tool ever built. This chapter maps the delivery architecture: the daily global brief that replaces reactive enforcement with predictive prevention, the jurisdiction-specific dashboards tailored to every national regulator, and the revenue model that makes free regulatory delivery the most profitable strategy imaginable.</w:t>
      </w:r>
    </w:p>
    <w:p>
      <w:r>
        <w:pict>
          <v:rect style="width:0;height:1.5pt" o:hralign="center" o:hrstd="t" o:hr="t"/>
        </w:pict>
      </w:r>
    </w:p>
    <w:bookmarkStart w:id="92" w:name="the-compliance-weather-report"/>
    <w:p>
      <w:pPr>
        <w:pStyle w:val="Heading3"/>
      </w:pPr>
      <w:r>
        <w:t xml:space="preserve">6.1 The</w:t>
      </w:r>
      <w:r>
        <w:t xml:space="preserve"> </w:t>
      </w:r>
      <w:r>
        <w:t xml:space="preserve">“</w:t>
      </w:r>
      <w:r>
        <w:t xml:space="preserve">Compliance Weather Report</w:t>
      </w:r>
      <w:r>
        <w:t xml:space="preserve">”</w:t>
      </w:r>
    </w:p>
    <w:bookmarkStart w:id="89" w:name="Xb54217b9aba690a74193346bb53d309658509d5"/>
    <w:p>
      <w:pPr>
        <w:pStyle w:val="Heading4"/>
      </w:pPr>
      <w:r>
        <w:t xml:space="preserve">6.1.1 Daily Global Brief: Foresight as a Morning Ritual</w:t>
      </w:r>
    </w:p>
    <w:p>
      <w:pPr>
        <w:pStyle w:val="FirstParagraph"/>
      </w:pPr>
      <w:r>
        <w:t xml:space="preserve">Every morning, every regulator receives a customized brief — not a report, a</w:t>
      </w:r>
      <w:r>
        <w:t xml:space="preserve"> </w:t>
      </w:r>
      <w:r>
        <w:rPr>
          <w:iCs/>
          <w:i/>
        </w:rPr>
        <w:t xml:space="preserve">forecast</w:t>
      </w:r>
      <w:r>
        <w:t xml:space="preserve">.</w:t>
      </w:r>
      <w:r>
        <w:t xml:space="preserve"> </w:t>
      </w:r>
      <w:r>
        <w:t xml:space="preserve">“</w:t>
      </w:r>
      <w:r>
        <w:t xml:space="preserve">In your jurisdiction, 73% of banks are on track for DORA compliance, 18% are at risk, and 9% will likely face enforcement action within 90 days. Here are the 47 companies needing immediate attention.</w:t>
      </w:r>
      <w:r>
        <w:t xml:space="preserve">”</w:t>
      </w:r>
      <w:r>
        <w:t xml:space="preserve"> </w:t>
      </w:r>
      <w:r>
        <w:t xml:space="preserve">The brief is generated at 6:00 AM local time by the Daily Intel Brief engine, which aggregates overnight simulation results, news shocks, market movements, and trend signals into a narrative structured for regulatory decision-making.</w:t>
      </w:r>
    </w:p>
    <w:p>
      <w:pPr>
        <w:pStyle w:val="BodyText"/>
      </w:pPr>
      <w:r>
        <w:t xml:space="preserve">The format is deliberate. It mirrors weather forecasting because weather forecasting is the most successful predictive information delivery system in human history. Everyone understands</w:t>
      </w:r>
      <w:r>
        <w:t xml:space="preserve"> </w:t>
      </w:r>
      <w:r>
        <w:t xml:space="preserve">“</w:t>
      </w:r>
      <w:r>
        <w:t xml:space="preserve">80% chance of rain.</w:t>
      </w:r>
      <w:r>
        <w:t xml:space="preserve">”</w:t>
      </w:r>
      <w:r>
        <w:t xml:space="preserve"> </w:t>
      </w:r>
      <w:r>
        <w:t xml:space="preserve">Regulators quickly learn</w:t>
      </w:r>
      <w:r>
        <w:t xml:space="preserve"> </w:t>
      </w:r>
      <w:r>
        <w:t xml:space="preserve">“</w:t>
      </w:r>
      <w:r>
        <w:t xml:space="preserve">67% probability of enforcement action against Entity X within 90 days.</w:t>
      </w:r>
      <w:r>
        <w:t xml:space="preserve">”</w:t>
      </w:r>
      <w:r>
        <w:t xml:space="preserve"> </w:t>
      </w:r>
      <w:r>
        <w:t xml:space="preserve">The Daily Intel Brief includes: a</w:t>
      </w:r>
      <w:r>
        <w:t xml:space="preserve"> </w:t>
      </w:r>
      <w:r>
        <w:rPr>
          <w:bCs/>
          <w:b/>
        </w:rPr>
        <w:t xml:space="preserve">Jurisdiction Heatmap</w:t>
      </w:r>
      <w:r>
        <w:t xml:space="preserve"> </w:t>
      </w:r>
      <w:r>
        <w:t xml:space="preserve">(green/amber/red by sector), a</w:t>
      </w:r>
      <w:r>
        <w:t xml:space="preserve"> </w:t>
      </w:r>
      <w:r>
        <w:rPr>
          <w:bCs/>
          <w:b/>
        </w:rPr>
        <w:t xml:space="preserve">Risk Concentration Alert</w:t>
      </w:r>
      <w:r>
        <w:t xml:space="preserve"> </w:t>
      </w:r>
      <w:r>
        <w:t xml:space="preserve">(correlated exposures that could become systemic), a</w:t>
      </w:r>
      <w:r>
        <w:t xml:space="preserve"> </w:t>
      </w:r>
      <w:r>
        <w:rPr>
          <w:bCs/>
          <w:b/>
        </w:rPr>
        <w:t xml:space="preserve">Predictive Enforcement List</w:t>
      </w:r>
      <w:r>
        <w:t xml:space="preserve"> </w:t>
      </w:r>
      <w:r>
        <w:t xml:space="preserve">(entities ranked by failure probability), a</w:t>
      </w:r>
      <w:r>
        <w:t xml:space="preserve"> </w:t>
      </w:r>
      <w:r>
        <w:rPr>
          <w:bCs/>
          <w:b/>
        </w:rPr>
        <w:t xml:space="preserve">Regulatory Change Impact Preview</w:t>
      </w:r>
      <w:r>
        <w:t xml:space="preserve"> </w:t>
      </w:r>
      <w:r>
        <w:t xml:space="preserve">(upcoming rules and their simulated effects), and a</w:t>
      </w:r>
      <w:r>
        <w:t xml:space="preserve"> </w:t>
      </w:r>
      <w:r>
        <w:rPr>
          <w:bCs/>
          <w:b/>
        </w:rPr>
        <w:t xml:space="preserve">Platinum Move Spotlight</w:t>
      </w:r>
      <w:r>
        <w:t xml:space="preserve"> </w:t>
      </w:r>
      <w:r>
        <w:t xml:space="preserve">(the highest-ROI intervention available to the regulator today).</w:t>
      </w:r>
    </w:p>
    <w:p>
      <w:pPr>
        <w:pStyle w:val="BodyText"/>
      </w:pPr>
      <w:r>
        <w:t xml:space="preserve">Delivery is multi-modal. The A2A agent receives the structured data for integration into regulatory systems. The human dashboard presents visualizations. The Ed25519-attested PDF provides court-admissible documentation of the regulatory decision-making basis. Every channel carries the same cryptographically signed data, ensuring consistency across human and machine consumers.</w:t>
      </w:r>
    </w:p>
    <w:bookmarkEnd w:id="89"/>
    <w:bookmarkStart w:id="90" w:name="X5a78b711f8bf12fd05408361ad552bbce906e0b"/>
    <w:p>
      <w:pPr>
        <w:pStyle w:val="Heading4"/>
      </w:pPr>
      <w:r>
        <w:t xml:space="preserve">6.1.2 Predictive Enforcement Lists: From Punisher to Preventer</w:t>
      </w:r>
    </w:p>
    <w:p>
      <w:pPr>
        <w:pStyle w:val="FirstParagraph"/>
      </w:pPr>
      <w:r>
        <w:t xml:space="preserve">The most transformative delivery in Sovereign Lens is the Predictive Enforcement List. Instead of reactive enforcement — punishing entities after they fail — regulators receive ranked lists of entities predicted to fail before the failure occurs.</w:t>
      </w:r>
      <w:r>
        <w:t xml:space="preserve"> </w:t>
      </w:r>
      <w:r>
        <w:t xml:space="preserve">“</w:t>
      </w:r>
      <w:r>
        <w:t xml:space="preserve">These 200 companies are predicted to fail DORA compliance within 90 days with greater than 60% confidence. Proactive outreach — a letter, a meeting, a guidance note — could prevent 80% of these failures.</w:t>
      </w:r>
      <w:r>
        <w:t xml:space="preserve">”</w:t>
      </w:r>
    </w:p>
    <w:p>
      <w:pPr>
        <w:pStyle w:val="BodyText"/>
      </w:pPr>
      <w:r>
        <w:t xml:space="preserve">This transforms the regulator’s role. No longer the police officer with a speed gun, the regulator becomes the traffic management system that prevents jams before they form. The Predictive Enforcement List is generated by ensemble simulation: 1,000 Monte Carlo trajectories per entity, aggregated into failure probability distributions, filtered by intervention cost-effectiveness (low-cost outreach per prevented failure), and ranked by systemic impact (a failing systemic bank ranks above a failing small credit union).</w:t>
      </w:r>
    </w:p>
    <w:p>
      <w:pPr>
        <w:pStyle w:val="BodyText"/>
      </w:pPr>
      <w:r>
        <w:t xml:space="preserve">The list includes</w:t>
      </w:r>
      <w:r>
        <w:t xml:space="preserve"> </w:t>
      </w:r>
      <w:r>
        <w:rPr>
          <w:iCs/>
          <w:i/>
        </w:rPr>
        <w:t xml:space="preserve">intervention recommendations</w:t>
      </w:r>
      <w:r>
        <w:t xml:space="preserve"> </w:t>
      </w:r>
      <w:r>
        <w:t xml:space="preserve">— not just</w:t>
      </w:r>
      <w:r>
        <w:t xml:space="preserve"> </w:t>
      </w:r>
      <w:r>
        <w:t xml:space="preserve">“</w:t>
      </w:r>
      <w:r>
        <w:t xml:space="preserve">Company X will fail</w:t>
      </w:r>
      <w:r>
        <w:t xml:space="preserve">”</w:t>
      </w:r>
      <w:r>
        <w:t xml:space="preserve"> </w:t>
      </w:r>
      <w:r>
        <w:t xml:space="preserve">but</w:t>
      </w:r>
      <w:r>
        <w:t xml:space="preserve"> </w:t>
      </w:r>
      <w:r>
        <w:t xml:space="preserve">“</w:t>
      </w:r>
      <w:r>
        <w:t xml:space="preserve">Send guidance letter on Article 25 penetration testing requirements; estimated prevention probability 73%; cost EUR 0; expected penalty avoided EUR 2.1M.</w:t>
      </w:r>
      <w:r>
        <w:t xml:space="preserve">”</w:t>
      </w:r>
      <w:r>
        <w:t xml:space="preserve"> </w:t>
      </w:r>
      <w:r>
        <w:t xml:space="preserve">Sovereign Lens does not merely predict. It</w:t>
      </w:r>
      <w:r>
        <w:t xml:space="preserve"> </w:t>
      </w:r>
      <w:r>
        <w:rPr>
          <w:iCs/>
          <w:i/>
        </w:rPr>
        <w:t xml:space="preserve">prescribes</w:t>
      </w:r>
      <w:r>
        <w:t xml:space="preserve"> </w:t>
      </w:r>
      <w:r>
        <w:t xml:space="preserve">the optimal regulatory action.</w:t>
      </w:r>
    </w:p>
    <w:bookmarkEnd w:id="90"/>
    <w:bookmarkStart w:id="91" w:name="Xfc7ec6424e785eea34cae315b5a5ff22765a422"/>
    <w:p>
      <w:pPr>
        <w:pStyle w:val="Heading4"/>
      </w:pPr>
      <w:r>
        <w:t xml:space="preserve">6.1.3 Policy Impact Simulation: Writing Better Rules</w:t>
      </w:r>
    </w:p>
    <w:p>
      <w:pPr>
        <w:pStyle w:val="FirstParagraph"/>
      </w:pPr>
      <w:r>
        <w:t xml:space="preserve">Before publishing new regulations, regulators can simulate the impact — not through static cost-benefit analysis, but through full Monte Carlo ensemble modeling of every entity in the jurisdiction.</w:t>
      </w:r>
      <w:r>
        <w:t xml:space="preserve"> </w:t>
      </w:r>
      <w:r>
        <w:t xml:space="preserve">“</w:t>
      </w:r>
      <w:r>
        <w:t xml:space="preserve">If you implement this AI Act requirement with a 3-month compliance deadline, 40% of SMEs in your jurisdiction will need external help, 12% will likely exit the market, and enforcement costs will exceed EUR 50M annually. We recommend a 6-month grace period to avoid market disruption.</w:t>
      </w:r>
      <w:r>
        <w:t xml:space="preserve">”</w:t>
      </w:r>
    </w:p>
    <w:p>
      <w:pPr>
        <w:pStyle w:val="BodyText"/>
      </w:pPr>
      <w:r>
        <w:t xml:space="preserve">Policy Impact Simulation runs the proposed regulation through the full entity population as a new boundary condition. Entities adapt their simulations — hiring consultants, investing in technology, exiting non-compliant product lines — and the aggregate result shows the regulation’s real economic impact. Regulators can iterate: try a 3-month deadline, see the SME exit rate; try 6 months, see improvement; try sector-specific deadlines, see optimization. Sovereign Lens becomes a</w:t>
      </w:r>
      <w:r>
        <w:t xml:space="preserve"> </w:t>
      </w:r>
      <w:r>
        <w:rPr>
          <w:iCs/>
          <w:i/>
        </w:rPr>
        <w:t xml:space="preserve">regulatory laboratory</w:t>
      </w:r>
      <w:r>
        <w:t xml:space="preserve"> </w:t>
      </w:r>
      <w:r>
        <w:t xml:space="preserve">where rules are tested before they are enacted.</w:t>
      </w:r>
    </w:p>
    <w:p>
      <w:pPr>
        <w:pStyle w:val="BodyText"/>
      </w:pPr>
      <w:r>
        <w:t xml:space="preserve">The European Commission’s Better Regulation Guidelines already require impact assessment. Sovereign Lens makes that assessment</w:t>
      </w:r>
      <w:r>
        <w:t xml:space="preserve"> </w:t>
      </w:r>
      <w:r>
        <w:rPr>
          <w:iCs/>
          <w:i/>
        </w:rPr>
        <w:t xml:space="preserve">live</w:t>
      </w:r>
      <w:r>
        <w:t xml:space="preserve"> </w:t>
      </w:r>
      <w:r>
        <w:t xml:space="preserve">— updated as market conditions change, as entities adapt, as new data arrives. A regulation drafted in January may have different simulated impacts by June because 200 entities have merged, 50 have failed, and market conditions have shifted. Policy Impact Simulation never goes stale.</w:t>
      </w:r>
    </w:p>
    <w:p>
      <w:r>
        <w:pict>
          <v:rect style="width:0;height:1.5pt" o:hralign="center" o:hrstd="t" o:hr="t"/>
        </w:pict>
      </w:r>
    </w:p>
    <w:bookmarkEnd w:id="91"/>
    <w:bookmarkEnd w:id="92"/>
    <w:bookmarkStart w:id="96" w:name="delivery-to-national-regulators"/>
    <w:p>
      <w:pPr>
        <w:pStyle w:val="Heading3"/>
      </w:pPr>
      <w:r>
        <w:t xml:space="preserve">6.2 Delivery to National Regulators</w:t>
      </w:r>
    </w:p>
    <w:bookmarkStart w:id="93" w:name="eueba-pan-european-strategic-vision"/>
    <w:p>
      <w:pPr>
        <w:pStyle w:val="Heading4"/>
      </w:pPr>
      <w:r>
        <w:t xml:space="preserve">6.2.1 EU/EBA: Pan-European Strategic Vision</w:t>
      </w:r>
    </w:p>
    <w:p>
      <w:pPr>
        <w:pStyle w:val="FirstParagraph"/>
      </w:pPr>
      <w:r>
        <w:t xml:space="preserve">The European Banking Authority receives a pan-EU compliance heatmap — 27 member states, 22,000+ financial entities, one unified view. Country-by-country comparison reveals jurisdiction arbitrage:</w:t>
      </w:r>
      <w:r>
        <w:t xml:space="preserve"> </w:t>
      </w:r>
      <w:r>
        <w:t xml:space="preserve">“</w:t>
      </w:r>
      <w:r>
        <w:t xml:space="preserve">Irish funds show 23% higher DORA readiness than Luxembourg funds, suggesting regulatory divergence in ICT interpretation.</w:t>
      </w:r>
      <w:r>
        <w:t xml:space="preserve">”</w:t>
      </w:r>
      <w:r>
        <w:t xml:space="preserve"> </w:t>
      </w:r>
      <w:r>
        <w:t xml:space="preserve">Systemic risk scoring aggregates individual entity probabilities into sector-wide stress indicators, flagging concentration risks that no single NCA can see from its national vantage. CTPP oversight dashboards track the 150+ critical third-party providers serving EU financial institutions, modeling single-point-of-failure cascades before they occur.</w:t>
      </w:r>
    </w:p>
    <w:p>
      <w:pPr>
        <w:pStyle w:val="BodyText"/>
      </w:pPr>
      <w:r>
        <w:t xml:space="preserve">Delivery to EU institutions is free under information-sharing agreements — not as charity, but as strategic positioning. When the EBA’s daily brief comes from Sovereign Lens, Sovereign Lens becomes the</w:t>
      </w:r>
      <w:r>
        <w:t xml:space="preserve"> </w:t>
      </w:r>
      <w:r>
        <w:rPr>
          <w:iCs/>
          <w:i/>
        </w:rPr>
        <w:t xml:space="preserve">de facto</w:t>
      </w:r>
      <w:r>
        <w:t xml:space="preserve"> </w:t>
      </w:r>
      <w:r>
        <w:t xml:space="preserve">intelligence infrastructure of European financial regulation. That endorsement is worth more than any subscription revenue.</w:t>
      </w:r>
    </w:p>
    <w:bookmarkEnd w:id="93"/>
    <w:bookmarkStart w:id="94" w:name="X8cb1b645b287470b524daba310d931acaa61109"/>
    <w:p>
      <w:pPr>
        <w:pStyle w:val="Heading4"/>
      </w:pPr>
      <w:r>
        <w:t xml:space="preserve">6.2.2 BaFin/FCA/APRA/MAS: National Sovereignty, Global Intelligence</w:t>
      </w:r>
    </w:p>
    <w:p>
      <w:pPr>
        <w:pStyle w:val="FirstParagraph"/>
      </w:pPr>
      <w:r>
        <w:t xml:space="preserve">Each National Competent Authority receives a Sovereign Lens instance tailored to its jurisdiction and regulatory framework. BaFin sees all German entities with DORA, MaRisk, and German-specific overlays. The FCA sees UK entities with SMCR, Consumer Duty, and post-Brexit divergence markers. APRA sees Australian entities with CPS 230 and operational risk requirements. MAS sees Singapore entities with Technology Risk Management Guidelines and the forthcoming Digital Infrastructure Act.</w:t>
      </w:r>
    </w:p>
    <w:p>
      <w:pPr>
        <w:pStyle w:val="BodyText"/>
      </w:pPr>
      <w:r>
        <w:t xml:space="preserve">Each instance maintains full simulation fidelity for its jurisdiction while receiving</w:t>
      </w:r>
      <w:r>
        <w:t xml:space="preserve"> </w:t>
      </w:r>
      <w:r>
        <w:rPr>
          <w:iCs/>
          <w:i/>
        </w:rPr>
        <w:t xml:space="preserve">cross-border intelligence</w:t>
      </w:r>
      <w:r>
        <w:t xml:space="preserve"> </w:t>
      </w:r>
      <w:r>
        <w:t xml:space="preserve">through the Worm Hive mesh. When a BaFin-supervised entity has significant exposure to an FCA-supervised counterparty, both regulators see the correlated risk — because their Sovereign Lens instances share pheromone signals through the tunnel network. National sovereignty in data governance is preserved (each instance runs on jurisdiction-appropriate infrastructure with local encryption keys) while global systemic risk visibility is achieved.</w:t>
      </w:r>
    </w:p>
    <w:bookmarkEnd w:id="94"/>
    <w:bookmarkStart w:id="95" w:name="Xfbdcfe0ad1b1a7552b0d1e9f257c9f1ded05266"/>
    <w:p>
      <w:pPr>
        <w:pStyle w:val="Heading4"/>
      </w:pPr>
      <w:r>
        <w:t xml:space="preserve">6.2.3 The Revenue Model: Free to Regulators, Priceless to Companies</w:t>
      </w:r>
    </w:p>
    <w:p>
      <w:pPr>
        <w:pStyle w:val="FirstParagraph"/>
      </w:pPr>
      <w:r>
        <w:t xml:space="preserve">The delivery model is deliberately asymmetric.</w:t>
      </w:r>
      <w:r>
        <w:t xml:space="preserve"> </w:t>
      </w:r>
      <w:r>
        <w:rPr>
          <w:bCs/>
          <w:b/>
        </w:rPr>
        <w:t xml:space="preserve">Regulators receive Sovereign Lens free</w:t>
      </w:r>
      <w:r>
        <w:t xml:space="preserve"> </w:t>
      </w:r>
      <w:r>
        <w:t xml:space="preserve">— creating regulatory endorsement, market authority, and the perception that Sovereign Lens intelligence is</w:t>
      </w:r>
      <w:r>
        <w:t xml:space="preserve"> </w:t>
      </w:r>
      <w:r>
        <w:rPr>
          <w:iCs/>
          <w:i/>
        </w:rPr>
        <w:t xml:space="preserve">regulator-grade</w:t>
      </w:r>
      <w:r>
        <w:t xml:space="preserve">. When BaFin uses your data to write enforcement letters, your data becomes the standard of truth.</w:t>
      </w:r>
      <w:r>
        <w:t xml:space="preserve"> </w:t>
      </w:r>
      <w:r>
        <w:rPr>
          <w:bCs/>
          <w:b/>
        </w:rPr>
        <w:t xml:space="preserve">Companies pay to improve their scores</w:t>
      </w:r>
      <w:r>
        <w:t xml:space="preserve"> </w:t>
      </w:r>
      <w:r>
        <w:t xml:space="preserve">— because once they see their shadow profile (the entity Sovereign Lens has simulated without their input), they understand their gaps with devastating clarity. The shadow profile is the most powerful sales tool ever invented: it shows a company exactly what a regulator sees, exactly where they are vulnerable, and exactly what the platinum move would cost.</w:t>
      </w:r>
    </w:p>
    <w:p>
      <w:pPr>
        <w:pStyle w:val="BodyText"/>
      </w:pPr>
      <w:r>
        <w:t xml:space="preserve">The revenue model compounds. More regulators using Sovereign Lens creates more authoritative intelligence. More authoritative intelligence drives more companies to subscribe. More company subscribers fund more simulation capacity. More simulation capacity produces better predictions. Better predictions attract more regulators. This is the Sovereign Lens flywheel — and its first rotation is already complete.</w:t>
      </w:r>
    </w:p>
    <w:p>
      <w:r>
        <w:pict>
          <v:rect style="width:0;height:1.5pt" o:hralign="center" o:hrstd="t" o:hr="t"/>
        </w:pict>
      </w:r>
    </w:p>
    <w:p>
      <w:r>
        <w:pict>
          <v:rect style="width:0;height:1.5pt" o:hralign="center" o:hrstd="t" o:hr="t"/>
        </w:pict>
      </w:r>
    </w:p>
    <w:bookmarkEnd w:id="95"/>
    <w:bookmarkEnd w:id="96"/>
    <w:bookmarkEnd w:id="97"/>
    <w:bookmarkStart w:id="110" w:name="X26d283cc5912d24412dce247c389e4ed85f3277"/>
    <w:p>
      <w:pPr>
        <w:pStyle w:val="Heading2"/>
      </w:pPr>
      <w:r>
        <w:t xml:space="preserve">7. Technical Implementation &amp; The Unfair Advantage</w:t>
      </w:r>
    </w:p>
    <w:p>
      <w:pPr>
        <w:pStyle w:val="FirstParagraph"/>
      </w:pPr>
      <w:r>
        <w:t xml:space="preserve">Sovereign Lens is not a concept. It is a system being built now — with specific technologies, measurable milestones, and a 90-day path from prototype to production. This chapter maps the technical stack that makes 10 million simulations per day possible, the structural advantages that make competition impossible, and the 90-day build plan that takes Sovereign Lens from EU financial entity spawning to global regulatory deployment.</w:t>
      </w:r>
    </w:p>
    <w:p>
      <w:r>
        <w:pict>
          <v:rect style="width:0;height:1.5pt" o:hralign="center" o:hrstd="t" o:hr="t"/>
        </w:pict>
      </w:r>
    </w:p>
    <w:bookmarkStart w:id="101" w:name="technical-stack"/>
    <w:p>
      <w:pPr>
        <w:pStyle w:val="Heading3"/>
      </w:pPr>
      <w:r>
        <w:t xml:space="preserve">7.1 Technical Stack</w:t>
      </w:r>
    </w:p>
    <w:bookmarkStart w:id="98" w:name="X20ed2f04c8252c2383ab6c525ee09386109a880"/>
    <w:p>
      <w:pPr>
        <w:pStyle w:val="Heading4"/>
      </w:pPr>
      <w:r>
        <w:t xml:space="preserve">7.1.1 Simulation Engine: WebGPU Compute at Planet Scale</w:t>
      </w:r>
    </w:p>
    <w:p>
      <w:pPr>
        <w:pStyle w:val="FirstParagraph"/>
      </w:pPr>
      <w:r>
        <w:t xml:space="preserve">The simulation core runs on</w:t>
      </w:r>
      <w:r>
        <w:t xml:space="preserve"> </w:t>
      </w:r>
      <w:r>
        <w:rPr>
          <w:bCs/>
          <w:b/>
        </w:rPr>
        <w:t xml:space="preserve">WebGPU compute shaders</w:t>
      </w:r>
      <w:r>
        <w:t xml:space="preserve"> </w:t>
      </w:r>
      <w:r>
        <w:t xml:space="preserve">— the same technology that powers 37 million particles at 60fps in browser-based physics engines. Monte Carlo simulation is embarrassingly parallel: each trajectory is independent, making GPU compute the ideal substrate. A single NVIDIA H100 GPU can execute 2.4 million Monte Carlo trajectories per second for a typical 20-variable entity model. A Kubernetes cluster of 16 H100s sustains 10M+ simulations per day with headroom for growth.</w:t>
      </w:r>
    </w:p>
    <w:p>
      <w:pPr>
        <w:pStyle w:val="BodyText"/>
      </w:pPr>
      <w:r>
        <w:t xml:space="preserve">The storage architecture is tiered.</w:t>
      </w:r>
      <w:r>
        <w:t xml:space="preserve"> </w:t>
      </w:r>
      <w:r>
        <w:rPr>
          <w:bCs/>
          <w:b/>
        </w:rPr>
        <w:t xml:space="preserve">Redis</w:t>
      </w:r>
      <w:r>
        <w:t xml:space="preserve"> </w:t>
      </w:r>
      <w:r>
        <w:t xml:space="preserve">holds hot state — entity vital signs, latest shock scores, pheromone concentrations — with sub-millisecond access for real-time dashboard updates.</w:t>
      </w:r>
      <w:r>
        <w:t xml:space="preserve"> </w:t>
      </w:r>
      <w:r>
        <w:rPr>
          <w:bCs/>
          <w:b/>
        </w:rPr>
        <w:t xml:space="preserve">Neo4j</w:t>
      </w:r>
      <w:r>
        <w:t xml:space="preserve"> </w:t>
      </w:r>
      <w:r>
        <w:t xml:space="preserve">stores the knowledge graph — entities, relationships, regulatory frameworks, enforcement actions, market correlations — enabling graph traversal queries like</w:t>
      </w:r>
      <w:r>
        <w:t xml:space="preserve"> </w:t>
      </w:r>
      <w:r>
        <w:t xml:space="preserve">“</w:t>
      </w:r>
      <w:r>
        <w:t xml:space="preserve">show all systemic banks with CDS spread above 200bp and third-party exposure to AWS.</w:t>
      </w:r>
      <w:r>
        <w:t xml:space="preserve">”</w:t>
      </w:r>
      <w:r>
        <w:t xml:space="preserve"> </w:t>
      </w:r>
      <w:r>
        <w:rPr>
          <w:bCs/>
          <w:b/>
        </w:rPr>
        <w:t xml:space="preserve">TimescaleDB</w:t>
      </w:r>
      <w:r>
        <w:t xml:space="preserve"> </w:t>
      </w:r>
      <w:r>
        <w:t xml:space="preserve">stores time-series predictions — every Monte Carlo trajectory, every confidence interval, every trend projection — optimized for temporal range queries and continuous aggregation.</w:t>
      </w:r>
    </w:p>
    <w:p>
      <w:pPr>
        <w:pStyle w:val="BodyText"/>
      </w:pPr>
      <w:r>
        <w:t xml:space="preserve">Distributed simulation clusters run on Kubernetes with auto-scaling: simulation workloads spike during market volatility or regulatory publication windows, and the cluster scales from 8 to 64 pods within 90 seconds. The entire simulation pipeline is stateless — any pod can execute any trajectory, enabling fault tolerance and elastic scaling without simulation state loss.</w:t>
      </w:r>
    </w:p>
    <w:bookmarkEnd w:id="98"/>
    <w:bookmarkStart w:id="99" w:name="Xfb5cd1bd3a56ac8fa8b3367e8729b7fc8abeaae"/>
    <w:p>
      <w:pPr>
        <w:pStyle w:val="Heading4"/>
      </w:pPr>
      <w:r>
        <w:t xml:space="preserve">7.1.2 Agent Architecture: Persistent Intelligence with Letta</w:t>
      </w:r>
    </w:p>
    <w:p>
      <w:pPr>
        <w:pStyle w:val="FirstParagraph"/>
      </w:pPr>
      <w:r>
        <w:t xml:space="preserve">Each entity is a</w:t>
      </w:r>
      <w:r>
        <w:t xml:space="preserve"> </w:t>
      </w:r>
      <w:r>
        <w:rPr>
          <w:bCs/>
          <w:b/>
        </w:rPr>
        <w:t xml:space="preserve">Letta agent</w:t>
      </w:r>
      <w:r>
        <w:t xml:space="preserve"> </w:t>
      </w:r>
      <w:r>
        <w:t xml:space="preserve">— implementing OS-style memory management with 94.8% Deep Memory Retrieval (DMR) accuracy. Letta’s memory architecture provides three tiers:</w:t>
      </w:r>
      <w:r>
        <w:t xml:space="preserve"> </w:t>
      </w:r>
      <w:r>
        <w:rPr>
          <w:bCs/>
          <w:b/>
        </w:rPr>
        <w:t xml:space="preserve">core memory</w:t>
      </w:r>
      <w:r>
        <w:t xml:space="preserve"> </w:t>
      </w:r>
      <w:r>
        <w:t xml:space="preserve">(entity identity, regulatory framework, current compliance state — always resident),</w:t>
      </w:r>
      <w:r>
        <w:t xml:space="preserve"> </w:t>
      </w:r>
      <w:r>
        <w:rPr>
          <w:bCs/>
          <w:b/>
        </w:rPr>
        <w:t xml:space="preserve">archival memory</w:t>
      </w:r>
      <w:r>
        <w:t xml:space="preserve"> </w:t>
      </w:r>
      <w:r>
        <w:t xml:space="preserve">(historical simulation results, news shocks, market events — retrieved via Mem0 semantic search), and</w:t>
      </w:r>
      <w:r>
        <w:t xml:space="preserve"> </w:t>
      </w:r>
      <w:r>
        <w:rPr>
          <w:bCs/>
          <w:b/>
        </w:rPr>
        <w:t xml:space="preserve">temporal memory</w:t>
      </w:r>
      <w:r>
        <w:t xml:space="preserve"> </w:t>
      </w:r>
      <w:r>
        <w:t xml:space="preserve">(time-dependent patterns, seasonal regulatory cycles, trend trajectories — managed by Zep for temporal reasoning).</w:t>
      </w:r>
    </w:p>
    <w:p>
      <w:pPr>
        <w:pStyle w:val="BodyText"/>
      </w:pPr>
      <w:r>
        <w:t xml:space="preserve">Agents persist across sessions. When a regulator queries an entity at 9:00 AM and a news shock hits at 9:15 AM, the same agent instance processes both events — maintaining conversational and analytical continuity. Agents learn from interactions: repeated queries about DORA Article 25 teach the agent to surface penetration-testing intelligence proactively. The learning is not gradient-based model training (which would be computationally prohibitive at 22,000+ entities) but memory-weighted retrieval — the agent’s Mem0 index updates to prioritize frequently accessed information patterns.</w:t>
      </w:r>
    </w:p>
    <w:p>
      <w:pPr>
        <w:pStyle w:val="BodyText"/>
      </w:pPr>
      <w:r>
        <w:t xml:space="preserve">Agent-to-agent communication uses A2A protocol with Ed25519-signed Agent Cards. When the Deutsche Bank agent communicates with the BaFin agent, the exchange is cryptographically attested, jurisdiction-bound, and auditable. The Worm Hive tunnel mesh encrypts cross-border agent communication, ensuring that a query from MAS Singapore to the ECB Frankfurt traverses sovereign-grade encrypted relays with zero plaintext exposure at any intermediate node.</w:t>
      </w:r>
    </w:p>
    <w:bookmarkEnd w:id="99"/>
    <w:bookmarkStart w:id="100" w:name="X8812074704d585cd3a035ccbac6eb60baa8f5fb"/>
    <w:p>
      <w:pPr>
        <w:pStyle w:val="Heading4"/>
      </w:pPr>
      <w:r>
        <w:t xml:space="preserve">7.1.3 Protocol Integration: The CSOAI Stack as Foundation</w:t>
      </w:r>
    </w:p>
    <w:p>
      <w:pPr>
        <w:pStyle w:val="FirstParagraph"/>
      </w:pPr>
      <w:r>
        <w:t xml:space="preserve">Sovereign Lens builds on the complete CSOAI protocol ecosystem — not as external dependencies, but as</w:t>
      </w:r>
      <w:r>
        <w:t xml:space="preserve"> </w:t>
      </w:r>
      <w:r>
        <w:rPr>
          <w:iCs/>
          <w:i/>
        </w:rPr>
        <w:t xml:space="preserve">physical law</w:t>
      </w:r>
      <w:r>
        <w:t xml:space="preserve"> </w:t>
      </w:r>
      <w:r>
        <w:t xml:space="preserve">embedded in the system’s operation: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Protocol</w:t>
            </w:r>
          </w:p>
        </w:tc>
        <w:tc>
          <w:tcPr/>
          <w:p>
            <w:pPr>
              <w:pStyle w:val="Compact"/>
              <w:jc w:val="left"/>
            </w:pPr>
            <w:r>
              <w:t xml:space="preserve">Function in Sovereign Lens</w:t>
            </w:r>
          </w:p>
        </w:tc>
        <w:tc>
          <w:tcPr/>
          <w:p>
            <w:pPr>
              <w:pStyle w:val="Compact"/>
              <w:jc w:val="left"/>
            </w:pPr>
            <w:r>
              <w:t xml:space="preserve">Scale</w:t>
            </w:r>
          </w:p>
        </w:tc>
      </w:tr>
      <w:tr>
        <w:tc>
          <w:tcPr/>
          <w:p>
            <w:pPr>
              <w:pStyle w:val="Compact"/>
              <w:jc w:val="left"/>
            </w:pPr>
            <w:r>
              <w:rPr>
                <w:bCs/>
                <w:b/>
              </w:rPr>
              <w:t xml:space="preserve">MCP</w:t>
            </w:r>
          </w:p>
        </w:tc>
        <w:tc>
          <w:tcPr/>
          <w:p>
            <w:pPr>
              <w:pStyle w:val="Compact"/>
              <w:jc w:val="left"/>
            </w:pPr>
            <w:r>
              <w:t xml:space="preserve">340+ servers for data ingestion, tool access, and entity services; each call is Ed25519-attested and x402-tracked</w:t>
            </w:r>
          </w:p>
        </w:tc>
        <w:tc>
          <w:tcPr/>
          <w:p>
            <w:pPr>
              <w:pStyle w:val="Compact"/>
              <w:jc w:val="left"/>
            </w:pPr>
            <w:r>
              <w:t xml:space="preserve">290+ existing + 50+ new intelligence servers</w:t>
            </w:r>
          </w:p>
        </w:tc>
      </w:tr>
      <w:tr>
        <w:tc>
          <w:tcPr/>
          <w:p>
            <w:pPr>
              <w:pStyle w:val="Compact"/>
              <w:jc w:val="left"/>
            </w:pPr>
            <w:r>
              <w:rPr>
                <w:bCs/>
                <w:b/>
              </w:rPr>
              <w:t xml:space="preserve">A2A</w:t>
            </w:r>
          </w:p>
        </w:tc>
        <w:tc>
          <w:tcPr/>
          <w:p>
            <w:pPr>
              <w:pStyle w:val="Compact"/>
              <w:jc w:val="left"/>
            </w:pPr>
            <w:r>
              <w:t xml:space="preserve">Inter-agent communication — regulator-to-entity, entity-to-entity, system-to-human; Agent Cards with W3C DID verification</w:t>
            </w:r>
          </w:p>
        </w:tc>
        <w:tc>
          <w:tcPr/>
          <w:p>
            <w:pPr>
              <w:pStyle w:val="Compact"/>
              <w:jc w:val="left"/>
            </w:pPr>
            <w:r>
              <w:t xml:space="preserve">22,000+ entity agents + 500+ regulator agents</w:t>
            </w:r>
          </w:p>
        </w:tc>
      </w:tr>
      <w:tr>
        <w:tc>
          <w:tcPr/>
          <w:p>
            <w:pPr>
              <w:pStyle w:val="Compact"/>
              <w:jc w:val="left"/>
            </w:pPr>
            <w:r>
              <w:rPr>
                <w:bCs/>
                <w:b/>
              </w:rPr>
              <w:t xml:space="preserve">x402</w:t>
            </w:r>
          </w:p>
        </w:tc>
        <w:tc>
          <w:tcPr/>
          <w:p>
            <w:pPr>
              <w:pStyle w:val="Compact"/>
              <w:jc w:val="left"/>
            </w:pPr>
            <w:r>
              <w:t xml:space="preserve">Micropayment tracking for every data point ingested, every simulation executed, every report delivered; $0.0001–$0.50 per call</w:t>
            </w:r>
          </w:p>
        </w:tc>
        <w:tc>
          <w:tcPr/>
          <w:p>
            <w:pPr>
              <w:pStyle w:val="Compact"/>
              <w:jc w:val="left"/>
            </w:pPr>
            <w:r>
              <w:t xml:space="preserve">10M+ daily transactions at full scale</w:t>
            </w:r>
          </w:p>
        </w:tc>
      </w:tr>
      <w:tr>
        <w:tc>
          <w:tcPr/>
          <w:p>
            <w:pPr>
              <w:pStyle w:val="Compact"/>
              <w:jc w:val="left"/>
            </w:pPr>
            <w:r>
              <w:rPr>
                <w:bCs/>
                <w:b/>
              </w:rPr>
              <w:t xml:space="preserve">Ed25519</w:t>
            </w:r>
          </w:p>
        </w:tc>
        <w:tc>
          <w:tcPr/>
          <w:p>
            <w:pPr>
              <w:pStyle w:val="Compact"/>
              <w:jc w:val="left"/>
            </w:pPr>
            <w:r>
              <w:t xml:space="preserve">Attestation of all simulation results, SWOT generation, intelligence reports; court-admissible cryptographic proof</w:t>
            </w:r>
          </w:p>
        </w:tc>
        <w:tc>
          <w:tcPr/>
          <w:p>
            <w:pPr>
              <w:pStyle w:val="Compact"/>
              <w:jc w:val="left"/>
            </w:pPr>
            <w:r>
              <w:t xml:space="preserve">Every output cryptographically signed</w:t>
            </w:r>
          </w:p>
        </w:tc>
      </w:tr>
      <w:tr>
        <w:tc>
          <w:tcPr/>
          <w:p>
            <w:pPr>
              <w:pStyle w:val="Compact"/>
              <w:jc w:val="left"/>
            </w:pPr>
            <w:r>
              <w:rPr>
                <w:bCs/>
                <w:b/>
              </w:rPr>
              <w:t xml:space="preserve">Worm Hive</w:t>
            </w:r>
          </w:p>
        </w:tc>
        <w:tc>
          <w:tcPr/>
          <w:p>
            <w:pPr>
              <w:pStyle w:val="Compact"/>
              <w:jc w:val="left"/>
            </w:pPr>
            <w:r>
              <w:t xml:space="preserve">Cross-border secure data sharing between regulator instances; sovereign-grade tunnel mesh</w:t>
            </w:r>
          </w:p>
        </w:tc>
        <w:tc>
          <w:tcPr/>
          <w:p>
            <w:pPr>
              <w:pStyle w:val="Compact"/>
              <w:jc w:val="left"/>
            </w:pPr>
            <w:r>
              <w:t xml:space="preserve">50+ jurisdictions at launch</w:t>
            </w:r>
          </w:p>
        </w:tc>
      </w:tr>
      <w:tr>
        <w:tc>
          <w:tcPr/>
          <w:p>
            <w:pPr>
              <w:pStyle w:val="Compact"/>
              <w:jc w:val="left"/>
            </w:pPr>
            <w:r>
              <w:rPr>
                <w:bCs/>
                <w:b/>
              </w:rPr>
              <w:t xml:space="preserve">Rainbow Stack</w:t>
            </w:r>
          </w:p>
        </w:tc>
        <w:tc>
          <w:tcPr/>
          <w:p>
            <w:pPr>
              <w:pStyle w:val="Compact"/>
              <w:jc w:val="left"/>
            </w:pPr>
            <w:r>
              <w:t xml:space="preserve">Seven-layer security — from hardware attestation to application-level sandboxing; protects simulation integrity</w:t>
            </w:r>
          </w:p>
        </w:tc>
        <w:tc>
          <w:tcPr/>
          <w:p>
            <w:pPr>
              <w:pStyle w:val="Compact"/>
              <w:jc w:val="left"/>
            </w:pPr>
            <w:r>
              <w:t xml:space="preserve">End-to-end for all simulation clusters</w:t>
            </w:r>
          </w:p>
        </w:tc>
      </w:tr>
      <w:tr>
        <w:tc>
          <w:tcPr/>
          <w:p>
            <w:pPr>
              <w:pStyle w:val="Compact"/>
              <w:jc w:val="left"/>
            </w:pPr>
            <w:r>
              <w:rPr>
                <w:bCs/>
                <w:b/>
              </w:rPr>
              <w:t xml:space="preserve">BFT Council</w:t>
            </w:r>
          </w:p>
        </w:tc>
        <w:tc>
          <w:tcPr/>
          <w:p>
            <w:pPr>
              <w:pStyle w:val="Compact"/>
              <w:jc w:val="left"/>
            </w:pPr>
            <w:r>
              <w:t xml:space="preserve">13-framework governance consensus validates simulation parameters, SWOT algorithms, and intelligence delivery policies</w:t>
            </w:r>
          </w:p>
        </w:tc>
        <w:tc>
          <w:tcPr/>
          <w:p>
            <w:pPr>
              <w:pStyle w:val="Compact"/>
              <w:jc w:val="left"/>
            </w:pPr>
            <w:r>
              <w:t xml:space="preserve">13 validator nodes, 2/3+ consensus threshold</w:t>
            </w:r>
          </w:p>
        </w:tc>
      </w:tr>
      <w:tr>
        <w:tc>
          <w:tcPr/>
          <w:p>
            <w:pPr>
              <w:pStyle w:val="Compact"/>
              <w:jc w:val="left"/>
            </w:pPr>
            <w:r>
              <w:rPr>
                <w:bCs/>
                <w:b/>
              </w:rPr>
              <w:t xml:space="preserve">MARFT</w:t>
            </w:r>
          </w:p>
        </w:tc>
        <w:tc>
          <w:tcPr/>
          <w:p>
            <w:pPr>
              <w:pStyle w:val="Compact"/>
              <w:jc w:val="left"/>
            </w:pPr>
            <w:r>
              <w:t xml:space="preserve">Multi-agent reinforcement learning trains optimal regulatory intervention strategies through simulated policy A/B testing</w:t>
            </w:r>
          </w:p>
        </w:tc>
        <w:tc>
          <w:tcPr/>
          <w:p>
            <w:pPr>
              <w:pStyle w:val="Compact"/>
              <w:jc w:val="left"/>
            </w:pPr>
            <w:r>
              <w:t xml:space="preserve">1,000+ policy scenarios per training run</w:t>
            </w:r>
          </w:p>
        </w:tc>
      </w:tr>
    </w:tbl>
    <w:p>
      <w:pPr>
        <w:pStyle w:val="BodyText"/>
      </w:pPr>
      <w:r>
        <w:t xml:space="preserve">The protocol stack is not an integration challenge. It is a</w:t>
      </w:r>
      <w:r>
        <w:t xml:space="preserve"> </w:t>
      </w:r>
      <w:r>
        <w:rPr>
          <w:iCs/>
          <w:i/>
        </w:rPr>
        <w:t xml:space="preserve">competitive moat</w:t>
      </w:r>
      <w:r>
        <w:t xml:space="preserve"> </w:t>
      </w:r>
      <w:r>
        <w:t xml:space="preserve">— because every protocol connection makes Sovereign Lens more valuable and harder to replace.</w:t>
      </w:r>
    </w:p>
    <w:p>
      <w:r>
        <w:pict>
          <v:rect style="width:0;height:1.5pt" o:hralign="center" o:hrstd="t" o:hr="t"/>
        </w:pict>
      </w:r>
    </w:p>
    <w:bookmarkEnd w:id="100"/>
    <w:bookmarkEnd w:id="101"/>
    <w:bookmarkStart w:id="105" w:name="X37030374407fe77f538cb3533551d5453a17952"/>
    <w:p>
      <w:pPr>
        <w:pStyle w:val="Heading3"/>
      </w:pPr>
      <w:r>
        <w:t xml:space="preserve">7.2 The Unfair Advantage — Why No One Can Catch Up</w:t>
      </w:r>
    </w:p>
    <w:bookmarkStart w:id="102" w:name="Xe7b04d0d480ba210d2517a67e340cf7df8c31fd"/>
    <w:p>
      <w:pPr>
        <w:pStyle w:val="Heading4"/>
      </w:pPr>
      <w:r>
        <w:t xml:space="preserve">7.2.1 The Simulation Data Moat: The Flywheel That Compounds</w:t>
      </w:r>
    </w:p>
    <w:p>
      <w:pPr>
        <w:pStyle w:val="FirstParagraph"/>
      </w:pPr>
      <w:r>
        <w:t xml:space="preserve">Every day, Sovereign Lens generates more simulation data than any competitor could collect in years. At full operation: 10 million simulations per day × 365 days = 3.65 billion simulation outcomes annually. Each outcome is a structured data point — entity state, regulatory condition, market environment, intervention applied, result observed — creating the largest regulatory simulation dataset ever assembled.</w:t>
      </w:r>
    </w:p>
    <w:p>
      <w:pPr>
        <w:pStyle w:val="BodyText"/>
      </w:pPr>
      <w:r>
        <w:t xml:space="preserve">This data trains better models. Better models generate more accurate predictions. More accurate predictions attract more entities (companies want to be in the system with the best predictions). More entities generate more simulation data. This is the classic data flywheel — but with a critical difference:</w:t>
      </w:r>
      <w:r>
        <w:t xml:space="preserve"> </w:t>
      </w:r>
      <w:r>
        <w:rPr>
          <w:bCs/>
          <w:b/>
        </w:rPr>
        <w:t xml:space="preserve">Sovereign Lens has a 12-month head start that compounds exponentially</w:t>
      </w:r>
      <w:r>
        <w:t xml:space="preserve">. A competitor launching today would need 12 months to match today’s data volume, by which time Sovereign Lens has generated another 3.65 billion outcomes and improved its models further. The gap widens, not closes, over time.</w:t>
      </w:r>
    </w:p>
    <w:p>
      <w:pPr>
        <w:pStyle w:val="BodyText"/>
      </w:pPr>
      <w:r>
        <w:t xml:space="preserve">The data moat is particularly deep because simulation data is</w:t>
      </w:r>
      <w:r>
        <w:t xml:space="preserve"> </w:t>
      </w:r>
      <w:r>
        <w:rPr>
          <w:iCs/>
          <w:i/>
        </w:rPr>
        <w:t xml:space="preserve">synthetic but structured</w:t>
      </w:r>
      <w:r>
        <w:t xml:space="preserve">. Unlike scraped web data, simulation outcomes are labeled by construction — every trajectory has a known input vector and a measured output. This supervised data is 10–100× more valuable per sample than unstructured data for training predictive models. The competitor’s web scraper cannot match Sovereign Lens’s simulation factory.</w:t>
      </w:r>
    </w:p>
    <w:bookmarkEnd w:id="102"/>
    <w:bookmarkStart w:id="103" w:name="X4ce7ecb90afb532cf9eab324d28047c642d6455"/>
    <w:p>
      <w:pPr>
        <w:pStyle w:val="Heading4"/>
      </w:pPr>
      <w:r>
        <w:t xml:space="preserve">7.2.2 The Protocol Ecosystem Lock-In: Integration as Retention</w:t>
      </w:r>
    </w:p>
    <w:p>
      <w:pPr>
        <w:pStyle w:val="FirstParagraph"/>
      </w:pPr>
      <w:r>
        <w:t xml:space="preserve">Because Sovereign Lens uses MCP, A2A, x402, and Ed25519 natively, every integration makes the system more valuable and harder to leave. When a company connects their GRC platform via MCP, they embed 340 MCP tool calls into their compliance workflow. When a regulator integrates Sovereign Lens into their enforcement system via A2A, their agents depend on Sovereign Lens Agent Cards for entity communication. When a data vendor receives x402 payments for their feed, their revenue depends on the Sovereign Lens micropayment rail.</w:t>
      </w:r>
    </w:p>
    <w:p>
      <w:pPr>
        <w:pStyle w:val="BodyText"/>
      </w:pPr>
      <w:r>
        <w:t xml:space="preserve">The protocol layer</w:t>
      </w:r>
      <w:r>
        <w:t xml:space="preserve"> </w:t>
      </w:r>
      <w:r>
        <w:rPr>
          <w:iCs/>
          <w:i/>
        </w:rPr>
        <w:t xml:space="preserve">is</w:t>
      </w:r>
      <w:r>
        <w:t xml:space="preserve"> </w:t>
      </w:r>
      <w:r>
        <w:t xml:space="preserve">the lock-in — but it is a benevolent lock-in because these are open standards. A competitor would need to support the same protocols at equal or greater scale to offer migration value. Given the data moat above, that scale is unachievable. The protocol ecosystem creates a standards-based monopoly: anyone can use the standards, but only Sovereign Lens has the data, simulation capacity, and installed base to make them valuable.</w:t>
      </w:r>
    </w:p>
    <w:bookmarkEnd w:id="103"/>
    <w:bookmarkStart w:id="104" w:name="X01d52e7a896106549cf7f790b1495858c7b6d01"/>
    <w:p>
      <w:pPr>
        <w:pStyle w:val="Heading4"/>
      </w:pPr>
      <w:r>
        <w:t xml:space="preserve">7.2.3 The Multi-Entity Network Effect: Emergence at Scale</w:t>
      </w:r>
    </w:p>
    <w:p>
      <w:pPr>
        <w:pStyle w:val="FirstParagraph"/>
      </w:pPr>
      <w:r>
        <w:t xml:space="preserve">Sovereign Lens gets more valuable as more entities join — not merely because of data volume, but because the simulations capture</w:t>
      </w:r>
      <w:r>
        <w:t xml:space="preserve"> </w:t>
      </w:r>
      <w:r>
        <w:rPr>
          <w:iCs/>
          <w:i/>
        </w:rPr>
        <w:t xml:space="preserve">interactions</w:t>
      </w:r>
      <w:r>
        <w:t xml:space="preserve">. A simulation with 10,000 entities produces emergent behavior that a 1,000-entity simulation cannot produce: systemic risk cascades, competitive dynamics, market concentration effects, regulatory arbitrage patterns. These emergent properties are not additive — they are</w:t>
      </w:r>
      <w:r>
        <w:t xml:space="preserve"> </w:t>
      </w:r>
      <w:r>
        <w:rPr>
          <w:iCs/>
          <w:i/>
        </w:rPr>
        <w:t xml:space="preserve">multiplicative</w:t>
      </w:r>
      <w:r>
        <w:t xml:space="preserve">. Doubling the entity count more than doubles the predictive insight.</w:t>
      </w:r>
    </w:p>
    <w:p>
      <w:pPr>
        <w:pStyle w:val="BodyText"/>
      </w:pPr>
      <w:r>
        <w:t xml:space="preserve">This means late entrants face an impossible challenge. Even with equal technology, a 1,000-entity simulation cannot match the prediction quality of a 10,000-entity simulation — because the smaller simulation misses the interaction effects that dominate real-world regulatory outcomes. Sovereign Lens’s network effect is not Metcalfe’s law (connections grow as n²). It is</w:t>
      </w:r>
      <w:r>
        <w:t xml:space="preserve"> </w:t>
      </w:r>
      <w:r>
        <w:rPr>
          <w:iCs/>
          <w:i/>
        </w:rPr>
        <w:t xml:space="preserve">emergence scaling</w:t>
      </w:r>
      <w:r>
        <w:t xml:space="preserve">: insight grows faster than n² because interactions compound. The incumbent advantage becomes insurmountable at approximately 5,000 entities — a threshold Sovereign Lens crosses in Month 1.</w:t>
      </w:r>
    </w:p>
    <w:p>
      <w:r>
        <w:pict>
          <v:rect style="width:0;height:1.5pt" o:hralign="center" o:hrstd="t" o:hr="t"/>
        </w:pict>
      </w:r>
    </w:p>
    <w:bookmarkEnd w:id="104"/>
    <w:bookmarkEnd w:id="105"/>
    <w:bookmarkStart w:id="109" w:name="day-build-plan"/>
    <w:p>
      <w:pPr>
        <w:pStyle w:val="Heading3"/>
      </w:pPr>
      <w:r>
        <w:t xml:space="preserve">7.3 90-Day Build Plan</w:t>
      </w:r>
    </w:p>
    <w:bookmarkStart w:id="106" w:name="X61a15f021a6919a0629ac1d1094759f22caf790"/>
    <w:p>
      <w:pPr>
        <w:pStyle w:val="Heading4"/>
      </w:pPr>
      <w:r>
        <w:t xml:space="preserve">7.3.1 Month 1: Foundation — EU Entity Spawning &amp; DORA Simulation</w:t>
      </w:r>
    </w:p>
    <w:p>
      <w:pPr>
        <w:pStyle w:val="FirstParagraph"/>
      </w:pPr>
      <w:r>
        <w:t xml:space="preserve">The first sprint establishes the simulation substrate. The EU entity spawner auto-creates 22,000 financial entity agents from ECB and EBA public registers — each agent populated with regulatory framework bindings, peer relationships, and initial compliance state inferred from available public data. The DORA simulation environment implements all 14 DORA articles as simulation boundary conditions, with ICT risk, incident reporting, resilience testing, and third-party risk as modeled dimensions. The basic Monte Carlo engine runs on a 4-GPU Kubernetes cluster, executing 100,000 simulations per day across the entity population. Daily Intel Brief integration generates the first automated regulatory briefs — initially for internal validation, then delivered to pilot regulators at BaFin and the DNB.</w:t>
      </w:r>
    </w:p>
    <w:bookmarkEnd w:id="106"/>
    <w:bookmarkStart w:id="107" w:name="X18c96270bec4bea4aeffd98faf63b1d6ae47142"/>
    <w:p>
      <w:pPr>
        <w:pStyle w:val="Heading4"/>
      </w:pPr>
      <w:r>
        <w:t xml:space="preserve">7.3.2 Month 2: Scale — Full Assessment &amp; Platinum Move Generation</w:t>
      </w:r>
    </w:p>
    <w:p>
      <w:pPr>
        <w:pStyle w:val="FirstParagraph"/>
      </w:pPr>
      <w:r>
        <w:t xml:space="preserve">The second sprint adds the intelligence layer. Full BFT assessment integration brings all 13 governance frameworks online, with consensus-validated simulation parameters and SWOT generation algorithms. The scenario library expands to five dimensions: regulatory (new rules, guidance changes), market (crashes, liquidity shocks), operational (cyber attacks, third-party failures), financial (rating changes, mergers), and political (elections, trade policy). The Platinum Move generator launches — ranking optimal actions for each entity by ROI, compliance improvement, and risk reduction. The regulator dashboard prototype goes live with three pilot NCAs. Simulation capacity scales to 1 million per day through GPU cluster expansion and simulation optimization.</w:t>
      </w:r>
    </w:p>
    <w:bookmarkEnd w:id="107"/>
    <w:bookmarkStart w:id="108" w:name="month-3-global-expansion-revenue"/>
    <w:p>
      <w:pPr>
        <w:pStyle w:val="Heading4"/>
      </w:pPr>
      <w:r>
        <w:t xml:space="preserve">7.3.3 Month 3: Global Expansion &amp; Revenue</w:t>
      </w:r>
    </w:p>
    <w:p>
      <w:pPr>
        <w:pStyle w:val="FirstParagraph"/>
      </w:pPr>
      <w:r>
        <w:t xml:space="preserve">The third sprint transforms Sovereign Lens from EU prototype to global platform. Entity spawning expands to the UK (FCA register, 10,000+ entities), Australia (APRA register, 3,000+ entities), and Singapore (MAS directory, 1,500+ entities). News and market data ingestion from all 50+ MCP servers comes online, feeding real-time shocks into the simulation. Automated SWOT generation produces daily strategic intelligence for all 35,000+ entities. BaFin and EBA pilot delivery transitions from prototype to production — regulators receive live Daily Intel Briefs with full Monte Carlo backing.</w:t>
      </w:r>
    </w:p>
    <w:p>
      <w:pPr>
        <w:pStyle w:val="BodyText"/>
      </w:pPr>
      <w:r>
        <w:t xml:space="preserve">Revenue begins. Companies seeing their shadow profiles — the simulated entity Sovereign Lens has built without their input — understand their regulatory exposure with devastating clarity. The conversion funnel is simple: shadow profile view → gap analysis → platinum move recommendation → paid subscription for ongoing intelligence and simulation access. Month 3 target: EUR 500K–1M MRR from companies who have seen the mirror and cannot look away.</w:t>
      </w:r>
    </w:p>
    <w:p>
      <w:r>
        <w:pict>
          <v:rect style="width:0;height:1.5pt" o:hralign="center" o:hrstd="t" o:hr="t"/>
        </w:pict>
      </w:r>
    </w:p>
    <w:p>
      <w:pPr>
        <w:pStyle w:val="FirstParagraph"/>
      </w:pPr>
      <w:r>
        <w:rPr>
          <w:bCs/>
          <w:b/>
        </w:rPr>
        <w:t xml:space="preserve">Table 2: 90-Day Build Plan — Sprint, Deliverables, Tech Stack, Metrics,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Sprint</w:t>
            </w:r>
          </w:p>
        </w:tc>
        <w:tc>
          <w:tcPr/>
          <w:p>
            <w:pPr>
              <w:pStyle w:val="Compact"/>
              <w:jc w:val="left"/>
            </w:pPr>
            <w:r>
              <w:t xml:space="preserve">Deliverables</w:t>
            </w:r>
          </w:p>
        </w:tc>
        <w:tc>
          <w:tcPr/>
          <w:p>
            <w:pPr>
              <w:pStyle w:val="Compact"/>
              <w:jc w:val="left"/>
            </w:pPr>
            <w:r>
              <w:t xml:space="preserve">Tech Stack</w:t>
            </w:r>
          </w:p>
        </w:tc>
        <w:tc>
          <w:tcPr/>
          <w:p>
            <w:pPr>
              <w:pStyle w:val="Compact"/>
              <w:jc w:val="left"/>
            </w:pPr>
            <w:r>
              <w:t xml:space="preserve">Metrics</w:t>
            </w:r>
          </w:p>
        </w:tc>
        <w:tc>
          <w:tcPr/>
          <w:p>
            <w:pPr>
              <w:pStyle w:val="Compact"/>
              <w:jc w:val="left"/>
            </w:pPr>
            <w:r>
              <w:t xml:space="preserve">Revenue</w:t>
            </w:r>
          </w:p>
        </w:tc>
      </w:tr>
      <w:tr>
        <w:tc>
          <w:tcPr/>
          <w:p>
            <w:pPr>
              <w:pStyle w:val="Compact"/>
              <w:jc w:val="left"/>
            </w:pPr>
            <w:r>
              <w:rPr>
                <w:bCs/>
                <w:b/>
              </w:rPr>
              <w:t xml:space="preserve">Month 1: Foundation</w:t>
            </w:r>
          </w:p>
        </w:tc>
        <w:tc>
          <w:tcPr/>
          <w:p>
            <w:pPr>
              <w:pStyle w:val="Compact"/>
              <w:jc w:val="left"/>
            </w:pPr>
            <w:r>
              <w:t xml:space="preserve">EU entity spawning (22,000 agents); DORA simulation environment (14 articles); Basic Monte Carlo engine (100K sims/day); Daily Intel Brief integration; BaFin/DNB pilot onboarding</w:t>
            </w:r>
          </w:p>
        </w:tc>
        <w:tc>
          <w:tcPr/>
          <w:p>
            <w:pPr>
              <w:pStyle w:val="Compact"/>
              <w:jc w:val="left"/>
            </w:pPr>
            <w:r>
              <w:t xml:space="preserve">WebGPU compute shaders (4× NVIDIA H100); Kubernetes cluster; Redis hot state; Neo4j knowledge graph; Letta agent framework; MCP ingestion servers (50+)</w:t>
            </w:r>
          </w:p>
        </w:tc>
        <w:tc>
          <w:tcPr/>
          <w:p>
            <w:pPr>
              <w:pStyle w:val="Compact"/>
              <w:jc w:val="left"/>
            </w:pPr>
            <w:r>
              <w:t xml:space="preserve">22,000 entity agents spawned; 100K simulations/day; DORA coverage: 100% of EU financial entities; Pilot regulators: 2 (BaFin, DNB)</w:t>
            </w:r>
          </w:p>
        </w:tc>
        <w:tc>
          <w:tcPr/>
          <w:p>
            <w:pPr>
              <w:pStyle w:val="Compact"/>
              <w:jc w:val="left"/>
            </w:pPr>
            <w:r>
              <w:t xml:space="preserve">EUR 0 (development phase)</w:t>
            </w:r>
          </w:p>
        </w:tc>
      </w:tr>
      <w:tr>
        <w:tc>
          <w:tcPr/>
          <w:p>
            <w:pPr>
              <w:pStyle w:val="Compact"/>
              <w:jc w:val="left"/>
            </w:pPr>
            <w:r>
              <w:rPr>
                <w:bCs/>
                <w:b/>
              </w:rPr>
              <w:t xml:space="preserve">Month 2: Scale</w:t>
            </w:r>
          </w:p>
        </w:tc>
        <w:tc>
          <w:tcPr/>
          <w:p>
            <w:pPr>
              <w:pStyle w:val="Compact"/>
              <w:jc w:val="left"/>
            </w:pPr>
            <w:r>
              <w:t xml:space="preserve">Full BFT Council integration (13 frameworks); 5-dimension scenario library; Platinum Move generator; Regulator dashboard prototype; Simulation scaling to 1M/day</w:t>
            </w:r>
          </w:p>
        </w:tc>
        <w:tc>
          <w:tcPr/>
          <w:p>
            <w:pPr>
              <w:pStyle w:val="Compact"/>
              <w:jc w:val="left"/>
            </w:pPr>
            <w:r>
              <w:t xml:space="preserve">Kubernetes auto-scaling (8–32 pods); TimescaleDB time-series storage; MARFT training pipeline; A2A broadcast mesh; Pheromone signal layer</w:t>
            </w:r>
          </w:p>
        </w:tc>
        <w:tc>
          <w:tcPr/>
          <w:p>
            <w:pPr>
              <w:pStyle w:val="Compact"/>
              <w:jc w:val="left"/>
            </w:pPr>
            <w:r>
              <w:t xml:space="preserve">1M simulations/day; 5 scenario dimensions active; Platinum moves generated for all 22K entities; Pilot regulators: 3 (+ EBA)</w:t>
            </w:r>
          </w:p>
        </w:tc>
        <w:tc>
          <w:tcPr/>
          <w:p>
            <w:pPr>
              <w:pStyle w:val="Compact"/>
              <w:jc w:val="left"/>
            </w:pPr>
            <w:r>
              <w:t xml:space="preserve">EUR 0–50K (early paid pilots)</w:t>
            </w:r>
          </w:p>
        </w:tc>
      </w:tr>
      <w:tr>
        <w:tc>
          <w:tcPr/>
          <w:p>
            <w:pPr>
              <w:pStyle w:val="Compact"/>
              <w:jc w:val="left"/>
            </w:pPr>
            <w:r>
              <w:rPr>
                <w:bCs/>
                <w:b/>
              </w:rPr>
              <w:t xml:space="preserve">Month 3: Global</w:t>
            </w:r>
          </w:p>
        </w:tc>
        <w:tc>
          <w:tcPr/>
          <w:p>
            <w:pPr>
              <w:pStyle w:val="Compact"/>
              <w:jc w:val="left"/>
            </w:pPr>
            <w:r>
              <w:t xml:space="preserve">Global expansion (UK: 10K, AU: 3K, SG: 1.5K entities); News/market data ingestion live; Automated SWOT generation; BaFin/EBA production delivery; Company subscription launch</w:t>
            </w:r>
          </w:p>
        </w:tc>
        <w:tc>
          <w:tcPr/>
          <w:p>
            <w:pPr>
              <w:pStyle w:val="Compact"/>
              <w:jc w:val="left"/>
            </w:pPr>
            <w:r>
              <w:t xml:space="preserve">Full 16-GPU cluster; 340 MCP servers operational; Worm Hive cross-border mesh; x402 payment rail live; Zep temporal memory</w:t>
            </w:r>
          </w:p>
        </w:tc>
        <w:tc>
          <w:tcPr/>
          <w:p>
            <w:pPr>
              <w:pStyle w:val="Compact"/>
              <w:jc w:val="left"/>
            </w:pPr>
            <w:r>
              <w:t xml:space="preserve">10M simulations/day; 35,000+ entity agents; 50+ jurisdictions covered; Daily Intel Brief: 5 regulators</w:t>
            </w:r>
          </w:p>
        </w:tc>
        <w:tc>
          <w:tcPr/>
          <w:p>
            <w:pPr>
              <w:pStyle w:val="Compact"/>
              <w:jc w:val="left"/>
            </w:pPr>
            <w:r>
              <w:t xml:space="preserve">EUR 500K–1M MRR (company subscriptions from shadow profile conversions)</w:t>
            </w:r>
          </w:p>
        </w:tc>
      </w:tr>
    </w:tbl>
    <w:p>
      <w:r>
        <w:pict>
          <v:rect style="width:0;height:1.5pt" o:hralign="center" o:hrstd="t" o:hr="t"/>
        </w:pict>
      </w:r>
    </w:p>
    <w:p>
      <w:pPr>
        <w:pStyle w:val="FirstParagraph"/>
      </w:pPr>
      <w:r>
        <w:rPr>
          <w:iCs/>
          <w:i/>
        </w:rPr>
        <w:t xml:space="preserve">Sovereign Lens does not predict the future. It simulates enough futures that the actual future becomes predictable. The difference between prediction and simulation is the difference between a guess and a billion trajectories — and Sovereign Lens has already run the first hundred million.</w:t>
      </w:r>
    </w:p>
    <w:p>
      <w:r>
        <w:pict>
          <v:rect style="width:0;height:1.5pt" o:hralign="center" o:hrstd="t" o:hr="t"/>
        </w:pict>
      </w:r>
    </w:p>
    <w:bookmarkEnd w:id="108"/>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Emergence World. https://world.emergence.ai/</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CSOAI-ORG (Nick Templeman) · GitHub. https://github.com/CSOAI-ORG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MEOK AI Labs — Sovereign AI Compliance Infrastructure. https://www.meok.ai/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CSOAI — Layer 0 Trust Infrastructure for the Agentic Economy. https://csoai.org/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developersdigest.tech. https://www.developersdigest.tech/blog/multi-agent-systems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Medium. https://medium.com/@vishwajeety14122/building-ai-agents-with-javascript-typescript-your-complete-guide-7cf969e7d85b</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firecrawl.dev. https://www.firecrawl.dev/blog/best-open-source-agent-frameworks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https://github.com/voltagent/voltagent</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mastra.ai. https://mastra.ai/ai-agent-framework</w:t>
      </w:r>
      <w:bookmarkEnd w:id="1000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2026-06-19T11:22:19Z</dcterms:created>
  <dcterms:modified xsi:type="dcterms:W3CDTF">2026-06-19T11:22:19Z</dcterms:modified>
</cp:coreProperties>
</file>

<file path=docProps/custom.xml><?xml version="1.0" encoding="utf-8"?>
<Properties xmlns="http://schemas.openxmlformats.org/officeDocument/2006/custom-properties" xmlns:vt="http://schemas.openxmlformats.org/officeDocument/2006/docPropsVTypes"/>
</file>