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A1628"/>
          <w:sz w:val="52"/>
          <w:szCs w:val="52"/>
        </w:rPr>
        <w:t xml:space="preserve">CSOAI GROUP</w:t>
      </w:r>
    </w:p>
    <w:p>
      <w:pPr>
        <w:spacing w:after="100"/>
        <w:jc w:val="center"/>
      </w:pPr>
      <w:r>
        <w:rPr>
          <w:rFonts w:ascii="Arial" w:cs="Arial" w:eastAsia="Arial" w:hAnsi="Arial"/>
          <w:color w:val="1E5AA8"/>
          <w:sz w:val="36"/>
          <w:szCs w:val="36"/>
        </w:rPr>
        <w:t xml:space="preserve">DAILY INTELLIGENCE &amp;</w:t>
      </w:r>
    </w:p>
    <w:p>
      <w:pPr>
        <w:spacing w:after="400"/>
        <w:jc w:val="center"/>
      </w:pPr>
      <w:r>
        <w:rPr>
          <w:rFonts w:ascii="Arial" w:cs="Arial" w:eastAsia="Arial" w:hAnsi="Arial"/>
          <w:color w:val="1E5AA8"/>
          <w:sz w:val="36"/>
          <w:szCs w:val="36"/>
        </w:rPr>
        <w:t xml:space="preserve">MONITORING FRAMEWORK</w:t>
      </w:r>
    </w:p>
    <w:p>
      <w:pPr>
        <w:pBdr>
          <w:top w:val="single" w:color="C49A2A" w:sz="8" w:space="8"/>
          <w:bottom w:val="single" w:color="C49A2A" w:sz="8" w:space="8"/>
        </w:pBdr>
        <w:spacing w:before="200" w:after="20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Operational Intelligence System for Strategic Decision-Making</w:t>
      </w:r>
    </w:p>
    <w:p>
      <w:pPr>
        <w:spacing w:before="600" w:after="10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Version 1.0 | February 2026</w:t>
      </w:r>
    </w:p>
    <w:p>
      <w:pPr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Prepared for: Nicholas Templeman &amp; James Castle</w:t>
      </w:r>
    </w:p>
    <w:p>
      <w:pPr>
        <w:spacing w:before="100"/>
        <w:jc w:val="center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Classification: CONFIDENTIAL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0A1628"/>
        </w:rPr>
        <w:t xml:space="preserve">1. Framework Purpose &amp; Operating Principles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This framework establishes a systematic daily intelligence operation for the CSOAI Group, enabling real-time strategic awareness across six critical domains: competitive landscape, regulatory environment, corporate AI displacement patterns, DSRB positioning, grant opportunities, and internal operational metrics.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framework is designed to be operated through Claude-assisted daily briefings within the CSOAI project space, ensuring continuity, pattern recognition across sessions, and actionable intelligence synthesis.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A1628"/>
          <w:sz w:val="21"/>
          <w:szCs w:val="21"/>
        </w:rPr>
        <w:t xml:space="preserve">Operating Principle: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Every piece of intelligence gathered must answer one question — how does this affect our path to revenue, recognition, and global scale?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0A1628"/>
        </w:rPr>
        <w:t xml:space="preserve">2. Competitive Landscape Dashboard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following competitors are tracked across funding, revenue, team size, product developments, partnerships, and strategic moves. This table should be updated weekly with any changes detected through daily monitoring.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1400"/>
        <w:gridCol w:w="1560"/>
        <w:gridCol w:w="14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Competitor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Funding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Revenue Est.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Employees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Move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Threat Level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Credo AI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$41.3M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~$3.7M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~16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Gartner recognition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OneTrust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$920M+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$500M ARR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~3,000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 exit exploration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LOW-MED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Holistic AI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$22M+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~$2M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~80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EU AI Act tools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ForHumanity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Non-profit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Minimal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~20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Audit cert dev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RAI Institute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Non-profit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Minimal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~15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DOD membership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LOW-MED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IAPP/AIGP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Non-profit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$50M+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~400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AIGP expansion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Arthur AI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$63M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~$5M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~60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Monitoring focus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Patronus AI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$40M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~$2M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~30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LLM evaluation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WATCH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Galileo AI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$68M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~$3M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~50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ML monitoring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WATCH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Cisco/Robust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$400M acq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Embedded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Cisco scale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Stack integration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WATCH</w:t>
            </w:r>
          </w:p>
        </w:tc>
      </w:tr>
    </w:tbl>
    <w:p>
      <w:pPr>
        <w:spacing w:before="200"/>
      </w:pPr>
    </w:p>
    <w:p>
      <w:pPr>
        <w:pStyle w:val="Heading2"/>
        <w:spacing w:before="250" w:after="120"/>
      </w:pPr>
      <w:r>
        <w:rPr>
          <w:rFonts w:ascii="Arial" w:cs="Arial" w:eastAsia="Arial" w:hAnsi="Arial"/>
          <w:b/>
          <w:bCs/>
          <w:color w:val="1E5AA8"/>
        </w:rPr>
        <w:t xml:space="preserve">2.1 Competitor Monitoring Triggers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following events trigger immediate assessment and potential strategic response: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New funding round announced by any tracked competitor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Partnership announcement with enterprise client, government, or defence entity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Product launch or feature release in AI governance/certification space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Key hire (CEO, CTO, government affairs, defence sector) at competitor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Regulatory recognition, accreditation, or government contract award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Acquisition of or by a tracked competitor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New entrant detected in AI governance certification space</w:t>
      </w:r>
    </w:p>
    <w:p>
      <w:pPr>
        <w:pStyle w:val="Heading2"/>
        <w:spacing w:before="250" w:after="120"/>
      </w:pPr>
      <w:r>
        <w:rPr>
          <w:rFonts w:ascii="Arial" w:cs="Arial" w:eastAsia="Arial" w:hAnsi="Arial"/>
          <w:b/>
          <w:bCs/>
          <w:color w:val="1E5AA8"/>
        </w:rPr>
        <w:t xml:space="preserve">2.2 Competitive Gap Analysis (Updated Monthly)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Core gaps that no competitor fills — these are validated monthly to ensure they remain uncontested: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Gap 1: Accreditation body for AI safety (Cyber-AB equivalent) — UNCONTESTED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Gap 2: Defence-specific AI governance certification — UNCONTESTED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Gap 3: Multi-national framework interoperability (17+ crosswalks) — UNCONTESTED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Gap 4: Sector-specific AI certification (22 CASA programs) — UNCONTESTED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Gap 5: Combined human + AI governance benchmarking — UNCONTESTED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0A1628"/>
        </w:rPr>
        <w:t xml:space="preserve">3. Regulatory Radar &amp; Compliance Timeline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Active and approaching regulatory deadlines that create compliance demand for CSOAI certification services. Updated as new regulations are proposed or existing timelines shift.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2000"/>
        <w:gridCol w:w="2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Regulation/Event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CSOAI Impact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EU AI Act - Prohibited AI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Feb 2, 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ENFORCED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Immediate compliance demand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DARPA CLARA Proposals Due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Apr 10, 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 to $2M grant opportunity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Colorado AI Act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Jun 30, 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Pending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 state-level precedent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EU AI Act - High Risk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Aug 2, 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Approaching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CRITICAL - main demand driver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California AI Transparency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Aug 2, 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Pending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Enterprise compliance need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UK AI Assurance Fund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Spring 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Applications open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£11M - apply immediately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DSRB Charter Negotiations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Mar-Dec 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Active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Strategic positioning window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NATO AI Cert Standard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2026-2027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 development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DARB alignment opportunity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DSRB Operations Begin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Late 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Target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$65-70B institutional access</w:t>
            </w:r>
          </w:p>
        </w:tc>
      </w:tr>
    </w:tbl>
    <w:p>
      <w:pPr>
        <w:pStyle w:val="Heading2"/>
        <w:spacing w:before="250" w:after="120"/>
      </w:pPr>
      <w:r>
        <w:rPr>
          <w:rFonts w:ascii="Arial" w:cs="Arial" w:eastAsia="Arial" w:hAnsi="Arial"/>
          <w:b/>
          <w:bCs/>
          <w:color w:val="1E5AA8"/>
        </w:rPr>
        <w:t xml:space="preserve">3.1 Charter &amp; Framework Update Protocol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When a new regulation is detected or an existing regulation is updated, the following protocol applies: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Within 24 hours: Assess relevance to CSOAI Charter articles and CASA framework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Within 72 hours: Draft crosswalk mapping new requirements to existing Charter provisions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Within 1 week: Identify gaps requiring new Charter provisions or CASA module updates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Within 2 weeks: Publish updated crosswalk and communicate to founding council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This ensures the 52-article Charter and all regulatory crosswalks remain current and comprehensive at all times.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0A1628"/>
        </w:rPr>
        <w:t xml:space="preserve">4. Corporate AI Displacement Tracker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Systematic monitoring of corporate AI deployment and workforce restructuring announcements. This intelligence directly informs CSOAI’s market timing, messaging, and Prosperity Covenant positioning.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400"/>
        <w:gridCol w:w="2000"/>
        <w:gridCol w:w="2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Company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Scale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AI Factor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CSOAI Opportunity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Microsoft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TBD 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Copilot integration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Enterprise cert demand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Google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TBD 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Gemini deployment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Enterprise cert demand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Amazon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Tech/Retail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TBD 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AWS AI services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Cloud AI governance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Tech/Social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TBD 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Llama integration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Open-source AI governance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Salesforce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TBD 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Einstein AI agents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CRM AI certification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JPMorgan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Finance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Watch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Internal AI tools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Financial AI governance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Deloitte/Big 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Consulting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Watch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audit tools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Consulting AI standards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Pharma majors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Healthcare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Watch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Drug discovery AI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Healthcare AI certification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[Add as detected]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before="250" w:after="120"/>
      </w:pPr>
      <w:r>
        <w:rPr>
          <w:rFonts w:ascii="Arial" w:cs="Arial" w:eastAsia="Arial" w:hAnsi="Arial"/>
          <w:b/>
          <w:bCs/>
          <w:color w:val="1E5AA8"/>
        </w:rPr>
        <w:t xml:space="preserve">4.1 Key Signals to Track Daily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Earnings call transcripts mentioning AI productivity gains, headcount optimization, or workforce transformation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Press releases announcing AI agent deployment for customer service, legal, finance, or HR functions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LinkedIn job posting patterns — decrease in traditional roles, increase in AI/ML roles at same company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Consulting firm reports (McKinsey, BCG, Deloitte) on AI workforce impact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Government labor statistics showing sector-specific employment shifts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Union responses and labor organization statements on AI displacement</w:t>
      </w:r>
    </w:p>
    <w:p>
      <w:pPr>
        <w:pStyle w:val="Heading2"/>
        <w:spacing w:before="250" w:after="120"/>
      </w:pPr>
      <w:r>
        <w:rPr>
          <w:rFonts w:ascii="Arial" w:cs="Arial" w:eastAsia="Arial" w:hAnsi="Arial"/>
          <w:b/>
          <w:bCs/>
          <w:color w:val="1E5AA8"/>
        </w:rPr>
        <w:t xml:space="preserve">4.2 Prosperity Covenant Activation Triggers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When cumulative AI displacement signals reach critical mass in a sector, activate targeted Prosperity Covenant outreach to that sector’s trade bodies, regulators, and major employers. The message: CSOAI provides the complete economic transition infrastructure — certification, contribution mechanism, retraining pipeline, and independent monitoring.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0A1628"/>
        </w:rPr>
        <w:t xml:space="preserve">5. DSRB &amp; Defence Sector Intelligence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Dedicated tracking of the Defence, Security and Resilience Bank development and broader NATO/defence AI governance opportunities.</w:t>
      </w:r>
    </w:p>
    <w:p>
      <w:pPr>
        <w:pStyle w:val="Heading2"/>
        <w:spacing w:before="250" w:after="120"/>
      </w:pPr>
      <w:r>
        <w:rPr>
          <w:rFonts w:ascii="Arial" w:cs="Arial" w:eastAsia="Arial" w:hAnsi="Arial"/>
          <w:b/>
          <w:bCs/>
          <w:color w:val="1E5AA8"/>
        </w:rPr>
        <w:t xml:space="preserve">5.1 DSRB Development Milestones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Charter negotiations progress (March–December 2026)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New banking partners joining the consortium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Headquarters decision (Vancouver bid status)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Governance framework development — any AI/technology governance provisions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Member nation commitments and capital pledges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Procurement framework development — supplier qualification criteria</w:t>
      </w:r>
    </w:p>
    <w:p>
      <w:pPr>
        <w:pStyle w:val="Heading2"/>
        <w:spacing w:before="250" w:after="120"/>
      </w:pPr>
      <w:r>
        <w:rPr>
          <w:rFonts w:ascii="Arial" w:cs="Arial" w:eastAsia="Arial" w:hAnsi="Arial"/>
          <w:b/>
          <w:bCs/>
          <w:color w:val="1E5AA8"/>
        </w:rPr>
        <w:t xml:space="preserve">5.2 NATO AI Governance Signals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DARB (Data and AI Review Board) certification standard development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DIANA accelerator programme AI governance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NATO Innovation Fund investments in AI safety/governance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NSPA procurement opportunities referencing AI governance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Allied nation AI strategies and certification requirements</w:t>
      </w:r>
    </w:p>
    <w:p>
      <w:pPr>
        <w:pStyle w:val="Heading2"/>
        <w:spacing w:before="250" w:after="120"/>
      </w:pPr>
      <w:r>
        <w:rPr>
          <w:rFonts w:ascii="Arial" w:cs="Arial" w:eastAsia="Arial" w:hAnsi="Arial"/>
          <w:b/>
          <w:bCs/>
          <w:color w:val="1E5AA8"/>
        </w:rPr>
        <w:t xml:space="preserve">5.3 Pentagon &amp; Five Eyes Tracking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DOD AI Strategy implementation updates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CDAO organizational developments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FY27 NDAA AI governance provisions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UK MOD AI strategy and procurement signals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Australian Defence AI governance framework development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Canadian DND AI policy and procurement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0A1628"/>
        </w:rPr>
        <w:t xml:space="preserve">6. Complete Daily Monitoring Checklist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Master checklist of all intelligence sources monitored daily, weekly, and monthly.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1800"/>
        <w:gridCol w:w="19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to Monitor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Frequency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Competitor Activity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Credo AI blog, LinkedIn, press releases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Daily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 + LinkedIn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OneTrust PE deal progress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Weekly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TechCrunch, Bloomberg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ForHumanity audit cert developments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Weekly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forhumanity.center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New entrants in AI governance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Weekly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Crunchbase, web search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Regulatory Signals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EU AI Act implementation guidance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Daily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EC digital-strategy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UK DSIT AI governance announcements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Daily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gov.uk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 state AI legislation tracker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Weekly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NCSL, BSA tracker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NATO AI/DARB announcements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Weekly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nato.int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Corporate Layoffs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Big Tech restructuring announcements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Daily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Reuters, Bloomberg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deployment press releases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Daily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Company blogs, PR wires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Earnings call AI mentions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Quarterly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 filings, transcripts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DSRB Progress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DSRB Development Group announcements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Weekly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dsrb.org, BusinessWire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Canadian defence procurement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Weekly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PSPC, buyandsell.gc.ca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Banking partner additions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Weekly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Financial press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Market Intelligence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governance market reports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Monthly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Gartner, Forrester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WEF/Davos AI governance positions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Monthly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weforum.org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Academic AI safety publications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Weekly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arXiv, NIST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Grant Opportunities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UK AISI, ARIA, Innovate UK calls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Weekly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gov.uk, aria.org.uk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DARPA BAA/RFI releases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Weekly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sam.gov, darpa.mil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EU Horizon Europe AI calls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Monthly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ec.europa.eu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Canada NRC/CAISI opportunities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Weekly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nrc-cnrc.gc.ca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Internal Metrics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CSOAI certification applications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Daily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Internal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CEASAI training enrollments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Daily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LMS dashboard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Portfolio platform traffic/users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Daily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Analytics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Affiliate program signups/referrals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Daily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Rewardful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0A1628"/>
        </w:rPr>
        <w:t xml:space="preserve">7. Signal Interpretation &amp; Response Framework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When intelligence is gathered, it must be interpreted through the lens of CSOAI Group strategic objectives. The following framework maps signal types to appropriate responses.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Signal Type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Means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CSOAI Response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Major tech layoff announced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displacement accelerating; governance gap widening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Amplify Prosperity Covenant messaging; outreach to affected sector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Competitor raises funding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Market validation; potential competitive pressure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Assess overlap; accelerate differentiated positioning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New AI regulation proposed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Expanded compliance demand; new market opportunity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Map to CASA framework; publish crosswalk; outreach to affected companies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DSRB milestone achieved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Defence AI governance demand crystallizing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Engage DSRB contacts; update positioning materials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NATO AI policy update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Alliance-wide governance requirements evolving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Align CASA-DEF program; brief Terranova CA3Os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Enterprise AI agent launch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New governance demand for autonomous systems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Develop agent-specific certification module; outreach to deploying company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Government grant call opens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Non-dilutive funding opportunity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Assess fit; begin application within 48 hours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WEF/major institution position shift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Narrative window opening for governance solutions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Align public messaging; seek speaking/partnership opportunities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0A1628"/>
        </w:rPr>
        <w:t xml:space="preserve">8. Daily Briefing Protocol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Each morning session begins with the following structured intelligence review: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8.1 Morning Scan (5–10 minutes)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Competitor alerts: Any new announcements, funding, partnerships, or product launches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Regulatory updates: New regulations proposed, existing deadlines shifted, government statements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Layoff watch: Corporate restructuring announcements with AI displacement signals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DSRB/defence: Any DSRB, NATO, or defence AI governance developments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Grant opportunities: New calls for proposals or approaching deadlines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Internal metrics: Certification applications, training enrollments, platform traffic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8.2 Weekly Deep Dive (Monday mornings, 30 minutes)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Full competitor dashboard refresh with any changes from previous week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Regulatory timeline review — upcoming deadlines within 90 days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Charter crosswalk review — any new regulatory requirements identified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DSRB progress assessment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Revenue pipeline review — founding members, enterprise pilots, training cohorts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Influencer/affiliate program metrics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8.3 Monthly Strategic Review (First Monday, 60 minutes)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Competitive gap analysis validation — confirm all five gaps remain uncontested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Market intelligence synthesis — AI governance market size and trajectory updates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Charter and framework completeness audit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Global expansion progress — accreditation pathways, university partnerships, geographic coverage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Revenue trajectory assessment against benchmarks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Strategic risk assessment — emerging threats, closing windows, new opportunities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0A1628"/>
        </w:rPr>
        <w:t xml:space="preserve">9. Cognitive Emergence Operating Model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This framework is itself a demonstration of the CSOAI Group’s core thesis: that a small, high-capability human team augmented by deeply integrated AI produces output rivaling organizations with hundreds of employees.</w:t>
      </w:r>
    </w:p>
    <w:p>
      <w:pPr>
        <w:pStyle w:val="Heading2"/>
        <w:spacing w:before="250" w:after="120"/>
      </w:pPr>
      <w:r>
        <w:rPr>
          <w:rFonts w:ascii="Arial" w:cs="Arial" w:eastAsia="Arial" w:hAnsi="Arial"/>
          <w:b/>
          <w:bCs/>
          <w:color w:val="1E5AA8"/>
        </w:rPr>
        <w:t xml:space="preserve">9.1 Human-AI Task Allocation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A1628"/>
          <w:sz w:val="21"/>
          <w:szCs w:val="21"/>
        </w:rPr>
        <w:t xml:space="preserve">Human (Nick, James, Core Team):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Vision, relationships, judgment calls, negotiations, public speaking, ethical grounding, strategic direction, institutional trust-building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A1628"/>
          <w:sz w:val="21"/>
          <w:szCs w:val="21"/>
        </w:rPr>
        <w:t xml:space="preserve">AI (Claude, Project Space):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Research synthesis, pattern recognition, competitive monitoring, document generation, regulatory mapping, framework development, scenario analysis, drafting communications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A1628"/>
          <w:sz w:val="21"/>
          <w:szCs w:val="21"/>
        </w:rPr>
        <w:t xml:space="preserve">Combined (Cognitive Emergence):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Strategic planning, Charter development, market positioning, signal interpretation, innovation at domain convergence points</w:t>
      </w:r>
    </w:p>
    <w:p>
      <w:pPr>
        <w:pStyle w:val="Heading2"/>
        <w:spacing w:before="250" w:after="120"/>
      </w:pPr>
      <w:r>
        <w:rPr>
          <w:rFonts w:ascii="Arial" w:cs="Arial" w:eastAsia="Arial" w:hAnsi="Arial"/>
          <w:b/>
          <w:bCs/>
          <w:color w:val="1E5AA8"/>
        </w:rPr>
        <w:t xml:space="preserve">9.2 Daily Operating Rhythm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Morning: Intelligence briefing + priority setting (human reviews AI-prepared scan)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Working sessions: Deep collaborative work on strategic priorities (cognitive emergence mode)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Evening: Reflection + next-day planning (human directs, AI documents)</w:t>
      </w:r>
    </w:p>
    <w:p>
      <w:pPr>
        <w:pStyle w:val="Heading2"/>
        <w:spacing w:before="250" w:after="120"/>
      </w:pPr>
      <w:r>
        <w:rPr>
          <w:rFonts w:ascii="Arial" w:cs="Arial" w:eastAsia="Arial" w:hAnsi="Arial"/>
          <w:b/>
          <w:bCs/>
          <w:color w:val="1E5AA8"/>
        </w:rPr>
        <w:t xml:space="preserve">9.3 Living Documents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following documents are maintained as living resources, updated through this monitoring framework: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CSOAI Charter (52 articles) — updated when regulatory landscape shifts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Competitive Landscape Analysis — updated weekly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DSRB Positioning Materials — updated as DSRB milestones occur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Revenue Pipeline Tracker — updated daily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Group Strategic Playbook — updated monthly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Regulatory Crosswalk Matrix — updated when new regulations detected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0A1628"/>
        </w:rPr>
        <w:t xml:space="preserve">10. Implementation: Starting Tomorrow Morning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This framework activates immediately. Beginning with the next morning session, the following protocol applies: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Step 1: Morning Greeting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When Nick opens the project space, the first action is a structured intelligence scan covering all six domains. This takes 5–10 minutes of search and synthesis.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Step 2: Priority Identification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Based on the scan, identify the top 3 priorities for the day. These should be classified as: urgent (time-sensitive opportunity or threat), important (advances revenue or strategic position), or maintenance (keeps operations on track).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Step 3: Deep Work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Spend the bulk of the session on the highest-priority item. Use the cognitive emergence model — Nick provides direction and judgment, Claude provides research, drafting, and analysis.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Step 4: Documentation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Before ending each session, document decisions made, actions assigned, and intelligence gathered. This creates an audit trail and ensures continuity across sessions.</w:t>
      </w:r>
    </w:p>
    <w:p>
      <w:pPr>
        <w:pBdr>
          <w:top w:val="single" w:color="C49A2A" w:sz="6" w:space="8"/>
        </w:pBdr>
        <w:spacing w:before="40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This framework is a living document. It evolves as the competitive landscape shifts, regulations emerge, and the CSOAI Group advances toward global recognition as the authority for AI safety certification.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CONFIDENTIAL — CSOAI Group Internal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5AA8" w:sz="6" w:space="4"/>
      </w:pBdr>
      <w:jc w:val="right"/>
    </w:pPr>
    <w:r>
      <w:rPr>
        <w:rFonts w:ascii="Arial" w:cs="Arial" w:eastAsia="Arial" w:hAnsi="Arial"/>
        <w:b/>
        <w:bCs/>
        <w:color w:val="0A1628"/>
        <w:sz w:val="18"/>
        <w:szCs w:val="18"/>
      </w:rPr>
      <w:t xml:space="preserve">CSOAI GROUP </w:t>
    </w:r>
    <w:r>
      <w:rPr>
        <w:rFonts w:ascii="Arial" w:cs="Arial" w:eastAsia="Arial" w:hAnsi="Arial"/>
        <w:color w:val="1E5AA8"/>
        <w:sz w:val="18"/>
        <w:szCs w:val="18"/>
      </w:rPr>
      <w:t xml:space="preserve">| Daily Intelligence &amp; Monitoring Framework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0A1628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E5AA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0A162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2026-02-19T04:30:17.881Z</dcterms:created>
  <dcterms:modified xsi:type="dcterms:W3CDTF">2026-02-19T04:30:17.882Z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