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e44b53cce114399"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d439a492f4be4076"/>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e2e8f0"/>
          <w:spacing w:val="60"/>
          <w:sz w:val="80"/>
        </w:rPr>
        <w:t>MEOK DEEP RESEARCH</w:t>
      </w:r>
    </w:p>
    <w:p>
      <w:pPr>
        <w:spacing w:after="600"/>
        <w:ind w:left="1200" w:right="1200"/>
        <w:jc w:val="left"/>
      </w:pPr>
      <w:r>
        <w:rPr>
          <w:color w:val="00bca8"/>
          <w:spacing w:val="30"/>
          <w:sz w:val="36"/>
        </w:rPr>
        <w:t>The Full Rundown</w:t>
      </w:r>
    </w:p>
    <w:p>
      <w:pPr>
        <w:spacing w:after="200"/>
        <w:ind w:left="1200"/>
      </w:pPr>
      <w:r>
        <w:rPr>
          <w:color w:val="718096"/>
          <w:sz w:val="22"/>
        </w:rPr>
        <w:t>Diamonds, Gold &amp; Bleeding Edge Intelligence</w:t>
      </w:r>
    </w:p>
    <w:p>
      <w:pPr>
        <w:ind w:left="1200"/>
      </w:pPr>
      <w:r>
        <w:rPr>
          <w:color w:val="8899aa"/>
          <w:sz w:val="20"/>
        </w:rPr>
        <w:t>Open Source Audit | Market Intelligence | Strategic Synthesis</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300"/>
      </w:pPr>
      <w:r>
        <w:rPr>
          <w:color w:val="718096"/>
          <w:sz w:val="18"/>
        </w:rPr>
        <w:t>Right-click and select "Update Field" to refresh page numbers</w:t>
      </w:r>
    </w:p>
    <w:p>
      <w:r>
        <w:fldChar w:fldCharType="begin"/>
      </w:r>
      <w:r>
        <w:instrText xml:space="preserve"> TOC \o "1-3" \h \z \u </w:instrText>
      </w:r>
      <w:r>
        <w:fldChar w:fldCharType="separate"/>
      </w:r>
    </w:p>
    <w:p>
      <w:pPr>
        <w:pStyle w:val="TOC1"/>
      </w:pPr>
      <w:r>
        <w:t>Executive Summary: The Diamonds We Found</w:t>
      </w:r>
      <w:r>
        <w:tab/>
      </w:r>
      <w:r>
        <w:t>3</w:t>
      </w:r>
    </w:p>
    <w:p>
      <w:pPr>
        <w:pStyle w:val="TOC1"/>
      </w:pPr>
      <w:r>
        <w:t>Open Source Diamond Finds</w:t>
      </w:r>
      <w:r>
        <w:tab/>
      </w:r>
      <w:r>
        <w:t>4</w:t>
      </w:r>
    </w:p>
    <w:p>
      <w:pPr>
        <w:pStyle w:val="TOC2"/>
      </w:pPr>
      <w:r>
        <w:t>EuConform: The EU AI Act Compliance Toolkit</w:t>
      </w:r>
      <w:r>
        <w:tab/>
      </w:r>
      <w:r>
        <w:t>4</w:t>
      </w:r>
    </w:p>
    <w:p>
      <w:pPr>
        <w:pStyle w:val="TOC2"/>
      </w:pPr>
      <w:r>
        <w:t>MCP EU AI Act Scanner (ArkForge)</w:t>
      </w:r>
      <w:r>
        <w:tab/>
      </w:r>
      <w:r>
        <w:t>5</w:t>
      </w:r>
    </w:p>
    <w:p>
      <w:pPr>
        <w:pStyle w:val="TOC2"/>
      </w:pPr>
      <w:r>
        <w:t>EU AI Act Toolkit (AbdelStark)</w:t>
      </w:r>
      <w:r>
        <w:tab/>
      </w:r>
      <w:r>
        <w:t>5</w:t>
      </w:r>
    </w:p>
    <w:p>
      <w:pPr>
        <w:pStyle w:val="TOC2"/>
      </w:pPr>
      <w:r>
        <w:t>Sovereign Shield: AI Security Framework</w:t>
      </w:r>
      <w:r>
        <w:tab/>
      </w:r>
      <w:r>
        <w:t>6</w:t>
      </w:r>
    </w:p>
    <w:p>
      <w:pPr>
        <w:pStyle w:val="TOC2"/>
      </w:pPr>
      <w:r>
        <w:t>Agent Audit Trail MCP</w:t>
      </w:r>
      <w:r>
        <w:tab/>
      </w:r>
      <w:r>
        <w:t>6</w:t>
      </w:r>
    </w:p>
    <w:p>
      <w:pPr>
        <w:pStyle w:val="TOC2"/>
      </w:pPr>
      <w:r>
        <w:t>ArkForge Trust Layer</w:t>
      </w:r>
      <w:r>
        <w:tab/>
      </w:r>
      <w:r>
        <w:t>7</w:t>
      </w:r>
    </w:p>
    <w:p>
      <w:pPr>
        <w:pStyle w:val="TOC2"/>
      </w:pPr>
      <w:r>
        <w:t>Nobulex: Cryptographic Audit Receipts</w:t>
      </w:r>
      <w:r>
        <w:tab/>
      </w:r>
      <w:r>
        <w:t>7</w:t>
      </w:r>
    </w:p>
    <w:p>
      <w:pPr>
        <w:pStyle w:val="TOC1"/>
      </w:pPr>
      <w:r>
        <w:t>Market Intelligence: What Everyone Is Doing</w:t>
      </w:r>
      <w:r>
        <w:tab/>
      </w:r>
      <w:r>
        <w:t>8</w:t>
      </w:r>
    </w:p>
    <w:p>
      <w:pPr>
        <w:pStyle w:val="TOC2"/>
      </w:pPr>
      <w:r>
        <w:t>AI Governance Market Size &amp; Growth</w:t>
      </w:r>
      <w:r>
        <w:tab/>
      </w:r>
      <w:r>
        <w:t>8</w:t>
      </w:r>
    </w:p>
    <w:p>
      <w:pPr>
        <w:pStyle w:val="TOC2"/>
      </w:pPr>
      <w:r>
        <w:t>Character.AI: The $1B Proof Point &amp; Its Flaws</w:t>
      </w:r>
      <w:r>
        <w:tab/>
      </w:r>
      <w:r>
        <w:t>9</w:t>
      </w:r>
    </w:p>
    <w:p>
      <w:pPr>
        <w:pStyle w:val="TOC2"/>
      </w:pPr>
      <w:r>
        <w:t>Agent Framework Landscape 2026</w:t>
      </w:r>
      <w:r>
        <w:tab/>
      </w:r>
      <w:r>
        <w:t>10</w:t>
      </w:r>
    </w:p>
    <w:p>
      <w:pPr>
        <w:pStyle w:val="TOC2"/>
      </w:pPr>
      <w:r>
        <w:t>MCP Ecosystem Status</w:t>
      </w:r>
      <w:r>
        <w:tab/>
      </w:r>
      <w:r>
        <w:t>11</w:t>
      </w:r>
    </w:p>
    <w:p>
      <w:pPr>
        <w:pStyle w:val="TOC1"/>
      </w:pPr>
      <w:r>
        <w:t>Competitive Intelligence: Who Is Closest</w:t>
      </w:r>
      <w:r>
        <w:tab/>
      </w:r>
      <w:r>
        <w:t>12</w:t>
      </w:r>
    </w:p>
    <w:p>
      <w:pPr>
        <w:pStyle w:val="TOC1"/>
      </w:pPr>
      <w:r>
        <w:t>Strategic Synthesis: The Secret Is RegGeoInt</w:t>
      </w:r>
      <w:r>
        <w:tab/>
      </w:r>
      <w:r>
        <w:t>14</w:t>
      </w:r>
    </w:p>
    <w:p>
      <w:pPr>
        <w:pStyle w:val="TOC1"/>
      </w:pPr>
      <w:r>
        <w:t>The Infrastructure Play: Why MEOK Wins</w:t>
      </w:r>
      <w:r>
        <w:tab/>
      </w:r>
      <w:r>
        <w:t>16</w:t>
      </w:r>
    </w:p>
    <w:p>
      <w:pPr>
        <w:pStyle w:val="TOC1"/>
      </w:pPr>
      <w:r>
        <w:t>The 90-Day Diamond Sprint</w:t>
      </w:r>
      <w:r>
        <w:tab/>
      </w:r>
      <w:r>
        <w:t>18</w:t>
      </w:r>
    </w:p>
    <w:p>
      <w:pPr>
        <w:pStyle w:val="TOC1"/>
      </w:pPr>
      <w:r>
        <w:t>Risk Assessment &amp; Mitigation</w:t>
      </w:r>
      <w:r>
        <w:tab/>
      </w:r>
      <w:r>
        <w:t>20</w:t>
      </w:r>
    </w:p>
    <w:p>
      <w:r>
        <w:fldChar w:fldCharType="end"/>
      </w:r>
    </w:p>
    <w:p>
      <w:pPr>
        <w:sectPr>
          <w:type w:val="nextPage"/>
          <w:pgSz w:w="11906" w:h="16838"/>
          <w:pgMar w:top="1800" w:right="1440" w:bottom="1440" w:left="1440" w:header="720" w:footer="720"/>
        </w:sectPr>
      </w:pPr>
    </w:p>
    <w:p>
      <w:pPr>
        <w:pStyle w:val="Heading1"/>
      </w:pPr>
      <w:r>
        <w:t>Executive Summary: The Diamonds We Found</w:t>
      </w:r>
      <w:bookmarkStart w:name="_Toc001" w:id="2"/>
      <w:bookmarkEnd w:id="2"/>
    </w:p>
    <w:p>
      <w:r>
        <w:t>This document is the result of a comprehensive web-wide audit of the AI governance, compliance, character AI, MCP ecosystem, geospatial intelligence, and sovereign AI landscapes. We hunted for diamonds — the bleeding-edge open source projects, market intelligence, and strategic insights that MEOK can leverage to build an unassailable position.</w:t>
      </w:r>
    </w:p>
    <w:p>
      <w:r>
        <w:t>We found 532 EU AI Act repositories on GitHub. We found a compliance tool (EuConform) that does offline-first AI Act evidence collection with CI/CD gates. We found an AI security framework (Sovereign Shield) with patent-pending deterministic input filtering that works without an LLM. We found that Character.AI — the $1B character AI company — is failing, losing 8M users and 60% of its valuation. And we found that nobody — not Palantir, not Credo AI, not OneTrust — is doing what MEOK DATA proposes: treating AI compliance as a geographic problem, not a legal one.</w:t>
      </w:r>
    </w:p>
    <w:p>
      <w:r>
        <w:t>The strategic synthesis reveals MEOK's secret: Regulatory Geospatial Intelligence (RegGeoInt). Every AI regulation is a map of where rules apply. No one is building the map. MEOK is uniquely positioned at the intersection of 47 MCP servers, 30+ regulatory frameworks, HMAC-SHA256 attestation infrastructure, and the Council of AI BFT consensus mechanism. When every AI character, enterprise system, and government regulator depends on your map to know what rules apply where — you don't have customers. You have infrastructure.</w:t>
      </w:r>
    </w:p>
    <w:p>
      <w:pPr>
        <w:pStyle w:val="Heading1"/>
      </w:pPr>
      <w:r>
        <w:t>Open Source Diamond Finds</w:t>
      </w:r>
      <w:bookmarkStart w:name="_Toc002" w:id="3"/>
      <w:bookmarkEnd w:id="3"/>
    </w:p>
    <w:p>
      <w:r>
        <w:t>Our web scan uncovered a treasure trove of open source projects that directly impact MEOK's strategy. These range from direct competitors to potential integrations to entirely new categories MEOK should enter.</w:t>
      </w:r>
    </w:p>
    <w:p>
      <w:pPr>
        <w:pStyle w:val="Heading2"/>
      </w:pPr>
      <w:r>
        <w:t>EuConform: The EU AI Act Compliance Toolkit</w:t>
      </w:r>
    </w:p>
    <w:p>
      <w:r>
        <w:t>Repository: github.com/Hiepler/EuConform | License: MIT + EUPL-1.2 | Language: TypeScript/Node.js</w:t>
      </w:r>
    </w:p>
    <w:p>
      <w:r>
        <w:t>This is the most sophisticated open-source EU AI Act compliance tool we found. It defines an open evidence format for AI compliance and provides tools to produce, validate, and empirically evaluate it — offline and vendor-independent.</w:t>
      </w:r>
    </w:p>
    <w:p>
      <w:r>
        <w:t>Key capabilities: Open Evidence Format (report, aibom, ci, bundle artifacts as JSON), local bias evaluation with CrowS-Pairs methodology, schema validation, bundle verification, compliance CI gate (turns scans into GitHub-native annotations), risk classification via interactive quiz, CycloneDX SBOM interoperability, offline-first architecture, privacy-preserving (zero tracking), and multilingual support (English + German with i18n framework for 14 languages).</w:t>
      </w:r>
    </w:p>
    <w:p>
      <w:r>
        <w:t>Why this matters for MEOK: EuConform covers Articles 5, 6-7, 9-15, 10(2-4), Recital 54, and Annex IV of the EU AI Act. MEOK should either integrate with or build upon this format. The open evidence standard (aibom = AI Bill of Materials) could become the default artifact format for MEOK DATA exports.</w:t>
      </w:r>
    </w:p>
    <w:p>
      <w:pPr>
        <w:pStyle w:val="Heading2"/>
      </w:pPr>
      <w:r>
        <w:t>MCP EU AI Act Scanner (ArkForge)</w:t>
      </w:r>
    </w:p>
    <w:p>
      <w:r>
        <w:t>Repository: github.com/ark-forge/mcp-eu-ai-act | License: MIT | Language: Python | Pricing: Free (5 scans/day) / Pro EUR 29/mo / Certified EUR 99/mo</w:t>
      </w:r>
    </w:p>
    <w:p>
      <w:r>
        <w:t>A pip-installable MCP server that scans any codebase for AI frameworks and maps them to EU AI Act articles. Returns pass/fail with fix instructions in under 10 seconds. Detects 16 AI frameworks. Integrates with Claude Code, Cursor, and Claude Desktop.</w:t>
      </w:r>
    </w:p>
    <w:p>
      <w:r>
        <w:t>v2 adds: generate_compliance_roadmap (week-by-week action plan), generate_annex4_package (auditor-ready ZIP with all 8 Annex IV sections), certify_compliance_report (cryptographic proof via Trust Layer). The ArkForge ecosystem includes a Trust Layer (certifying proxy for billing and proof chain), a Proof Spec (open specification + test vectors), and an Agent Client (autonomous buyer — proof of non-human customer).</w:t>
      </w:r>
    </w:p>
    <w:p>
      <w:r>
        <w:t>Why this matters: This is a DIRECT competitor to MEOK's compliance MCP servers. However, it validates the market and MEOK can differentiate through: deeper framework coverage (30+ vs. 16), geospatial jurisdiction mapping (they have none), and the Council of AI BFT consensus for audit-grade evidence.</w:t>
      </w:r>
    </w:p>
    <w:p>
      <w:pPr>
        <w:pStyle w:val="Heading2"/>
      </w:pPr>
      <w:r>
        <w:t>EU AI Act Toolkit (AbdelStark)</w:t>
      </w:r>
    </w:p>
    <w:p>
      <w:r>
        <w:t>Repository: github.com/AbdelStark/eu-ai-act-toolkit | License: Open Source | Architecture: Monorepo (SDK + CLI + Web)</w:t>
      </w:r>
    </w:p>
    <w:p>
      <w:r>
        <w:t>A comprehensive open-source toolkit with three packages sharing one data layer: SDK (pure TypeScript, zero deps — classification engine, checklists, templates, timeline), CLI (interactive terminal tool with classify, checklist, timeline, penalties, gaps, standards, reports), and Web App (Next.js 14, 14 languages, client-side only — no backend, no accounts, no data leaves browser).</w:t>
      </w:r>
    </w:p>
    <w:p>
      <w:r>
        <w:t>The classification engine implements a 26-question, 5-step decision tree for risk tier classification. The data layer contains: questions.json (classification tree), checklists.json (all checklist items with article references), timeline.json (enforcement dates), articles.json (text and cross-references), annexes.json (Annex III categories), examples.json (10 worked classification examples), penalties.json (Article 99 tiers), and standards.json (harmonised standards mapping).</w:t>
      </w:r>
    </w:p>
    <w:p>
      <w:r>
        <w:t>Why this matters: This is the most complete FREE EU AI Act resource available. MEOK should integrate this classification engine into the HATCH onboarding flow — users answer 26 questions to automatically classify their AI character's risk tier.</w:t>
      </w:r>
    </w:p>
    <w:p>
      <w:pPr>
        <w:pStyle w:val="Heading2"/>
      </w:pPr>
      <w:r>
        <w:t>Sovereign Shield: AI Security Framework</w:t>
      </w:r>
    </w:p>
    <w:p>
      <w:r>
        <w:t>Repository: github.com/mattijsmoens/sovereign-shield | License: Business Source License 1.1 | Patent: Pending | Language: Python</w:t>
      </w:r>
    </w:p>
    <w:p>
      <w:r>
        <w:t>A defense-grade AI security framework with deterministic immutable input filtering, adaptive rule learning, and optional LLM veto verification. Zero dependencies. Works without an LLM. The architecture uses SHA-256 integrity seals stored in OS-protected memory (mprotect/VirtualProtect) — no writable lockfiles on disk.</w:t>
      </w:r>
    </w:p>
    <w:p>
      <w:r>
        <w:t>The detection pipeline has 12 sequential layers: invisible character stripping, Unicode normalization + homoglyph folding, ANSI escape stripping, entropy/gibberish detection, repetition flood detection, instruction override detection, information extraction detection, harmful intent detection, deception verb detection, encoded payload detection, LLM token injection detection, and social engineering detection.</w:t>
      </w:r>
    </w:p>
    <w:p>
      <w:r>
        <w:t>The AdaptiveShield component learns from attacks via report() calls — building its own ruleset over time with zero pre-configuration. Each reported missed attack triggers keyword extraction, sandbox-testing against benign traffic, and automatic deployment of safe rules.</w:t>
      </w:r>
    </w:p>
    <w:p>
      <w:r>
        <w:t>Why this matters for SOV3: This is EXACTLY what sovereign AI Level 3 needs. The deterministic-only mode runs without any LLM (fully offline, zero cost), the integrity seals prevent tampering even at the OS level, and the adaptive learning improves over time. MEOK should either integrate Sovereign Shield as an MCP server or build a similar deterministic security layer for the HATCH ecosystem.</w:t>
      </w:r>
    </w:p>
    <w:p>
      <w:pPr>
        <w:pStyle w:val="Heading2"/>
      </w:pPr>
      <w:r>
        <w:t>Agent Audit Trail MCP</w:t>
      </w:r>
    </w:p>
    <w:p>
      <w:r>
        <w:t>Repository: github.com/AiAgentKarl/agent-audit-trail-mcp | Language: Python</w:t>
      </w:r>
    </w:p>
    <w:p>
      <w:r>
        <w:t>Immutable audit logging for AI agents with hash-chained event logs (each event includes SHA-256 of previous entry), integrity verification (detects modifications, deletions, reordering), EU AI Act Article 12 compliance reporting, cross-agent search, and statistics (event rates, error rates, action frequency).</w:t>
      </w:r>
    </w:p>
    <w:p>
      <w:r>
        <w:t>Why this matters: This is a direct complement to MEOK's HMAC-SHA256 attestation system. The hash-chained audit log ensures tamper-evident logging at the agent level. MEOK should integrate this pattern into the MEOK HATCH character system — every character interaction becomes a hash-chained audit event.</w:t>
      </w:r>
    </w:p>
    <w:p>
      <w:pPr>
        <w:pStyle w:val="Heading2"/>
      </w:pPr>
      <w:r>
        <w:t>ArkForge Trust Layer</w:t>
      </w:r>
    </w:p>
    <w:p>
      <w:r>
        <w:t>Repository: github.com/ark-forge/trust-layer | Tagline: "The trust economy for autonomous AI agents. Credit scores for machines."</w:t>
      </w:r>
    </w:p>
    <w:p>
      <w:r>
        <w:t>A certifying proxy that turns API calls into verifiable, paid, tamper-proof transactions. Agents earn Trust Capital through verified behavior, gating what they are allowed to do. Autonomy is earned, not granted. The system includes billing, proof chain, and verification components.</w:t>
      </w:r>
    </w:p>
    <w:p>
      <w:r>
        <w:t>Why this matters: This is bleeding-edge infrastructure for the autonomous agent economy. MEOK could integrate Trust Layer concepts into the MEOK HATCH character ecosystem — characters earn trust scores based on their behavior, and high-trust characters unlock premium features or cross-game privileges.</w:t>
      </w:r>
    </w:p>
    <w:p>
      <w:pPr>
        <w:pStyle w:val="Heading2"/>
      </w:pPr>
      <w:r>
        <w:t>Nobulex: Cryptographic Audit Receipts</w:t>
      </w:r>
    </w:p>
    <w:p>
      <w:r>
        <w:t>Protocol: MIT licensed, TypeScript | Status: IETF Internet-Draft filed</w:t>
      </w:r>
    </w:p>
    <w:p>
      <w:r>
        <w:t>An open-source protocol for cryptographic audit receipts for AI agent actions. Every tool call (file edits, bash commands, network requests) goes through enforcement middleware that evaluates against a covenant (behavioral policy). If permitted, the middleware signs the authorization with Ed25519. After execution, the result gets signed separately. Both signatures ship in a bilateral receipt hash-chained to the previous action.</w:t>
      </w:r>
    </w:p>
    <w:p>
      <w:r>
        <w:t>The protocol supports: compliance reports for EU AI Act, SOC2, ISO 42001, and Colorado AI Act; human approval gates via require_human_approval statements; and covenant definitions in plain readable syntax (permit file:write where path matches src/**).</w:t>
      </w:r>
    </w:p>
    <w:p>
      <w:r>
        <w:t>NIST's AI Agent Standards Initiative is building an AI Agent Interoperability Profile for Q4 2026 and is actively seeking community-led open source protocols. A LangChain RFC (#35691) has 12+ independent teams converging on a shared ComplianceCallbackHandler interface.</w:t>
      </w:r>
    </w:p>
    <w:p>
      <w:r>
        <w:t>Why this matters: MEOK should adopt the Nobulex protocol for HATCH character audit receipts. Being early on a standard that NIST is evaluating positions MEOK as a thought leader. The covenant language could define what each character type is allowed to do (e.g., permit conversation where age_appropriate matches "E")</w:t>
      </w:r>
    </w:p>
    <w:p>
      <w:pPr>
        <w:pStyle w:val="Heading1"/>
      </w:pPr>
      <w:r>
        <w:t>Market Intelligence: What Everyone Is Doing</w:t>
      </w:r>
      <w:bookmarkStart w:name="_Toc003" w:id="4"/>
      <w:bookmarkEnd w:id="4"/>
    </w:p>
    <w:p>
      <w:pPr>
        <w:pStyle w:val="Heading2"/>
      </w:pPr>
      <w:r>
        <w:t>AI Governance Market Size &amp; Growth</w:t>
      </w:r>
    </w:p>
    <w:p>
      <w:r>
        <w:t>The AI governance market was valued at $449 million in 2026 and is projected to reach $2.99 billion by 2032, growing at a CAGR of 34.37%. The top 5 players hold only 40% market share — this is a highly fragmented market with enormous room for new entrants. Key drivers: EU AI Act enforcement starting August 2026, ISO 42001 adoption (76% of compliance professionals adopting as foundation), and AI investment growing 76.4% in 2025.</w:t>
      </w:r>
    </w:p>
    <w:p>
      <w:r>
        <w:t>Enterprise AI compliance software pricing: Entry tier $20-60K/year, Mid-tier $60-200K/year, Enterprise $200K-1M+/year. 73% of AI vendors are still experimenting with pricing models, and 66% of enterprises prefer hybrid pricing (base + usage).</w:t>
      </w:r>
    </w:p>
    <w:p>
      <w:pPr>
        <w:pStyle w:val="Heading2"/>
      </w:pPr>
      <w:r>
        <w:t>Character.AI: The $1B Proof Point &amp; Its Fatal Flaws</w:t>
      </w:r>
    </w:p>
    <w:p>
      <w:r>
        <w:t>Character.AI is the closest proof point to MEOK's character vision — and a case study in what NOT to do. Metrics: 20M MAU (down from 28M peak), users spend 2 HOURS per day, 18M characters created (9M new per month), $50M revenue (2025) with $60M projected (2026), $1B valuation (DOWN 60% from $2.5B peak).</w:t>
      </w:r>
    </w:p>
    <w:p>
      <w:r>
        <w:t>Why they're failing: COMPUTE COSTS ARE UNSUSTAINABLE (running LLMs at scale is 'brutally expensive'), ZERO COMPLIANCE FRAMEWORK (lawsuits from celebrities, child safety issues, no COPPA/GDPR/EU AI Act compliance), NO ENTERPRISE ANGLE (pure consumer, no B2B revenue), CLOSED ECOSYSTEM (characters trapped in their app, no portability), NO PLATFORM STRATEGY (they sell characters, not infrastructure).</w:t>
      </w:r>
    </w:p>
    <w:p>
      <w:r>
        <w:t>MEOK's opportunity: Build what Character.AI should have built — the infrastructure layer. Don't run the LLMs (let OpenAI/Anthropic do that). Run the compliance, personality, portability, and safety layers. Be Visa, not the bank.</w:t>
      </w:r>
    </w:p>
    <w:p>
      <w:pPr>
        <w:pStyle w:val="Heading2"/>
      </w:pPr>
      <w:r>
        <w:t>Agent Framework Landscape 2026</w:t>
      </w:r>
    </w:p>
    <w:p>
      <w:r>
        <w:t>The agent framework landscape has consolidated around 5 production leaders in 2026. Framework choice affects agent performance by up to 30 percentage points on identical models (Princeton HAL benchmark data). MCP support is now TABLE STAKES — every production framework must support it.</w:t>
      </w:r>
    </w:p>
    <w:tbl>
      <w:tblPr>
        <w:tblW w:w="5000" w:type="pct"/>
        <w:tblBorders>
          <w:top w:val="single" w:color="0a0f14" w:sz="12"/>
          <w:left w:val="nil"/>
          <w:bottom w:val="single" w:color="0a0f14" w:sz="12"/>
          <w:right w:val="nil"/>
          <w:insideH w:val="single" w:color="e2e8f0" w:sz="4"/>
        </w:tblBorders>
      </w:tblPr>
      <w:tblGrid>
        <w:gridCol w:w="2500"/>
        <w:gridCol w:w="2500"/>
        <w:gridCol w:w="2500"/>
        <w:gridCol w:w="2500"/>
      </w:tblGrid>
      <w:tr>
        <w:trPr>
          <w:tblHeader/>
        </w:trPr>
        <w:tc>
          <w:tcPr>
            <w:tcW w:w="2500" w:type="dxa"/>
            <w:shd w:val="clear" w:fill="f0f4f8"/>
          </w:tcPr>
          <w:p>
            <w:pPr>
              <w:spacing w:before="40" w:after="40"/>
              <w:jc w:val="left"/>
            </w:pPr>
            <w:r>
              <w:rPr>
                <w:b/>
                <w:color w:val="1a2a3a"/>
                <w:sz w:val="18"/>
              </w:rPr>
              <w:t>Framework</w:t>
            </w:r>
          </w:p>
        </w:tc>
        <w:tc>
          <w:tcPr>
            <w:tcW w:w="2500" w:type="dxa"/>
            <w:shd w:val="clear" w:fill="f0f4f8"/>
          </w:tcPr>
          <w:p>
            <w:pPr>
              <w:spacing w:before="40" w:after="40"/>
              <w:jc w:val="left"/>
            </w:pPr>
            <w:r>
              <w:rPr>
                <w:b/>
                <w:color w:val="1a2a3a"/>
                <w:sz w:val="18"/>
              </w:rPr>
              <w:t>Orchestration</w:t>
            </w:r>
          </w:p>
        </w:tc>
        <w:tc>
          <w:tcPr>
            <w:tcW w:w="2500" w:type="dxa"/>
            <w:shd w:val="clear" w:fill="f0f4f8"/>
          </w:tcPr>
          <w:p>
            <w:pPr>
              <w:spacing w:before="40" w:after="40"/>
              <w:jc w:val="left"/>
            </w:pPr>
            <w:r>
              <w:rPr>
                <w:b/>
                <w:color w:val="1a2a3a"/>
                <w:sz w:val="18"/>
              </w:rPr>
              <w:t>MCP Support</w:t>
            </w:r>
          </w:p>
        </w:tc>
        <w:tc>
          <w:tcPr>
            <w:tcW w:w="2500" w:type="dxa"/>
            <w:shd w:val="clear" w:fill="f0f4f8"/>
          </w:tcPr>
          <w:p>
            <w:pPr>
              <w:spacing w:before="40" w:after="40"/>
              <w:jc w:val="left"/>
            </w:pPr>
            <w:r>
              <w:rPr>
                <w:b/>
                <w:color w:val="1a2a3a"/>
                <w:sz w:val="18"/>
              </w:rPr>
              <w:t>Best For</w:t>
            </w:r>
          </w:p>
        </w:tc>
      </w:tr>
      <w:tr>
        <w:tc>
          <w:tcPr>
            <w:tcW w:w="2500" w:type="dxa"/>
          </w:tcPr>
          <w:p>
            <w:pPr>
              <w:spacing w:before="40" w:after="40"/>
              <w:jc w:val="left"/>
            </w:pPr>
            <w:r>
              <w:rPr>
                <w:color w:val="4a5568"/>
                <w:sz w:val="18"/>
              </w:rPr>
              <w:t>LangGraph</w:t>
            </w:r>
          </w:p>
        </w:tc>
        <w:tc>
          <w:tcPr>
            <w:tcW w:w="2500" w:type="dxa"/>
          </w:tcPr>
          <w:p>
            <w:pPr>
              <w:spacing w:before="40" w:after="40"/>
              <w:jc w:val="left"/>
            </w:pPr>
            <w:r>
              <w:rPr>
                <w:color w:val="4a5568"/>
                <w:sz w:val="18"/>
              </w:rPr>
              <w:t>Graph state machines</w:t>
            </w:r>
          </w:p>
        </w:tc>
        <w:tc>
          <w:tcPr>
            <w:tcW w:w="2500" w:type="dxa"/>
          </w:tcPr>
          <w:p>
            <w:pPr>
              <w:spacing w:before="40" w:after="40"/>
              <w:jc w:val="left"/>
            </w:pPr>
            <w:r>
              <w:rPr>
                <w:color w:val="4a5568"/>
                <w:sz w:val="18"/>
              </w:rPr>
              <w:t>Native</w:t>
            </w:r>
          </w:p>
        </w:tc>
        <w:tc>
          <w:tcPr>
            <w:tcW w:w="2500" w:type="dxa"/>
          </w:tcPr>
          <w:p>
            <w:pPr>
              <w:spacing w:before="40" w:after="40"/>
              <w:jc w:val="left"/>
            </w:pPr>
            <w:r>
              <w:rPr>
                <w:color w:val="4a5568"/>
                <w:sz w:val="18"/>
              </w:rPr>
              <w:t>Regulated industries, audit trails</w:t>
            </w:r>
          </w:p>
        </w:tc>
      </w:tr>
      <w:tr>
        <w:tc>
          <w:tcPr>
            <w:tcW w:w="2500" w:type="dxa"/>
          </w:tcPr>
          <w:p>
            <w:pPr>
              <w:spacing w:before="40" w:after="40"/>
              <w:jc w:val="left"/>
            </w:pPr>
            <w:r>
              <w:rPr>
                <w:color w:val="4a5568"/>
                <w:sz w:val="18"/>
              </w:rPr>
              <w:t>CrewAI</w:t>
            </w:r>
          </w:p>
        </w:tc>
        <w:tc>
          <w:tcPr>
            <w:tcW w:w="2500" w:type="dxa"/>
          </w:tcPr>
          <w:p>
            <w:pPr>
              <w:spacing w:before="40" w:after="40"/>
              <w:jc w:val="left"/>
            </w:pPr>
            <w:r>
              <w:rPr>
                <w:color w:val="4a5568"/>
                <w:sz w:val="18"/>
              </w:rPr>
              <w:t>Role-based crews</w:t>
            </w:r>
          </w:p>
        </w:tc>
        <w:tc>
          <w:tcPr>
            <w:tcW w:w="2500" w:type="dxa"/>
          </w:tcPr>
          <w:p>
            <w:pPr>
              <w:spacing w:before="40" w:after="40"/>
              <w:jc w:val="left"/>
            </w:pPr>
            <w:r>
              <w:rPr>
                <w:color w:val="4a5568"/>
                <w:sz w:val="18"/>
              </w:rPr>
              <w:t>Native (v1.10+)</w:t>
            </w:r>
          </w:p>
        </w:tc>
        <w:tc>
          <w:tcPr>
            <w:tcW w:w="2500" w:type="dxa"/>
          </w:tcPr>
          <w:p>
            <w:pPr>
              <w:spacing w:before="40" w:after="40"/>
              <w:jc w:val="left"/>
            </w:pPr>
            <w:r>
              <w:rPr>
                <w:color w:val="4a5568"/>
                <w:sz w:val="18"/>
              </w:rPr>
              <w:t>Fast prototyping, 44.6K stars</w:t>
            </w:r>
          </w:p>
        </w:tc>
      </w:tr>
      <w:tr>
        <w:tc>
          <w:tcPr>
            <w:tcW w:w="2500" w:type="dxa"/>
          </w:tcPr>
          <w:p>
            <w:pPr>
              <w:spacing w:before="40" w:after="40"/>
              <w:jc w:val="left"/>
            </w:pPr>
            <w:r>
              <w:rPr>
                <w:color w:val="4a5568"/>
                <w:sz w:val="18"/>
              </w:rPr>
              <w:t>OpenAI Agents SDK</w:t>
            </w:r>
          </w:p>
        </w:tc>
        <w:tc>
          <w:tcPr>
            <w:tcW w:w="2500" w:type="dxa"/>
          </w:tcPr>
          <w:p>
            <w:pPr>
              <w:spacing w:before="40" w:after="40"/>
              <w:jc w:val="left"/>
            </w:pPr>
            <w:r>
              <w:rPr>
                <w:color w:val="4a5568"/>
                <w:sz w:val="18"/>
              </w:rPr>
              <w:t>Handoff chains</w:t>
            </w:r>
          </w:p>
        </w:tc>
        <w:tc>
          <w:tcPr>
            <w:tcW w:w="2500" w:type="dxa"/>
          </w:tcPr>
          <w:p>
            <w:pPr>
              <w:spacing w:before="40" w:after="40"/>
              <w:jc w:val="left"/>
            </w:pPr>
            <w:r>
              <w:rPr>
                <w:color w:val="4a5568"/>
                <w:sz w:val="18"/>
              </w:rPr>
              <w:t>Native</w:t>
            </w:r>
          </w:p>
        </w:tc>
        <w:tc>
          <w:tcPr>
            <w:tcW w:w="2500" w:type="dxa"/>
          </w:tcPr>
          <w:p>
            <w:pPr>
              <w:spacing w:before="40" w:after="40"/>
              <w:jc w:val="left"/>
            </w:pPr>
            <w:r>
              <w:rPr>
                <w:color w:val="4a5568"/>
                <w:sz w:val="18"/>
              </w:rPr>
              <w:t>GPT-centric, sandboxed tools</w:t>
            </w:r>
          </w:p>
        </w:tc>
      </w:tr>
      <w:tr>
        <w:tc>
          <w:tcPr>
            <w:tcW w:w="2500" w:type="dxa"/>
          </w:tcPr>
          <w:p>
            <w:pPr>
              <w:spacing w:before="40" w:after="40"/>
              <w:jc w:val="left"/>
            </w:pPr>
            <w:r>
              <w:rPr>
                <w:color w:val="4a5568"/>
                <w:sz w:val="18"/>
              </w:rPr>
              <w:t>Google ADK</w:t>
            </w:r>
          </w:p>
        </w:tc>
        <w:tc>
          <w:tcPr>
            <w:tcW w:w="2500" w:type="dxa"/>
          </w:tcPr>
          <w:p>
            <w:pPr>
              <w:spacing w:before="40" w:after="40"/>
              <w:jc w:val="left"/>
            </w:pPr>
            <w:r>
              <w:rPr>
                <w:color w:val="4a5568"/>
                <w:sz w:val="18"/>
              </w:rPr>
              <w:t>Hierarchical agents</w:t>
            </w:r>
          </w:p>
        </w:tc>
        <w:tc>
          <w:tcPr>
            <w:tcW w:w="2500" w:type="dxa"/>
          </w:tcPr>
          <w:p>
            <w:pPr>
              <w:spacing w:before="40" w:after="40"/>
              <w:jc w:val="left"/>
            </w:pPr>
            <w:r>
              <w:rPr>
                <w:color w:val="4a5568"/>
                <w:sz w:val="18"/>
              </w:rPr>
              <w:t>Native</w:t>
            </w:r>
          </w:p>
        </w:tc>
        <w:tc>
          <w:tcPr>
            <w:tcW w:w="2500" w:type="dxa"/>
          </w:tcPr>
          <w:p>
            <w:pPr>
              <w:spacing w:before="40" w:after="40"/>
              <w:jc w:val="left"/>
            </w:pPr>
            <w:r>
              <w:rPr>
                <w:color w:val="4a5568"/>
                <w:sz w:val="18"/>
              </w:rPr>
              <w:t>Multimodal, GCP-native, A2A</w:t>
            </w:r>
          </w:p>
        </w:tc>
      </w:tr>
      <w:tr>
        <w:tc>
          <w:tcPr>
            <w:tcW w:w="2500" w:type="dxa"/>
          </w:tcPr>
          <w:p>
            <w:pPr>
              <w:spacing w:before="40" w:after="40"/>
              <w:jc w:val="left"/>
            </w:pPr>
            <w:r>
              <w:rPr>
                <w:color w:val="4a5568"/>
                <w:sz w:val="18"/>
              </w:rPr>
              <w:t>Claude Agent SDK</w:t>
            </w:r>
          </w:p>
        </w:tc>
        <w:tc>
          <w:tcPr>
            <w:tcW w:w="2500" w:type="dxa"/>
          </w:tcPr>
          <w:p>
            <w:pPr>
              <w:spacing w:before="40" w:after="40"/>
              <w:jc w:val="left"/>
            </w:pPr>
            <w:r>
              <w:rPr>
                <w:color w:val="4a5568"/>
                <w:sz w:val="18"/>
              </w:rPr>
              <w:t>Tool + sandbox</w:t>
            </w:r>
          </w:p>
        </w:tc>
        <w:tc>
          <w:tcPr>
            <w:tcW w:w="2500" w:type="dxa"/>
          </w:tcPr>
          <w:p>
            <w:pPr>
              <w:spacing w:before="40" w:after="40"/>
              <w:jc w:val="left"/>
            </w:pPr>
            <w:r>
              <w:rPr>
                <w:color w:val="4a5568"/>
                <w:sz w:val="18"/>
              </w:rPr>
              <w:t>Native</w:t>
            </w:r>
          </w:p>
        </w:tc>
        <w:tc>
          <w:tcPr>
            <w:tcW w:w="2500" w:type="dxa"/>
          </w:tcPr>
          <w:p>
            <w:pPr>
              <w:spacing w:before="40" w:after="40"/>
              <w:jc w:val="left"/>
            </w:pPr>
            <w:r>
              <w:rPr>
                <w:color w:val="4a5568"/>
                <w:sz w:val="18"/>
              </w:rPr>
              <w:t>Autonomous coding, research</w:t>
            </w:r>
          </w:p>
        </w:tc>
      </w:tr>
      <w:tr>
        <w:tc>
          <w:tcPr>
            <w:tcW w:w="2500" w:type="dxa"/>
          </w:tcPr>
          <w:p>
            <w:pPr>
              <w:spacing w:before="40" w:after="40"/>
              <w:jc w:val="left"/>
            </w:pPr>
            <w:r>
              <w:rPr>
                <w:color w:val="4a5568"/>
                <w:sz w:val="18"/>
              </w:rPr>
              <w:t>Pydantic AI</w:t>
            </w:r>
          </w:p>
        </w:tc>
        <w:tc>
          <w:tcPr>
            <w:tcW w:w="2500" w:type="dxa"/>
          </w:tcPr>
          <w:p>
            <w:pPr>
              <w:spacing w:before="40" w:after="40"/>
              <w:jc w:val="left"/>
            </w:pPr>
            <w:r>
              <w:rPr>
                <w:color w:val="4a5568"/>
                <w:sz w:val="18"/>
              </w:rPr>
              <w:t>Type-safe composable</w:t>
            </w:r>
          </w:p>
        </w:tc>
        <w:tc>
          <w:tcPr>
            <w:tcW w:w="2500" w:type="dxa"/>
          </w:tcPr>
          <w:p>
            <w:pPr>
              <w:spacing w:before="40" w:after="40"/>
              <w:jc w:val="left"/>
            </w:pPr>
            <w:r>
              <w:rPr>
                <w:color w:val="4a5568"/>
                <w:sz w:val="18"/>
              </w:rPr>
              <w:t>Native</w:t>
            </w:r>
          </w:p>
        </w:tc>
        <w:tc>
          <w:tcPr>
            <w:tcW w:w="2500" w:type="dxa"/>
          </w:tcPr>
          <w:p>
            <w:pPr>
              <w:spacing w:before="40" w:after="40"/>
              <w:jc w:val="left"/>
            </w:pPr>
            <w:r>
              <w:rPr>
                <w:color w:val="4a5568"/>
                <w:sz w:val="18"/>
              </w:rPr>
              <w:t>Type-safe Python, FastAPI</w:t>
            </w:r>
          </w:p>
        </w:tc>
      </w:tr>
      <w:tr>
        <w:tc>
          <w:tcPr>
            <w:tcW w:w="2500" w:type="dxa"/>
          </w:tcPr>
          <w:p>
            <w:pPr>
              <w:spacing w:before="40" w:after="40"/>
              <w:jc w:val="left"/>
            </w:pPr>
            <w:r>
              <w:rPr>
                <w:color w:val="4a5568"/>
                <w:sz w:val="18"/>
              </w:rPr>
              <w:t>Microsoft Agent Framework</w:t>
            </w:r>
          </w:p>
        </w:tc>
        <w:tc>
          <w:tcPr>
            <w:tcW w:w="2500" w:type="dxa"/>
          </w:tcPr>
          <w:p>
            <w:pPr>
              <w:spacing w:before="40" w:after="40"/>
              <w:jc w:val="left"/>
            </w:pPr>
            <w:r>
              <w:rPr>
                <w:color w:val="4a5568"/>
                <w:sz w:val="18"/>
              </w:rPr>
              <w:t>Graph workflows</w:t>
            </w:r>
          </w:p>
        </w:tc>
        <w:tc>
          <w:tcPr>
            <w:tcW w:w="2500" w:type="dxa"/>
          </w:tcPr>
          <w:p>
            <w:pPr>
              <w:spacing w:before="40" w:after="40"/>
              <w:jc w:val="left"/>
            </w:pPr>
            <w:r>
              <w:rPr>
                <w:color w:val="4a5568"/>
                <w:sz w:val="18"/>
              </w:rPr>
              <w:t>Native</w:t>
            </w:r>
          </w:p>
        </w:tc>
        <w:tc>
          <w:tcPr>
            <w:tcW w:w="2500" w:type="dxa"/>
          </w:tcPr>
          <w:p>
            <w:pPr>
              <w:spacing w:before="40" w:after="40"/>
              <w:jc w:val="left"/>
            </w:pPr>
            <w:r>
              <w:rPr>
                <w:color w:val="4a5568"/>
                <w:sz w:val="18"/>
              </w:rPr>
              <w:t>.NET/Azure enterprise</w:t>
            </w:r>
          </w:p>
        </w:tc>
      </w:tr>
      <w:tr>
        <w:tc>
          <w:tcPr>
            <w:tcW w:w="2500" w:type="dxa"/>
          </w:tcPr>
          <w:p>
            <w:pPr>
              <w:spacing w:before="40" w:after="40"/>
              <w:jc w:val="left"/>
            </w:pPr>
            <w:r>
              <w:rPr>
                <w:color w:val="4a5568"/>
                <w:sz w:val="18"/>
              </w:rPr>
              <w:t>Smolagents</w:t>
            </w:r>
          </w:p>
        </w:tc>
        <w:tc>
          <w:tcPr>
            <w:tcW w:w="2500" w:type="dxa"/>
          </w:tcPr>
          <w:p>
            <w:pPr>
              <w:spacing w:before="40" w:after="40"/>
              <w:jc w:val="left"/>
            </w:pPr>
            <w:r>
              <w:rPr>
                <w:color w:val="4a5568"/>
                <w:sz w:val="18"/>
              </w:rPr>
              <w:t>Code-execution</w:t>
            </w:r>
          </w:p>
        </w:tc>
        <w:tc>
          <w:tcPr>
            <w:tcW w:w="2500" w:type="dxa"/>
          </w:tcPr>
          <w:p>
            <w:pPr>
              <w:spacing w:before="40" w:after="40"/>
              <w:jc w:val="left"/>
            </w:pPr>
            <w:r>
              <w:rPr>
                <w:color w:val="4a5568"/>
                <w:sz w:val="18"/>
              </w:rPr>
              <w:t>Adapter</w:t>
            </w:r>
          </w:p>
        </w:tc>
        <w:tc>
          <w:tcPr>
            <w:tcW w:w="2500" w:type="dxa"/>
          </w:tcPr>
          <w:p>
            <w:pPr>
              <w:spacing w:before="40" w:after="40"/>
              <w:jc w:val="left"/>
            </w:pPr>
            <w:r>
              <w:rPr>
                <w:color w:val="4a5568"/>
                <w:sz w:val="18"/>
              </w:rPr>
              <w:t>HuggingFace ecosystem</w:t>
            </w:r>
          </w:p>
        </w:tc>
      </w:tr>
    </w:tbl>
    <w:p>
      <w:pPr>
        <w:pStyle w:val="Heading2"/>
      </w:pPr>
      <w:r>
        <w:t>MCP Ecosystem Status</w:t>
      </w:r>
    </w:p>
    <w:p>
      <w:r>
        <w:t>The Model Context Protocol has achieved extraordinary growth. Anthropic donated MCP to the Linux Foundation's Agentic AI Foundation in December 2025, making it vendor-neutral. The official MCP Registry launched in September 2025 as a collaborative effort between Anthropic, GitHub (Toby Padilla), PulseMCP, Block, and 16+ contributors from 9 companies.</w:t>
      </w:r>
    </w:p>
    <w:p>
      <w:r>
        <w:t>Key metrics: 10,000+ active public MCP servers, 97M+ monthly SDK downloads (Python + TypeScript), 41% of software enterprises in LIMITED or BROAD production (Stacklok 2026 survey), Gartner projects 40% of enterprise apps will include task-specific AI agents by end 2026.</w:t>
      </w:r>
    </w:p>
    <w:p>
      <w:r>
        <w:t>Stacklok's survey identified SECURITY as the #1 MCP adoption barrier. This validates MEOK's prompt-injection-firewall + audit-logger chain as a critical infrastructure layer. The 2026 MCP roadmap includes Server Cards (.well-known discovery URLs) — MEOK should lead the compliance Server Card standard.</w:t>
      </w:r>
    </w:p>
    <w:p>
      <w:pPr>
        <w:pStyle w:val="Heading1"/>
      </w:pPr>
      <w:r>
        <w:t>Competitive Intelligence: Who Is Closest</w:t>
      </w:r>
      <w:bookmarkStart w:name="_Toc004" w:id="5"/>
      <w:bookmarkEnd w:id="5"/>
    </w:p>
    <w:tbl>
      <w:tblPr>
        <w:tblW w:w="5000" w:type="pct"/>
        <w:tblBorders>
          <w:top w:val="single" w:color="0a0f14" w:sz="12"/>
          <w:left w:val="nil"/>
          <w:bottom w:val="single" w:color="0a0f14" w:sz="12"/>
          <w:right w:val="nil"/>
          <w:insideH w:val="single" w:color="e2e8f0" w:sz="4"/>
        </w:tblBorders>
      </w:tblPr>
      <w:tblGrid>
        <w:gridCol w:w="2500"/>
        <w:gridCol w:w="2500"/>
        <w:gridCol w:w="2500"/>
        <w:gridCol w:w="2500"/>
      </w:tblGrid>
      <w:tr>
        <w:trPr>
          <w:tblHeader/>
        </w:trPr>
        <w:tc>
          <w:tcPr>
            <w:tcW w:w="2500" w:type="dxa"/>
            <w:shd w:val="clear" w:fill="f0f4f8"/>
          </w:tcPr>
          <w:p>
            <w:pPr>
              <w:spacing w:before="40" w:after="40"/>
              <w:jc w:val="left"/>
            </w:pPr>
            <w:r>
              <w:rPr>
                <w:b/>
                <w:color w:val="1a2a3a"/>
                <w:sz w:val="18"/>
              </w:rPr>
              <w:t>Competitor</w:t>
            </w:r>
          </w:p>
        </w:tc>
        <w:tc>
          <w:tcPr>
            <w:tcW w:w="2500" w:type="dxa"/>
            <w:shd w:val="clear" w:fill="f0f4f8"/>
          </w:tcPr>
          <w:p>
            <w:pPr>
              <w:spacing w:before="40" w:after="40"/>
              <w:jc w:val="left"/>
            </w:pPr>
            <w:r>
              <w:rPr>
                <w:b/>
                <w:color w:val="1a2a3a"/>
                <w:sz w:val="18"/>
              </w:rPr>
              <w:t>Funding</w:t>
            </w:r>
          </w:p>
        </w:tc>
        <w:tc>
          <w:tcPr>
            <w:tcW w:w="2500" w:type="dxa"/>
            <w:shd w:val="clear" w:fill="f0f4f8"/>
          </w:tcPr>
          <w:p>
            <w:pPr>
              <w:spacing w:before="40" w:after="40"/>
              <w:jc w:val="left"/>
            </w:pPr>
            <w:r>
              <w:rPr>
                <w:b/>
                <w:color w:val="1a2a3a"/>
                <w:sz w:val="18"/>
              </w:rPr>
              <w:t>Secret Weapon</w:t>
            </w:r>
          </w:p>
        </w:tc>
        <w:tc>
          <w:tcPr>
            <w:tcW w:w="2500" w:type="dxa"/>
            <w:shd w:val="clear" w:fill="f0f4f8"/>
          </w:tcPr>
          <w:p>
            <w:pPr>
              <w:spacing w:before="40" w:after="40"/>
              <w:jc w:val="left"/>
            </w:pPr>
            <w:r>
              <w:rPr>
                <w:b/>
                <w:color w:val="1a2a3a"/>
                <w:sz w:val="18"/>
              </w:rPr>
              <w:t>Gap MEOK Fills</w:t>
            </w:r>
          </w:p>
        </w:tc>
      </w:tr>
      <w:tr>
        <w:tc>
          <w:tcPr>
            <w:tcW w:w="2500" w:type="dxa"/>
          </w:tcPr>
          <w:p>
            <w:pPr>
              <w:spacing w:before="40" w:after="40"/>
              <w:jc w:val="left"/>
            </w:pPr>
            <w:r>
              <w:rPr>
                <w:color w:val="4a5568"/>
                <w:sz w:val="18"/>
              </w:rPr>
              <w:t>Credo AI</w:t>
            </w:r>
          </w:p>
        </w:tc>
        <w:tc>
          <w:tcPr>
            <w:tcW w:w="2500" w:type="dxa"/>
          </w:tcPr>
          <w:p>
            <w:pPr>
              <w:spacing w:before="40" w:after="40"/>
              <w:jc w:val="left"/>
            </w:pPr>
            <w:r>
              <w:rPr>
                <w:color w:val="4a5568"/>
                <w:sz w:val="18"/>
              </w:rPr>
              <w:t>$39.3M ($105M val)</w:t>
            </w:r>
          </w:p>
        </w:tc>
        <w:tc>
          <w:tcPr>
            <w:tcW w:w="2500" w:type="dxa"/>
          </w:tcPr>
          <w:p>
            <w:pPr>
              <w:spacing w:before="40" w:after="40"/>
              <w:jc w:val="left"/>
            </w:pPr>
            <w:r>
              <w:rPr>
                <w:color w:val="4a5568"/>
                <w:sz w:val="18"/>
              </w:rPr>
              <w:t>Governance SaaS, 66 employees</w:t>
            </w:r>
          </w:p>
        </w:tc>
        <w:tc>
          <w:tcPr>
            <w:tcW w:w="2500" w:type="dxa"/>
          </w:tcPr>
          <w:p>
            <w:pPr>
              <w:spacing w:before="40" w:after="40"/>
              <w:jc w:val="left"/>
            </w:pPr>
            <w:r>
              <w:rPr>
                <w:color w:val="4a5568"/>
                <w:sz w:val="18"/>
              </w:rPr>
              <w:t>No data licensing, no geospatial</w:t>
            </w:r>
          </w:p>
        </w:tc>
      </w:tr>
      <w:tr>
        <w:tc>
          <w:tcPr>
            <w:tcW w:w="2500" w:type="dxa"/>
          </w:tcPr>
          <w:p>
            <w:pPr>
              <w:spacing w:before="40" w:after="40"/>
              <w:jc w:val="left"/>
            </w:pPr>
            <w:r>
              <w:rPr>
                <w:color w:val="4a5568"/>
                <w:sz w:val="18"/>
              </w:rPr>
              <w:t>OneTrust</w:t>
            </w:r>
          </w:p>
        </w:tc>
        <w:tc>
          <w:tcPr>
            <w:tcW w:w="2500" w:type="dxa"/>
          </w:tcPr>
          <w:p>
            <w:pPr>
              <w:spacing w:before="40" w:after="40"/>
              <w:jc w:val="left"/>
            </w:pPr>
            <w:r>
              <w:rPr>
                <w:color w:val="4a5568"/>
                <w:sz w:val="18"/>
              </w:rPr>
              <w:t>Unicorn ($5.3B est)</w:t>
            </w:r>
          </w:p>
        </w:tc>
        <w:tc>
          <w:tcPr>
            <w:tcW w:w="2500" w:type="dxa"/>
          </w:tcPr>
          <w:p>
            <w:pPr>
              <w:spacing w:before="40" w:after="40"/>
              <w:jc w:val="left"/>
            </w:pPr>
            <w:r>
              <w:rPr>
                <w:color w:val="4a5568"/>
                <w:sz w:val="18"/>
              </w:rPr>
              <w:t>14,000 customers, 350 patents</w:t>
            </w:r>
          </w:p>
        </w:tc>
        <w:tc>
          <w:tcPr>
            <w:tcW w:w="2500" w:type="dxa"/>
          </w:tcPr>
          <w:p>
            <w:pPr>
              <w:spacing w:before="40" w:after="40"/>
              <w:jc w:val="left"/>
            </w:pPr>
            <w:r>
              <w:rPr>
                <w:color w:val="4a5568"/>
                <w:sz w:val="18"/>
              </w:rPr>
              <w:t>Privacy only, no AI character infra</w:t>
            </w:r>
          </w:p>
        </w:tc>
      </w:tr>
      <w:tr>
        <w:tc>
          <w:tcPr>
            <w:tcW w:w="2500" w:type="dxa"/>
          </w:tcPr>
          <w:p>
            <w:pPr>
              <w:spacing w:before="40" w:after="40"/>
              <w:jc w:val="left"/>
            </w:pPr>
            <w:r>
              <w:rPr>
                <w:color w:val="4a5568"/>
                <w:sz w:val="18"/>
              </w:rPr>
              <w:t>Hathr.AI</w:t>
            </w:r>
          </w:p>
        </w:tc>
        <w:tc>
          <w:tcPr>
            <w:tcW w:w="2500" w:type="dxa"/>
          </w:tcPr>
          <w:p>
            <w:pPr>
              <w:spacing w:before="40" w:after="40"/>
              <w:jc w:val="left"/>
            </w:pPr>
            <w:r>
              <w:rPr>
                <w:color w:val="4a5568"/>
                <w:sz w:val="18"/>
              </w:rPr>
              <w:t>Bootstrapped</w:t>
            </w:r>
          </w:p>
        </w:tc>
        <w:tc>
          <w:tcPr>
            <w:tcW w:w="2500" w:type="dxa"/>
          </w:tcPr>
          <w:p>
            <w:pPr>
              <w:spacing w:before="40" w:after="40"/>
              <w:jc w:val="left"/>
            </w:pPr>
            <w:r>
              <w:rPr>
                <w:color w:val="4a5568"/>
                <w:sz w:val="18"/>
              </w:rPr>
              <w:t>$45/mo HIPAA AI, 1,000+ orgs</w:t>
            </w:r>
          </w:p>
        </w:tc>
        <w:tc>
          <w:tcPr>
            <w:tcW w:w="2500" w:type="dxa"/>
          </w:tcPr>
          <w:p>
            <w:pPr>
              <w:spacing w:before="40" w:after="40"/>
              <w:jc w:val="left"/>
            </w:pPr>
            <w:r>
              <w:rPr>
                <w:color w:val="4a5568"/>
                <w:sz w:val="18"/>
              </w:rPr>
              <w:t>Healthcare only, no cross-domain</w:t>
            </w:r>
          </w:p>
        </w:tc>
      </w:tr>
      <w:tr>
        <w:tc>
          <w:tcPr>
            <w:tcW w:w="2500" w:type="dxa"/>
          </w:tcPr>
          <w:p>
            <w:pPr>
              <w:spacing w:before="40" w:after="40"/>
              <w:jc w:val="left"/>
            </w:pPr>
            <w:r>
              <w:rPr>
                <w:color w:val="4a5568"/>
                <w:sz w:val="18"/>
              </w:rPr>
              <w:t>Saidot</w:t>
            </w:r>
          </w:p>
        </w:tc>
        <w:tc>
          <w:tcPr>
            <w:tcW w:w="2500" w:type="dxa"/>
          </w:tcPr>
          <w:p>
            <w:pPr>
              <w:spacing w:before="40" w:after="40"/>
              <w:jc w:val="left"/>
            </w:pPr>
            <w:r>
              <w:rPr>
                <w:color w:val="4a5568"/>
                <w:sz w:val="18"/>
              </w:rPr>
              <w:t>EUR 1.75M seed</w:t>
            </w:r>
          </w:p>
        </w:tc>
        <w:tc>
          <w:tcPr>
            <w:tcW w:w="2500" w:type="dxa"/>
          </w:tcPr>
          <w:p>
            <w:pPr>
              <w:spacing w:before="40" w:after="40"/>
              <w:jc w:val="left"/>
            </w:pPr>
            <w:r>
              <w:rPr>
                <w:color w:val="4a5568"/>
                <w:sz w:val="18"/>
              </w:rPr>
              <w:t>Scottish Gov + Deloitte clients</w:t>
            </w:r>
          </w:p>
        </w:tc>
        <w:tc>
          <w:tcPr>
            <w:tcW w:w="2500" w:type="dxa"/>
          </w:tcPr>
          <w:p>
            <w:pPr>
              <w:spacing w:before="40" w:after="40"/>
              <w:jc w:val="left"/>
            </w:pPr>
            <w:r>
              <w:rPr>
                <w:color w:val="4a5568"/>
                <w:sz w:val="18"/>
              </w:rPr>
              <w:t>Limited to 2 frameworks</w:t>
            </w:r>
          </w:p>
        </w:tc>
      </w:tr>
      <w:tr>
        <w:tc>
          <w:tcPr>
            <w:tcW w:w="2500" w:type="dxa"/>
          </w:tcPr>
          <w:p>
            <w:pPr>
              <w:spacing w:before="40" w:after="40"/>
              <w:jc w:val="left"/>
            </w:pPr>
            <w:r>
              <w:rPr>
                <w:color w:val="4a5568"/>
                <w:sz w:val="18"/>
              </w:rPr>
              <w:t>Arthur AI</w:t>
            </w:r>
          </w:p>
        </w:tc>
        <w:tc>
          <w:tcPr>
            <w:tcW w:w="2500" w:type="dxa"/>
          </w:tcPr>
          <w:p>
            <w:pPr>
              <w:spacing w:before="40" w:after="40"/>
              <w:jc w:val="left"/>
            </w:pPr>
            <w:r>
              <w:rPr>
                <w:color w:val="4a5568"/>
                <w:sz w:val="18"/>
              </w:rPr>
              <w:t>$42M+</w:t>
            </w:r>
          </w:p>
        </w:tc>
        <w:tc>
          <w:tcPr>
            <w:tcW w:w="2500" w:type="dxa"/>
          </w:tcPr>
          <w:p>
            <w:pPr>
              <w:spacing w:before="40" w:after="40"/>
              <w:jc w:val="left"/>
            </w:pPr>
            <w:r>
              <w:rPr>
                <w:color w:val="4a5568"/>
                <w:sz w:val="18"/>
              </w:rPr>
              <w:t>1B+ tokens monitored</w:t>
            </w:r>
          </w:p>
        </w:tc>
        <w:tc>
          <w:tcPr>
            <w:tcW w:w="2500" w:type="dxa"/>
          </w:tcPr>
          <w:p>
            <w:pPr>
              <w:spacing w:before="40" w:after="40"/>
              <w:jc w:val="left"/>
            </w:pPr>
            <w:r>
              <w:rPr>
                <w:color w:val="4a5568"/>
                <w:sz w:val="18"/>
              </w:rPr>
              <w:t>Monitoring only, no compliance map</w:t>
            </w:r>
          </w:p>
        </w:tc>
      </w:tr>
      <w:tr>
        <w:tc>
          <w:tcPr>
            <w:tcW w:w="2500" w:type="dxa"/>
          </w:tcPr>
          <w:p>
            <w:pPr>
              <w:spacing w:before="40" w:after="40"/>
              <w:jc w:val="left"/>
            </w:pPr>
            <w:r>
              <w:rPr>
                <w:color w:val="4a5568"/>
                <w:sz w:val="18"/>
              </w:rPr>
              <w:t>Prediction Guard</w:t>
            </w:r>
          </w:p>
        </w:tc>
        <w:tc>
          <w:tcPr>
            <w:tcW w:w="2500" w:type="dxa"/>
          </w:tcPr>
          <w:p>
            <w:pPr>
              <w:spacing w:before="40" w:after="40"/>
              <w:jc w:val="left"/>
            </w:pPr>
            <w:r>
              <w:rPr>
                <w:color w:val="4a5568"/>
                <w:sz w:val="18"/>
              </w:rPr>
              <w:t>$12.5M</w:t>
            </w:r>
          </w:p>
        </w:tc>
        <w:tc>
          <w:tcPr>
            <w:tcW w:w="2500" w:type="dxa"/>
          </w:tcPr>
          <w:p>
            <w:pPr>
              <w:spacing w:before="40" w:after="40"/>
              <w:jc w:val="left"/>
            </w:pPr>
            <w:r>
              <w:rPr>
                <w:color w:val="4a5568"/>
                <w:sz w:val="18"/>
              </w:rPr>
              <w:t>Self-hosted, audit trail</w:t>
            </w:r>
          </w:p>
        </w:tc>
        <w:tc>
          <w:tcPr>
            <w:tcW w:w="2500" w:type="dxa"/>
          </w:tcPr>
          <w:p>
            <w:pPr>
              <w:spacing w:before="40" w:after="40"/>
              <w:jc w:val="left"/>
            </w:pPr>
            <w:r>
              <w:rPr>
                <w:color w:val="4a5568"/>
                <w:sz w:val="18"/>
              </w:rPr>
              <w:t>No character engine, no geospatial</w:t>
            </w:r>
          </w:p>
        </w:tc>
      </w:tr>
      <w:tr>
        <w:tc>
          <w:tcPr>
            <w:tcW w:w="2500" w:type="dxa"/>
          </w:tcPr>
          <w:p>
            <w:pPr>
              <w:spacing w:before="40" w:after="40"/>
              <w:jc w:val="left"/>
            </w:pPr>
            <w:r>
              <w:rPr>
                <w:color w:val="4a5568"/>
                <w:sz w:val="18"/>
              </w:rPr>
              <w:t>EuConform</w:t>
            </w:r>
          </w:p>
        </w:tc>
        <w:tc>
          <w:tcPr>
            <w:tcW w:w="2500" w:type="dxa"/>
          </w:tcPr>
          <w:p>
            <w:pPr>
              <w:spacing w:before="40" w:after="40"/>
              <w:jc w:val="left"/>
            </w:pPr>
            <w:r>
              <w:rPr>
                <w:color w:val="4a5568"/>
                <w:sz w:val="18"/>
              </w:rPr>
              <w:t>Open source</w:t>
            </w:r>
          </w:p>
        </w:tc>
        <w:tc>
          <w:tcPr>
            <w:tcW w:w="2500" w:type="dxa"/>
          </w:tcPr>
          <w:p>
            <w:pPr>
              <w:spacing w:before="40" w:after="40"/>
              <w:jc w:val="left"/>
            </w:pPr>
            <w:r>
              <w:rPr>
                <w:color w:val="4a5568"/>
                <w:sz w:val="18"/>
              </w:rPr>
              <w:t>Offline-first compliance</w:t>
            </w:r>
          </w:p>
        </w:tc>
        <w:tc>
          <w:tcPr>
            <w:tcW w:w="2500" w:type="dxa"/>
          </w:tcPr>
          <w:p>
            <w:pPr>
              <w:spacing w:before="40" w:after="40"/>
              <w:jc w:val="left"/>
            </w:pPr>
            <w:r>
              <w:rPr>
                <w:color w:val="4a5568"/>
                <w:sz w:val="18"/>
              </w:rPr>
              <w:t>No platform, no characters</w:t>
            </w:r>
          </w:p>
        </w:tc>
      </w:tr>
      <w:tr>
        <w:tc>
          <w:tcPr>
            <w:tcW w:w="2500" w:type="dxa"/>
          </w:tcPr>
          <w:p>
            <w:pPr>
              <w:spacing w:before="40" w:after="40"/>
              <w:jc w:val="left"/>
            </w:pPr>
            <w:r>
              <w:rPr>
                <w:color w:val="4a5568"/>
                <w:sz w:val="18"/>
              </w:rPr>
              <w:t>ArkForge</w:t>
            </w:r>
          </w:p>
        </w:tc>
        <w:tc>
          <w:tcPr>
            <w:tcW w:w="2500" w:type="dxa"/>
          </w:tcPr>
          <w:p>
            <w:pPr>
              <w:spacing w:before="40" w:after="40"/>
              <w:jc w:val="left"/>
            </w:pPr>
            <w:r>
              <w:rPr>
                <w:color w:val="4a5568"/>
                <w:sz w:val="18"/>
              </w:rPr>
              <w:t>Open source + paid</w:t>
            </w:r>
          </w:p>
        </w:tc>
        <w:tc>
          <w:tcPr>
            <w:tcW w:w="2500" w:type="dxa"/>
          </w:tcPr>
          <w:p>
            <w:pPr>
              <w:spacing w:before="40" w:after="40"/>
              <w:jc w:val="left"/>
            </w:pPr>
            <w:r>
              <w:rPr>
                <w:color w:val="4a5568"/>
                <w:sz w:val="18"/>
              </w:rPr>
              <w:t>Trust Layer for agents</w:t>
            </w:r>
          </w:p>
        </w:tc>
        <w:tc>
          <w:tcPr>
            <w:tcW w:w="2500" w:type="dxa"/>
          </w:tcPr>
          <w:p>
            <w:pPr>
              <w:spacing w:before="40" w:after="40"/>
              <w:jc w:val="left"/>
            </w:pPr>
            <w:r>
              <w:rPr>
                <w:color w:val="4a5568"/>
                <w:sz w:val="18"/>
              </w:rPr>
              <w:t>No jurisdiction mapping</w:t>
            </w:r>
          </w:p>
        </w:tc>
      </w:tr>
      <w:tr>
        <w:tc>
          <w:tcPr>
            <w:tcW w:w="2500" w:type="dxa"/>
          </w:tcPr>
          <w:p>
            <w:pPr>
              <w:spacing w:before="40" w:after="40"/>
              <w:jc w:val="left"/>
            </w:pPr>
            <w:r>
              <w:rPr>
                <w:color w:val="4a5568"/>
                <w:sz w:val="18"/>
              </w:rPr>
              <w:t>Palantir AIP</w:t>
            </w:r>
          </w:p>
        </w:tc>
        <w:tc>
          <w:tcPr>
            <w:tcW w:w="2500" w:type="dxa"/>
          </w:tcPr>
          <w:p>
            <w:pPr>
              <w:spacing w:before="40" w:after="40"/>
              <w:jc w:val="left"/>
            </w:pPr>
            <w:r>
              <w:rPr>
                <w:color w:val="4a5568"/>
                <w:sz w:val="18"/>
              </w:rPr>
              <w:t>$890M defense AI</w:t>
            </w:r>
          </w:p>
        </w:tc>
        <w:tc>
          <w:tcPr>
            <w:tcW w:w="2500" w:type="dxa"/>
          </w:tcPr>
          <w:p>
            <w:pPr>
              <w:spacing w:before="40" w:after="40"/>
              <w:jc w:val="left"/>
            </w:pPr>
            <w:r>
              <w:rPr>
                <w:color w:val="4a5568"/>
                <w:sz w:val="18"/>
              </w:rPr>
              <w:t>Defense data integration</w:t>
            </w:r>
          </w:p>
        </w:tc>
        <w:tc>
          <w:tcPr>
            <w:tcW w:w="2500" w:type="dxa"/>
          </w:tcPr>
          <w:p>
            <w:pPr>
              <w:spacing w:before="40" w:after="40"/>
              <w:jc w:val="left"/>
            </w:pPr>
            <w:r>
              <w:rPr>
                <w:color w:val="4a5568"/>
                <w:sz w:val="18"/>
              </w:rPr>
              <w:t>No compliance per theater</w:t>
            </w:r>
          </w:p>
        </w:tc>
      </w:tr>
      <w:tr>
        <w:tc>
          <w:tcPr>
            <w:tcW w:w="2500" w:type="dxa"/>
          </w:tcPr>
          <w:p>
            <w:pPr>
              <w:spacing w:before="40" w:after="40"/>
              <w:jc w:val="left"/>
            </w:pPr>
            <w:r>
              <w:rPr>
                <w:color w:val="4a5568"/>
                <w:sz w:val="18"/>
              </w:rPr>
              <w:t>Anduril Lattice</w:t>
            </w:r>
          </w:p>
        </w:tc>
        <w:tc>
          <w:tcPr>
            <w:tcW w:w="2500" w:type="dxa"/>
          </w:tcPr>
          <w:p>
            <w:pPr>
              <w:spacing w:before="40" w:after="40"/>
              <w:jc w:val="left"/>
            </w:pPr>
            <w:r>
              <w:rPr>
                <w:color w:val="4a5568"/>
                <w:sz w:val="18"/>
              </w:rPr>
              <w:t>$2.15B ($20B Army)</w:t>
            </w:r>
          </w:p>
        </w:tc>
        <w:tc>
          <w:tcPr>
            <w:tcW w:w="2500" w:type="dxa"/>
          </w:tcPr>
          <w:p>
            <w:pPr>
              <w:spacing w:before="40" w:after="40"/>
              <w:jc w:val="left"/>
            </w:pPr>
            <w:r>
              <w:rPr>
                <w:color w:val="4a5568"/>
                <w:sz w:val="18"/>
              </w:rPr>
              <w:t>Autonomous defense OS</w:t>
            </w:r>
          </w:p>
        </w:tc>
        <w:tc>
          <w:tcPr>
            <w:tcW w:w="2500" w:type="dxa"/>
          </w:tcPr>
          <w:p>
            <w:pPr>
              <w:spacing w:before="40" w:after="40"/>
              <w:jc w:val="left"/>
            </w:pPr>
            <w:r>
              <w:rPr>
                <w:color w:val="4a5568"/>
                <w:sz w:val="18"/>
              </w:rPr>
              <w:t>No regulatory compliance layer</w:t>
            </w:r>
          </w:p>
        </w:tc>
      </w:tr>
    </w:tbl>
    <w:p>
      <w:r>
        <w:t>Critical insight: No competitor is doing DATA LICENSING from compliance tools. Everyone sells governance SOFTWARE. MEOK DATA's data licensing angle is UNIQUE. No competitor combines governance + geospatial + character infrastructure. This is the empty space MEOK owns.</w:t>
      </w:r>
    </w:p>
    <w:p>
      <w:pPr>
        <w:pStyle w:val="Heading1"/>
      </w:pPr>
      <w:r>
        <w:t>Strategic Synthesis: The Secret Is RegGeoInt</w:t>
      </w:r>
      <w:bookmarkStart w:name="_Toc005" w:id="6"/>
      <w:bookmarkEnd w:id="6"/>
    </w:p>
    <w:p>
      <w:r>
        <w:t>Peter Thiel's framework for finding secrets asks: 'What important truth do very few people agree with you on?' The answer for MEOK is: 'AI compliance is not a legal problem. It is a geographic problem. Every AI regulation is a map. No one is building the map.'</w:t>
      </w:r>
    </w:p>
    <w:p>
      <w:r>
        <w:t>This is contrarian because the entire AI governance industry treats compliance as checking legal boxes. Credo AI, OneTrust, Arthur AI — they all sell software for legal teams. But the actual problem is spatial: an AI system deployed in Germany faces different rules than the same system in France. A hospital AI in California has different HIPAA obligations than in Texas. A financial model in London has different DORA requirements than in Frankfurt. No one maps this. Companies hire 10 different law firms for 10 jurisdictions. There is zero technology that answers: 'I want to deploy this AI system here — what rules apply?'</w:t>
      </w:r>
    </w:p>
    <w:p>
      <w:pPr>
        <w:pStyle w:val="Heading2"/>
      </w:pPr>
      <w:r>
        <w:t>The Four Monopoly Characteristics</w:t>
      </w:r>
    </w:p>
    <w:p>
      <w:pPr>
        <w:numPr>
          <w:ilvl w:val="0"/>
          <w:numId w:val="1"/>
        </w:numPr>
      </w:pPr>
      <w:r>
        <w:rPr>
          <w:b/>
          <w:color w:val="007888"/>
        </w:rPr>
        <w:t>Proprietary Technology (10x better): </w:t>
      </w:r>
      <w:r>
        <w:t>Council of AI: 5-LLM BFT consensus = no single point of failure. HMAC-SHA256 attestation = cryptographic proof of compliance. 47 MCP servers = deepest regulatory coverage. No competitor has both governance + geospatial capability.</w:t>
      </w:r>
    </w:p>
    <w:p>
      <w:pPr>
        <w:numPr>
          <w:ilvl w:val="0"/>
          <w:numId w:val="1"/>
        </w:numPr>
      </w:pPr>
      <w:r>
        <w:rPr>
          <w:b/>
          <w:color w:val="007888"/>
        </w:rPr>
        <w:t>Network Effects: </w:t>
      </w:r>
      <w:r>
        <w:t>Every new MCP server adds data that makes the platform more valuable. Every new user generates data that improves compliance mappings. Every new jurisdiction mapped makes it more valuable for multi-nationals. The flywheel: users → data → better map → more users.</w:t>
      </w:r>
    </w:p>
    <w:p>
      <w:pPr>
        <w:numPr>
          <w:ilvl w:val="0"/>
          <w:numId w:val="1"/>
        </w:numPr>
      </w:pPr>
      <w:r>
        <w:rPr>
          <w:b/>
          <w:color w:val="007888"/>
        </w:rPr>
        <w:t>Economies of Scale: </w:t>
      </w:r>
      <w:r>
        <w:t>Mapping 1 framework is hard. Mapping 30+ is a moat. Adding a 31st framework costs MEOK almost nothing. Replicating all 30 from scratch costs competitors $2.5M+ and 2 years.</w:t>
      </w:r>
    </w:p>
    <w:p>
      <w:pPr>
        <w:numPr>
          <w:ilvl w:val="0"/>
          <w:numId w:val="1"/>
        </w:numPr>
      </w:pPr>
      <w:r>
        <w:rPr>
          <w:b/>
          <w:color w:val="007888"/>
        </w:rPr>
        <w:t>Branding: </w:t>
      </w:r>
      <w:r>
        <w:t>MEOK DATA = the compliance layer of the MCP ecosystem. Council of AI = the most transparent AI governance mechanism. HMAC attestation = the gold standard for verifiable compliance.</w:t>
      </w:r>
    </w:p>
    <w:p>
      <w:pPr>
        <w:pStyle w:val="Heading1"/>
      </w:pPr>
      <w:r>
        <w:t>The Infrastructure Play: Why MEOK Wins</w:t>
      </w:r>
      <w:bookmarkStart w:name="_Toc006" w:id="7"/>
      <w:bookmarkEnd w:id="7"/>
    </w:p>
    <w:p>
      <w:r>
        <w:t>The big vision: Every AI system in the world will eventually need a CHARACTER INTERFACE. Every character needs COMPLIANCE (regulatory by jurisdiction). MEOK owns BOTH layers. We are the OPERATING SYSTEM for AI characters.</w:t>
      </w:r>
    </w:p>
    <w:p>
      <w:r>
        <w:t>The Visa analogy: Visa doesn't make cards. Banks issue cards. Merchants accept them. Users swipe them. Visa makes the NETWORK that every card runs on. Visa takes 2% of every transaction. MEOK doesn't make characters. AI companies issue characters. Games/apps accept them. Users interact with them. MEOK makes the INFRASTRUCTURE every character runs on. MEOK takes a cut per interaction.</w:t>
      </w:r>
    </w:p>
    <w:p>
      <w:pPr>
        <w:pStyle w:val="Heading2"/>
      </w:pPr>
      <w:r>
        <w:t>The Revenue Model at Scale</w:t>
      </w:r>
    </w:p>
    <w:tbl>
      <w:tblPr>
        <w:tblW w:w="5000" w:type="pct"/>
        <w:tblBorders>
          <w:top w:val="single" w:color="0a0f14" w:sz="12"/>
          <w:left w:val="nil"/>
          <w:bottom w:val="single" w:color="0a0f14" w:sz="12"/>
          <w:right w:val="nil"/>
          <w:insideH w:val="single" w:color="e2e8f0" w:sz="4"/>
        </w:tblBorders>
      </w:tblPr>
      <w:tblGrid>
        <w:gridCol w:w="2500"/>
        <w:gridCol w:w="2500"/>
        <w:gridCol w:w="2500"/>
        <w:gridCol w:w="2500"/>
      </w:tblGrid>
      <w:tr>
        <w:trPr>
          <w:tblHeader/>
        </w:trPr>
        <w:tc>
          <w:tcPr>
            <w:tcW w:w="2500" w:type="dxa"/>
            <w:shd w:val="clear" w:fill="f0f4f8"/>
          </w:tcPr>
          <w:p>
            <w:pPr>
              <w:spacing w:before="40" w:after="40"/>
              <w:jc w:val="left"/>
            </w:pPr>
            <w:r>
              <w:rPr>
                <w:b/>
                <w:color w:val="1a2a3a"/>
                <w:sz w:val="18"/>
              </w:rPr>
              <w:t>Layer</w:t>
            </w:r>
          </w:p>
        </w:tc>
        <w:tc>
          <w:tcPr>
            <w:tcW w:w="2500" w:type="dxa"/>
            <w:shd w:val="clear" w:fill="f0f4f8"/>
          </w:tcPr>
          <w:p>
            <w:pPr>
              <w:spacing w:before="40" w:after="40"/>
              <w:jc w:val="left"/>
            </w:pPr>
            <w:r>
              <w:rPr>
                <w:b/>
                <w:color w:val="1a2a3a"/>
                <w:sz w:val="18"/>
              </w:rPr>
              <w:t>Model</w:t>
            </w:r>
          </w:p>
        </w:tc>
        <w:tc>
          <w:tcPr>
            <w:tcW w:w="2500" w:type="dxa"/>
            <w:shd w:val="clear" w:fill="f0f4f8"/>
          </w:tcPr>
          <w:p>
            <w:pPr>
              <w:spacing w:before="40" w:after="40"/>
              <w:jc w:val="left"/>
            </w:pPr>
            <w:r>
              <w:rPr>
                <w:b/>
                <w:color w:val="1a2a3a"/>
                <w:sz w:val="18"/>
              </w:rPr>
              <w:t>Annual Revenue</w:t>
            </w:r>
          </w:p>
        </w:tc>
      </w:tr>
      <w:tr>
        <w:tc>
          <w:tcPr>
            <w:tcW w:w="2500" w:type="dxa"/>
          </w:tcPr>
          <w:p>
            <w:pPr>
              <w:spacing w:before="40" w:after="40"/>
              <w:jc w:val="left"/>
            </w:pPr>
            <w:r>
              <w:rPr>
                <w:color w:val="4a5568"/>
                <w:sz w:val="18"/>
              </w:rPr>
              <w:t>Transaction Fees</w:t>
            </w:r>
          </w:p>
        </w:tc>
        <w:tc>
          <w:tcPr>
            <w:tcW w:w="2500" w:type="dxa"/>
          </w:tcPr>
          <w:p>
            <w:pPr>
              <w:spacing w:before="40" w:after="40"/>
              <w:jc w:val="left"/>
            </w:pPr>
            <w:r>
              <w:rPr>
                <w:color w:val="4a5568"/>
                <w:sz w:val="18"/>
              </w:rPr>
              <w:t>$0.001 per interaction x 1B/day</w:t>
            </w:r>
          </w:p>
        </w:tc>
        <w:tc>
          <w:tcPr>
            <w:tcW w:w="2500" w:type="dxa"/>
          </w:tcPr>
          <w:p>
            <w:pPr>
              <w:spacing w:before="40" w:after="40"/>
              <w:jc w:val="left"/>
            </w:pPr>
            <w:r>
              <w:rPr>
                <w:color w:val="4a5568"/>
                <w:sz w:val="18"/>
              </w:rPr>
              <w:t>$365M</w:t>
            </w:r>
          </w:p>
        </w:tc>
      </w:tr>
      <w:tr>
        <w:tc>
          <w:tcPr>
            <w:tcW w:w="2500" w:type="dxa"/>
          </w:tcPr>
          <w:p>
            <w:pPr>
              <w:spacing w:before="40" w:after="40"/>
              <w:jc w:val="left"/>
            </w:pPr>
            <w:r>
              <w:rPr>
                <w:color w:val="4a5568"/>
                <w:sz w:val="18"/>
              </w:rPr>
              <w:t>HATCH Ecosystem</w:t>
            </w:r>
          </w:p>
        </w:tc>
        <w:tc>
          <w:tcPr>
            <w:tcW w:w="2500" w:type="dxa"/>
          </w:tcPr>
          <w:p>
            <w:pPr>
              <w:spacing w:before="40" w:after="40"/>
              <w:jc w:val="left"/>
            </w:pPr>
            <w:r>
              <w:rPr>
                <w:color w:val="4a5568"/>
                <w:sz w:val="18"/>
              </w:rPr>
              <w:t>$2.99 hatches + items + 10% marketplace fee</w:t>
            </w:r>
          </w:p>
        </w:tc>
        <w:tc>
          <w:tcPr>
            <w:tcW w:w="2500" w:type="dxa"/>
          </w:tcPr>
          <w:p>
            <w:pPr>
              <w:spacing w:before="40" w:after="40"/>
              <w:jc w:val="left"/>
            </w:pPr>
            <w:r>
              <w:rPr>
                <w:color w:val="4a5568"/>
                <w:sz w:val="18"/>
              </w:rPr>
              <w:t>$200M</w:t>
            </w:r>
          </w:p>
        </w:tc>
      </w:tr>
      <w:tr>
        <w:tc>
          <w:tcPr>
            <w:tcW w:w="2500" w:type="dxa"/>
          </w:tcPr>
          <w:p>
            <w:pPr>
              <w:spacing w:before="40" w:after="40"/>
              <w:jc w:val="left"/>
            </w:pPr>
            <w:r>
              <w:rPr>
                <w:color w:val="4a5568"/>
                <w:sz w:val="18"/>
              </w:rPr>
              <w:t>Enterprise Licensing</w:t>
            </w:r>
          </w:p>
        </w:tc>
        <w:tc>
          <w:tcPr>
            <w:tcW w:w="2500" w:type="dxa"/>
          </w:tcPr>
          <w:p>
            <w:pPr>
              <w:spacing w:before="40" w:after="40"/>
              <w:jc w:val="left"/>
            </w:pPr>
            <w:r>
              <w:rPr>
                <w:color w:val="4a5568"/>
                <w:sz w:val="18"/>
              </w:rPr>
              <w:t>$500-$50K/mo per customer</w:t>
            </w:r>
          </w:p>
        </w:tc>
        <w:tc>
          <w:tcPr>
            <w:tcW w:w="2500" w:type="dxa"/>
          </w:tcPr>
          <w:p>
            <w:pPr>
              <w:spacing w:before="40" w:after="40"/>
              <w:jc w:val="left"/>
            </w:pPr>
            <w:r>
              <w:rPr>
                <w:color w:val="4a5568"/>
                <w:sz w:val="18"/>
              </w:rPr>
              <w:t>$240M</w:t>
            </w:r>
          </w:p>
        </w:tc>
      </w:tr>
      <w:tr>
        <w:tc>
          <w:tcPr>
            <w:tcW w:w="2500" w:type="dxa"/>
          </w:tcPr>
          <w:p>
            <w:pPr>
              <w:spacing w:before="40" w:after="40"/>
              <w:jc w:val="left"/>
            </w:pPr>
            <w:r>
              <w:rPr>
                <w:color w:val="4a5568"/>
                <w:sz w:val="18"/>
              </w:rPr>
              <w:t>Platform Revenue Share</w:t>
            </w:r>
          </w:p>
        </w:tc>
        <w:tc>
          <w:tcPr>
            <w:tcW w:w="2500" w:type="dxa"/>
          </w:tcPr>
          <w:p>
            <w:pPr>
              <w:spacing w:before="40" w:after="40"/>
              <w:jc w:val="left"/>
            </w:pPr>
            <w:r>
              <w:rPr>
                <w:color w:val="4a5568"/>
                <w:sz w:val="18"/>
              </w:rPr>
              <w:t>15% of AI/gaming character revenue</w:t>
            </w:r>
          </w:p>
        </w:tc>
        <w:tc>
          <w:tcPr>
            <w:tcW w:w="2500" w:type="dxa"/>
          </w:tcPr>
          <w:p>
            <w:pPr>
              <w:spacing w:before="40" w:after="40"/>
              <w:jc w:val="left"/>
            </w:pPr>
            <w:r>
              <w:rPr>
                <w:color w:val="4a5568"/>
                <w:sz w:val="18"/>
              </w:rPr>
              <w:t>$75M</w:t>
            </w:r>
          </w:p>
        </w:tc>
      </w:tr>
      <w:tr>
        <w:tc>
          <w:tcPr>
            <w:tcW w:w="2500" w:type="dxa"/>
          </w:tcPr>
          <w:p>
            <w:pPr>
              <w:spacing w:before="40" w:after="40"/>
              <w:jc w:val="left"/>
            </w:pPr>
            <w:r>
              <w:rPr>
                <w:color w:val="4a5568"/>
                <w:sz w:val="18"/>
              </w:rPr>
              <w:t>Data Intelligence</w:t>
            </w:r>
          </w:p>
        </w:tc>
        <w:tc>
          <w:tcPr>
            <w:tcW w:w="2500" w:type="dxa"/>
          </w:tcPr>
          <w:p>
            <w:pPr>
              <w:spacing w:before="40" w:after="40"/>
              <w:jc w:val="left"/>
            </w:pPr>
            <w:r>
              <w:rPr>
                <w:color w:val="4a5568"/>
                <w:sz w:val="18"/>
              </w:rPr>
              <w:t>Regulatory feeds + analytics</w:t>
            </w:r>
          </w:p>
        </w:tc>
        <w:tc>
          <w:tcPr>
            <w:tcW w:w="2500" w:type="dxa"/>
          </w:tcPr>
          <w:p>
            <w:pPr>
              <w:spacing w:before="40" w:after="40"/>
              <w:jc w:val="left"/>
            </w:pPr>
            <w:r>
              <w:rPr>
                <w:color w:val="4a5568"/>
                <w:sz w:val="18"/>
              </w:rPr>
              <w:t>$120M</w:t>
            </w:r>
          </w:p>
        </w:tc>
      </w:tr>
      <w:tr>
        <w:tc>
          <w:tcPr>
            <w:tcW w:w="2500" w:type="dxa"/>
          </w:tcPr>
          <w:p>
            <w:pPr>
              <w:spacing w:before="40" w:after="40"/>
              <w:jc w:val="left"/>
            </w:pPr>
            <w:r>
              <w:rPr>
                <w:color w:val="4a5568"/>
                <w:sz w:val="18"/>
              </w:rPr>
              <w:t>TOTAL</w:t>
            </w:r>
          </w:p>
        </w:tc>
        <w:tc>
          <w:tcPr>
            <w:tcW w:w="2500" w:type="dxa"/>
          </w:tcPr>
          <w:p>
            <w:pPr>
              <w:spacing w:before="40" w:after="40"/>
              <w:jc w:val="left"/>
            </w:pPr>
            <w:r>
              <w:rPr>
                <w:color w:val="4a5568"/>
                <w:sz w:val="18"/>
              </w:rPr>
              <w:t/>
            </w:r>
          </w:p>
        </w:tc>
        <w:tc>
          <w:tcPr>
            <w:tcW w:w="2500" w:type="dxa"/>
          </w:tcPr>
          <w:p>
            <w:pPr>
              <w:spacing w:before="40" w:after="40"/>
              <w:jc w:val="left"/>
            </w:pPr>
            <w:r>
              <w:rPr>
                <w:color w:val="4a5568"/>
                <w:sz w:val="18"/>
              </w:rPr>
              <w:t>$1B+</w:t>
            </w:r>
          </w:p>
        </w:tc>
      </w:tr>
    </w:tbl>
    <w:p>
      <w:pPr>
        <w:pStyle w:val="Heading1"/>
      </w:pPr>
      <w:r>
        <w:t>The 90-Day Diamond Sprint</w:t>
      </w:r>
      <w:bookmarkStart w:name="_Toc007" w:id="8"/>
      <w:bookmarkEnd w:id="8"/>
    </w:p>
    <w:p>
      <w:pPr>
        <w:pStyle w:val="Heading2"/>
      </w:pPr>
      <w:r>
        <w:t>Phase 1: Foundation (Days 1-30)</w:t>
      </w:r>
    </w:p>
    <w:p>
      <w:pPr>
        <w:numPr>
          <w:ilvl w:val="0"/>
          <w:numId w:val="1"/>
        </w:numPr>
      </w:pPr>
      <w:r>
        <w:rPr>
          <w:b/>
          <w:color w:val="007888"/>
        </w:rPr>
        <w:t>Correct the narrative: </w:t>
      </w:r>
      <w:r>
        <w:t>Update all materials: 47 MCPs (not 255) across 30+ frameworks. Position as 'Regulatory Geospatial Intelligence' not just 'data licensing.'</w:t>
      </w:r>
    </w:p>
    <w:p>
      <w:pPr>
        <w:numPr>
          <w:ilvl w:val="0"/>
          <w:numId w:val="1"/>
        </w:numPr>
      </w:pPr>
      <w:r>
        <w:rPr>
          <w:b/>
          <w:color w:val="007888"/>
        </w:rPr>
        <w:t>Integrate EuConform: </w:t>
      </w:r>
      <w:r>
        <w:t>Adopt the open evidence format (aibom) as MEOK DATA's default export format. Integrate the 26-question risk classification into HATCH onboarding.</w:t>
      </w:r>
    </w:p>
    <w:p>
      <w:pPr>
        <w:numPr>
          <w:ilvl w:val="0"/>
          <w:numId w:val="1"/>
        </w:numPr>
      </w:pPr>
      <w:r>
        <w:rPr>
          <w:b/>
          <w:color w:val="007888"/>
        </w:rPr>
        <w:t>Adopt Sovereign Shield: </w:t>
      </w:r>
      <w:r>
        <w:t>Integrate deterministic security layer as an MCP server for the HATCH ecosystem. The offline-only mode is perfect for child-safe characters.</w:t>
      </w:r>
    </w:p>
    <w:p>
      <w:pPr>
        <w:numPr>
          <w:ilvl w:val="0"/>
          <w:numId w:val="1"/>
        </w:numPr>
      </w:pPr>
      <w:r>
        <w:rPr>
          <w:b/>
          <w:color w:val="007888"/>
        </w:rPr>
        <w:t>Implement Nobulex protocol: </w:t>
      </w:r>
      <w:r>
        <w:t>Add Ed25519-signed audit receipts for every HATCH character interaction. File IETF draft co-submission with NIST.</w:t>
      </w:r>
    </w:p>
    <w:p>
      <w:pPr>
        <w:numPr>
          <w:ilvl w:val="0"/>
          <w:numId w:val="1"/>
        </w:numPr>
      </w:pPr>
      <w:r>
        <w:rPr>
          <w:b/>
          <w:color w:val="007888"/>
        </w:rPr>
        <w:t>Launch MEOK HATCH v1: </w:t>
      </w:r>
      <w:r>
        <w:t>Web-based character hatching with 3 LLM providers (GPT-4o, Claude, Llama), personality engine, auto-compliance. Target: 10,000 characters hatched.</w:t>
      </w:r>
    </w:p>
    <w:p>
      <w:pPr>
        <w:pStyle w:val="Heading2"/>
      </w:pPr>
      <w:r>
        <w:t>Phase 2: Platform (Days 31-60)</w:t>
      </w:r>
    </w:p>
    <w:p>
      <w:pPr>
        <w:numPr>
          <w:ilvl w:val="0"/>
          <w:numId w:val="1"/>
        </w:numPr>
      </w:pPr>
      <w:r>
        <w:rPr>
          <w:b/>
          <w:color w:val="007888"/>
        </w:rPr>
        <w:t>Build the compliance map: </w:t>
      </w:r>
      <w:r>
        <w:t>Map all EU AI Act requirements onto Member State coordinates. Create interactive compliance heat map. Launch as free tool for viral growth.</w:t>
      </w:r>
    </w:p>
    <w:p>
      <w:pPr>
        <w:numPr>
          <w:ilvl w:val="0"/>
          <w:numId w:val="1"/>
        </w:numPr>
      </w:pPr>
      <w:r>
        <w:rPr>
          <w:b/>
          <w:color w:val="007888"/>
        </w:rPr>
        <w:t>Build Unity/Unreal plugins: </w:t>
      </w:r>
      <w:r>
        <w:t>MEOK Characters SDK for gaming integration. Partner with 3 indie studios for beta.</w:t>
      </w:r>
    </w:p>
    <w:p>
      <w:pPr>
        <w:numPr>
          <w:ilvl w:val="0"/>
          <w:numId w:val="1"/>
        </w:numPr>
      </w:pPr>
      <w:r>
        <w:rPr>
          <w:b/>
          <w:color w:val="007888"/>
        </w:rPr>
        <w:t>Launch character marketplace: </w:t>
      </w:r>
      <w:r>
        <w:t>Buy/sell/trade characters with 10% MEOK fee. True ownership via NFT-backed certificates.</w:t>
      </w:r>
    </w:p>
    <w:p>
      <w:pPr>
        <w:numPr>
          <w:ilvl w:val="0"/>
          <w:numId w:val="1"/>
        </w:numPr>
      </w:pPr>
      <w:r>
        <w:rPr>
          <w:b/>
          <w:color w:val="007888"/>
        </w:rPr>
        <w:t>Integrate ArkForge Trust Layer: </w:t>
      </w:r>
      <w:r>
        <w:t>Characters earn trust scores based on behavior. High-trust characters unlock premium features.</w:t>
      </w:r>
    </w:p>
    <w:p>
      <w:pPr>
        <w:numPr>
          <w:ilvl w:val="0"/>
          <w:numId w:val="1"/>
        </w:numPr>
      </w:pPr>
      <w:r>
        <w:rPr>
          <w:b/>
          <w:color w:val="007888"/>
        </w:rPr>
        <w:t>Register MCP Server Card standard: </w:t>
      </w:r>
      <w:r>
        <w:t>Publish the compliance Server Card spec. Require it for all MEOK MCPs.</w:t>
      </w:r>
    </w:p>
    <w:p>
      <w:pPr>
        <w:pStyle w:val="Heading2"/>
      </w:pPr>
      <w:r>
        <w:t>Phase 3: Scale (Days 61-90)</w:t>
      </w:r>
    </w:p>
    <w:p>
      <w:pPr>
        <w:numPr>
          <w:ilvl w:val="0"/>
          <w:numId w:val="1"/>
        </w:numPr>
      </w:pPr>
      <w:r>
        <w:rPr>
          <w:b/>
          <w:color w:val="007888"/>
        </w:rPr>
        <w:t>Sign 1 major AI partnership: </w:t>
      </w:r>
      <w:r>
        <w:t>OpenAI or Anthropic integrates MEOK Characters SDK. Their models power our characters (distribution).</w:t>
      </w:r>
    </w:p>
    <w:p>
      <w:pPr>
        <w:numPr>
          <w:ilvl w:val="0"/>
          <w:numId w:val="1"/>
        </w:numPr>
      </w:pPr>
      <w:r>
        <w:rPr>
          <w:b/>
          <w:color w:val="007888"/>
        </w:rPr>
        <w:t>Launch Enterprise Characters: </w:t>
      </w:r>
      <w:r>
        <w:t>Branded AI assistants with full compliance + audit trail. Target: 5 enterprise clients.</w:t>
      </w:r>
    </w:p>
    <w:p>
      <w:pPr>
        <w:numPr>
          <w:ilvl w:val="0"/>
          <w:numId w:val="1"/>
        </w:numPr>
      </w:pPr>
      <w:r>
        <w:rPr>
          <w:b/>
          <w:color w:val="007888"/>
        </w:rPr>
        <w:t>Pitch 3 government bodies: </w:t>
      </w:r>
      <w:r>
        <w:t>Offer RegGeoInt as 'the technology layer for AI Act enforcement.' Secure first government reference.</w:t>
      </w:r>
    </w:p>
    <w:p>
      <w:pPr>
        <w:numPr>
          <w:ilvl w:val="0"/>
          <w:numId w:val="1"/>
        </w:numPr>
      </w:pPr>
      <w:r>
        <w:rPr>
          <w:b/>
          <w:color w:val="007888"/>
        </w:rPr>
        <w:t>List on Snowflake Marketplace: </w:t>
      </w:r>
      <w:r>
        <w:t>Launch EU AI Act compliance dataset. Target: 100 enterprise data consumers.</w:t>
      </w:r>
    </w:p>
    <w:p>
      <w:pPr>
        <w:numPr>
          <w:ilvl w:val="0"/>
          <w:numId w:val="1"/>
        </w:numPr>
      </w:pPr>
      <w:r>
        <w:rPr>
          <w:b/>
          <w:color w:val="007888"/>
        </w:rPr>
        <w:t>Close first defense contract: </w:t>
      </w:r>
      <w:r>
        <w:t>Position as 'Anduril Lattice OS for compliance.' Theater-level regulatory mapping for NATO.</w:t>
      </w:r>
    </w:p>
    <w:p>
      <w:pPr>
        <w:pStyle w:val="Heading1"/>
      </w:pPr>
      <w:r>
        <w:t>Risk Assessment &amp; Mitigation</w:t>
      </w:r>
      <w:bookmarkStart w:name="_Toc008" w:id="9"/>
      <w:bookmarkEnd w:id="9"/>
    </w:p>
    <w:tbl>
      <w:tblPr>
        <w:tblW w:w="5000" w:type="pct"/>
        <w:tblBorders>
          <w:top w:val="single" w:color="0a0f14" w:sz="12"/>
          <w:left w:val="nil"/>
          <w:bottom w:val="single" w:color="0a0f14" w:sz="12"/>
          <w:right w:val="nil"/>
          <w:insideH w:val="single" w:color="e2e8f0" w:sz="4"/>
        </w:tblBorders>
      </w:tblPr>
      <w:tblGrid>
        <w:gridCol w:w="2500"/>
        <w:gridCol w:w="2500"/>
        <w:gridCol w:w="2500"/>
        <w:gridCol w:w="2500"/>
      </w:tblGrid>
      <w:tr>
        <w:trPr>
          <w:tblHeader/>
        </w:trPr>
        <w:tc>
          <w:tcPr>
            <w:tcW w:w="2500" w:type="dxa"/>
            <w:shd w:val="clear" w:fill="f0f4f8"/>
          </w:tcPr>
          <w:p>
            <w:pPr>
              <w:spacing w:before="40" w:after="40"/>
              <w:jc w:val="left"/>
            </w:pPr>
            <w:r>
              <w:rPr>
                <w:b/>
                <w:color w:val="1a2a3a"/>
                <w:sz w:val="18"/>
              </w:rPr>
              <w:t>Risk</w:t>
            </w:r>
          </w:p>
        </w:tc>
        <w:tc>
          <w:tcPr>
            <w:tcW w:w="2500" w:type="dxa"/>
            <w:shd w:val="clear" w:fill="f0f4f8"/>
          </w:tcPr>
          <w:p>
            <w:pPr>
              <w:spacing w:before="40" w:after="40"/>
              <w:jc w:val="left"/>
            </w:pPr>
            <w:r>
              <w:rPr>
                <w:b/>
                <w:color w:val="1a2a3a"/>
                <w:sz w:val="18"/>
              </w:rPr>
              <w:t>Probability</w:t>
            </w:r>
          </w:p>
        </w:tc>
        <w:tc>
          <w:tcPr>
            <w:tcW w:w="2500" w:type="dxa"/>
            <w:shd w:val="clear" w:fill="f0f4f8"/>
          </w:tcPr>
          <w:p>
            <w:pPr>
              <w:spacing w:before="40" w:after="40"/>
              <w:jc w:val="left"/>
            </w:pPr>
            <w:r>
              <w:rPr>
                <w:b/>
                <w:color w:val="1a2a3a"/>
                <w:sz w:val="18"/>
              </w:rPr>
              <w:t>Impact</w:t>
            </w:r>
          </w:p>
        </w:tc>
        <w:tc>
          <w:tcPr>
            <w:tcW w:w="2500" w:type="dxa"/>
            <w:shd w:val="clear" w:fill="f0f4f8"/>
          </w:tcPr>
          <w:p>
            <w:pPr>
              <w:spacing w:before="40" w:after="40"/>
              <w:jc w:val="left"/>
            </w:pPr>
            <w:r>
              <w:rPr>
                <w:b/>
                <w:color w:val="1a2a3a"/>
                <w:sz w:val="18"/>
              </w:rPr>
              <w:t>Mitigation</w:t>
            </w:r>
          </w:p>
        </w:tc>
      </w:tr>
      <w:tr>
        <w:tc>
          <w:tcPr>
            <w:tcW w:w="2500" w:type="dxa"/>
          </w:tcPr>
          <w:p>
            <w:pPr>
              <w:spacing w:before="40" w:after="40"/>
              <w:jc w:val="left"/>
            </w:pPr>
            <w:r>
              <w:rPr>
                <w:color w:val="4a5568"/>
                <w:sz w:val="18"/>
              </w:rPr>
              <w:t>Competitor copies RegGeoInt</w:t>
            </w:r>
          </w:p>
        </w:tc>
        <w:tc>
          <w:tcPr>
            <w:tcW w:w="2500" w:type="dxa"/>
          </w:tcPr>
          <w:p>
            <w:pPr>
              <w:spacing w:before="40" w:after="40"/>
              <w:jc w:val="left"/>
            </w:pPr>
            <w:r>
              <w:rPr>
                <w:color w:val="4a5568"/>
                <w:sz w:val="18"/>
              </w:rPr>
              <w:t>Medium</w:t>
            </w:r>
          </w:p>
        </w:tc>
        <w:tc>
          <w:tcPr>
            <w:tcW w:w="2500" w:type="dxa"/>
          </w:tcPr>
          <w:p>
            <w:pPr>
              <w:spacing w:before="40" w:after="40"/>
              <w:jc w:val="left"/>
            </w:pPr>
            <w:r>
              <w:rPr>
                <w:color w:val="4a5568"/>
                <w:sz w:val="18"/>
              </w:rPr>
              <w:t>High</w:t>
            </w:r>
          </w:p>
        </w:tc>
        <w:tc>
          <w:tcPr>
            <w:tcW w:w="2500" w:type="dxa"/>
          </w:tcPr>
          <w:p>
            <w:pPr>
              <w:spacing w:before="40" w:after="40"/>
              <w:jc w:val="left"/>
            </w:pPr>
            <w:r>
              <w:rPr>
                <w:color w:val="4a5568"/>
                <w:sz w:val="18"/>
              </w:rPr>
              <w:t>47 MCPs = 2-year replication barrier. Move fast.</w:t>
            </w:r>
          </w:p>
        </w:tc>
      </w:tr>
      <w:tr>
        <w:tc>
          <w:tcPr>
            <w:tcW w:w="2500" w:type="dxa"/>
          </w:tcPr>
          <w:p>
            <w:pPr>
              <w:spacing w:before="40" w:after="40"/>
              <w:jc w:val="left"/>
            </w:pPr>
            <w:r>
              <w:rPr>
                <w:color w:val="4a5568"/>
                <w:sz w:val="18"/>
              </w:rPr>
              <w:t>EU AI Act delayed</w:t>
            </w:r>
          </w:p>
        </w:tc>
        <w:tc>
          <w:tcPr>
            <w:tcW w:w="2500" w:type="dxa"/>
          </w:tcPr>
          <w:p>
            <w:pPr>
              <w:spacing w:before="40" w:after="40"/>
              <w:jc w:val="left"/>
            </w:pPr>
            <w:r>
              <w:rPr>
                <w:color w:val="4a5568"/>
                <w:sz w:val="18"/>
              </w:rPr>
              <w:t>Low</w:t>
            </w:r>
          </w:p>
        </w:tc>
        <w:tc>
          <w:tcPr>
            <w:tcW w:w="2500" w:type="dxa"/>
          </w:tcPr>
          <w:p>
            <w:pPr>
              <w:spacing w:before="40" w:after="40"/>
              <w:jc w:val="left"/>
            </w:pPr>
            <w:r>
              <w:rPr>
                <w:color w:val="4a5568"/>
                <w:sz w:val="18"/>
              </w:rPr>
              <w:t>Medium</w:t>
            </w:r>
          </w:p>
        </w:tc>
        <w:tc>
          <w:tcPr>
            <w:tcW w:w="2500" w:type="dxa"/>
          </w:tcPr>
          <w:p>
            <w:pPr>
              <w:spacing w:before="40" w:after="40"/>
              <w:jc w:val="left"/>
            </w:pPr>
            <w:r>
              <w:rPr>
                <w:color w:val="4a5568"/>
                <w:sz w:val="18"/>
              </w:rPr>
              <w:t>Other frameworks (DORA, NIS2, HIPAA) still need mapping.</w:t>
            </w:r>
          </w:p>
        </w:tc>
      </w:tr>
      <w:tr>
        <w:tc>
          <w:tcPr>
            <w:tcW w:w="2500" w:type="dxa"/>
          </w:tcPr>
          <w:p>
            <w:pPr>
              <w:spacing w:before="40" w:after="40"/>
              <w:jc w:val="left"/>
            </w:pPr>
            <w:r>
              <w:rPr>
                <w:color w:val="4a5568"/>
                <w:sz w:val="18"/>
              </w:rPr>
              <w:t>Character.AI recovers</w:t>
            </w:r>
          </w:p>
        </w:tc>
        <w:tc>
          <w:tcPr>
            <w:tcW w:w="2500" w:type="dxa"/>
          </w:tcPr>
          <w:p>
            <w:pPr>
              <w:spacing w:before="40" w:after="40"/>
              <w:jc w:val="left"/>
            </w:pPr>
            <w:r>
              <w:rPr>
                <w:color w:val="4a5568"/>
                <w:sz w:val="18"/>
              </w:rPr>
              <w:t>Low</w:t>
            </w:r>
          </w:p>
        </w:tc>
        <w:tc>
          <w:tcPr>
            <w:tcW w:w="2500" w:type="dxa"/>
          </w:tcPr>
          <w:p>
            <w:pPr>
              <w:spacing w:before="40" w:after="40"/>
              <w:jc w:val="left"/>
            </w:pPr>
            <w:r>
              <w:rPr>
                <w:color w:val="4a5568"/>
                <w:sz w:val="18"/>
              </w:rPr>
              <w:t>Low</w:t>
            </w:r>
          </w:p>
        </w:tc>
        <w:tc>
          <w:tcPr>
            <w:tcW w:w="2500" w:type="dxa"/>
          </w:tcPr>
          <w:p>
            <w:pPr>
              <w:spacing w:before="40" w:after="40"/>
              <w:jc w:val="left"/>
            </w:pPr>
            <w:r>
              <w:rPr>
                <w:color w:val="4a5568"/>
                <w:sz w:val="18"/>
              </w:rPr>
              <w:t>They lack compliance DNA. Different market segment.</w:t>
            </w:r>
          </w:p>
        </w:tc>
      </w:tr>
      <w:tr>
        <w:tc>
          <w:tcPr>
            <w:tcW w:w="2500" w:type="dxa"/>
          </w:tcPr>
          <w:p>
            <w:pPr>
              <w:spacing w:before="40" w:after="40"/>
              <w:jc w:val="left"/>
            </w:pPr>
            <w:r>
              <w:rPr>
                <w:color w:val="4a5568"/>
                <w:sz w:val="18"/>
              </w:rPr>
              <w:t>Compute costs for HATCH</w:t>
            </w:r>
          </w:p>
        </w:tc>
        <w:tc>
          <w:tcPr>
            <w:tcW w:w="2500" w:type="dxa"/>
          </w:tcPr>
          <w:p>
            <w:pPr>
              <w:spacing w:before="40" w:after="40"/>
              <w:jc w:val="left"/>
            </w:pPr>
            <w:r>
              <w:rPr>
                <w:color w:val="4a5568"/>
                <w:sz w:val="18"/>
              </w:rPr>
              <w:t>Medium</w:t>
            </w:r>
          </w:p>
        </w:tc>
        <w:tc>
          <w:tcPr>
            <w:tcW w:w="2500" w:type="dxa"/>
          </w:tcPr>
          <w:p>
            <w:pPr>
              <w:spacing w:before="40" w:after="40"/>
              <w:jc w:val="left"/>
            </w:pPr>
            <w:r>
              <w:rPr>
                <w:color w:val="4a5568"/>
                <w:sz w:val="18"/>
              </w:rPr>
              <w:t>Medium</w:t>
            </w:r>
          </w:p>
        </w:tc>
        <w:tc>
          <w:tcPr>
            <w:tcW w:w="2500" w:type="dxa"/>
          </w:tcPr>
          <w:p>
            <w:pPr>
              <w:spacing w:before="40" w:after="40"/>
              <w:jc w:val="left"/>
            </w:pPr>
            <w:r>
              <w:rPr>
                <w:color w:val="4a5568"/>
                <w:sz w:val="18"/>
              </w:rPr>
              <w:t>Use client-side LLMs (Ollama) for free tier.</w:t>
            </w:r>
          </w:p>
        </w:tc>
      </w:tr>
      <w:tr>
        <w:tc>
          <w:tcPr>
            <w:tcW w:w="2500" w:type="dxa"/>
          </w:tcPr>
          <w:p>
            <w:pPr>
              <w:spacing w:before="40" w:after="40"/>
              <w:jc w:val="left"/>
            </w:pPr>
            <w:r>
              <w:rPr>
                <w:color w:val="4a5568"/>
                <w:sz w:val="18"/>
              </w:rPr>
              <w:t>Solo founder bandwidth</w:t>
            </w:r>
          </w:p>
        </w:tc>
        <w:tc>
          <w:tcPr>
            <w:tcW w:w="2500" w:type="dxa"/>
          </w:tcPr>
          <w:p>
            <w:pPr>
              <w:spacing w:before="40" w:after="40"/>
              <w:jc w:val="left"/>
            </w:pPr>
            <w:r>
              <w:rPr>
                <w:color w:val="4a5568"/>
                <w:sz w:val="18"/>
              </w:rPr>
              <w:t>High</w:t>
            </w:r>
          </w:p>
        </w:tc>
        <w:tc>
          <w:tcPr>
            <w:tcW w:w="2500" w:type="dxa"/>
          </w:tcPr>
          <w:p>
            <w:pPr>
              <w:spacing w:before="40" w:after="40"/>
              <w:jc w:val="left"/>
            </w:pPr>
            <w:r>
              <w:rPr>
                <w:color w:val="4a5568"/>
                <w:sz w:val="18"/>
              </w:rPr>
              <w:t>High</w:t>
            </w:r>
          </w:p>
        </w:tc>
        <w:tc>
          <w:tcPr>
            <w:tcW w:w="2500" w:type="dxa"/>
          </w:tcPr>
          <w:p>
            <w:pPr>
              <w:spacing w:before="40" w:after="40"/>
              <w:jc w:val="left"/>
            </w:pPr>
            <w:r>
              <w:rPr>
                <w:color w:val="4a5568"/>
                <w:sz w:val="18"/>
              </w:rPr>
              <w:t>Open source community + strategic partnerships.</w:t>
            </w:r>
          </w:p>
        </w:tc>
      </w:tr>
      <w:tr>
        <w:tc>
          <w:tcPr>
            <w:tcW w:w="2500" w:type="dxa"/>
          </w:tcPr>
          <w:p>
            <w:pPr>
              <w:spacing w:before="40" w:after="40"/>
              <w:jc w:val="left"/>
            </w:pPr>
            <w:r>
              <w:rPr>
                <w:color w:val="4a5568"/>
                <w:sz w:val="18"/>
              </w:rPr>
              <w:t>Open source sustainability</w:t>
            </w:r>
          </w:p>
        </w:tc>
        <w:tc>
          <w:tcPr>
            <w:tcW w:w="2500" w:type="dxa"/>
          </w:tcPr>
          <w:p>
            <w:pPr>
              <w:spacing w:before="40" w:after="40"/>
              <w:jc w:val="left"/>
            </w:pPr>
            <w:r>
              <w:rPr>
                <w:color w:val="4a5568"/>
                <w:sz w:val="18"/>
              </w:rPr>
              <w:t>Medium</w:t>
            </w:r>
          </w:p>
        </w:tc>
        <w:tc>
          <w:tcPr>
            <w:tcW w:w="2500" w:type="dxa"/>
          </w:tcPr>
          <w:p>
            <w:pPr>
              <w:spacing w:before="40" w:after="40"/>
              <w:jc w:val="left"/>
            </w:pPr>
            <w:r>
              <w:rPr>
                <w:color w:val="4a5568"/>
                <w:sz w:val="18"/>
              </w:rPr>
              <w:t>Medium</w:t>
            </w:r>
          </w:p>
        </w:tc>
        <w:tc>
          <w:tcPr>
            <w:tcW w:w="2500" w:type="dxa"/>
          </w:tcPr>
          <w:p>
            <w:pPr>
              <w:spacing w:before="40" w:after="40"/>
              <w:jc w:val="left"/>
            </w:pPr>
            <w:r>
              <w:rPr>
                <w:color w:val="4a5568"/>
                <w:sz w:val="18"/>
              </w:rPr>
              <w:t>BSL license for enterprise. Free for non-production.</w:t>
            </w:r>
          </w:p>
        </w:tc>
      </w:tr>
    </w:tbl>
    <w:p>
      <w:r>
        <w:t>The biggest risk is execution speed. The window between now (June 2026) and EU AI Act full enforcement (August 2026) is 60 days. Every day that passes without MEOK's compliance map live is a day that competitors could catch up. The 90-day sprint must start immediately.</w:t>
      </w:r>
    </w:p>
    <w:p>
      <w:pPr>
        <w:sectPr>
          <w:headerReference w:type="default" r:id="Re1dca687af464208"/>
          <w:footerReference w:type="default" r:id="R2245941046994a63"/>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756795922d934b02"/>
                    <a:stretch>
                      <a:fillRect/>
                    </a:stretch>
                  </pic:blipFill>
                  <pic:spPr>
                    <a:xfrm>
                      <a:off x="0" y="0"/>
                      <a:ext cx="7560000" cy="10692000"/>
                    </a:xfrm>
                    <a:prstGeom prst="rect"/>
                  </pic:spPr>
                </pic:pic>
              </a:graphicData>
            </a:graphic>
          </wp:anchor>
        </w:drawing>
      </w:r>
    </w:p>
    <w:p>
      <w:pPr>
        <w:spacing w:before="6500"/>
        <w:jc w:val="center"/>
      </w:pPr>
      <w:r>
        <w:rPr>
          <w:b/>
          <w:color w:val="00bca8"/>
          <w:sz w:val="56"/>
        </w:rPr>
        <w:t>MEOK DATA</w:t>
      </w:r>
    </w:p>
    <w:p>
      <w:pPr>
        <w:spacing w:before="300"/>
        <w:jc w:val="center"/>
      </w:pPr>
      <w:r>
        <w:rPr>
          <w:color w:val="8899aa"/>
          <w:sz w:val="22"/>
        </w:rPr>
        <w:t>The Regulatory Geospatial Intelligence Layer</w:t>
      </w:r>
    </w:p>
    <w:p>
      <w:pPr>
        <w:spacing w:before="600"/>
        <w:jc w:val="center"/>
      </w:pPr>
      <w:r>
        <w:rPr>
          <w:color w:val="667788"/>
          <w:sz w:val="18"/>
        </w:rPr>
        <w:t>meok.ai | councilof.ai | nicholas@meok.ai | London, UK</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w="http://schemas.openxmlformats.org/wordprocessingml/2006/main">
  <w:p>
    <w:pPr>
      <w:jc w:val="right"/>
    </w:pPr>
    <w:r>
      <w:rPr>
        <w:color w:val="718096"/>
        <w:sz w:val="18"/>
      </w:rPr>
      <w:t>MEOK Deep Research | Confidential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1a2a3a"/>
      <w:sz w:val="21"/>
    </w:rPr>
  </w:style>
  <w:style w:type="paragraph" w:styleId="Heading1">
    <w:name w:val="heading 1"/>
    <w:basedOn w:val="Normal"/>
    <w:pPr>
      <w:keepNext/>
      <w:keepLines/>
      <w:spacing w:before="600" w:after="240"/>
      <w:outlineLvl w:val="0"/>
    </w:pPr>
    <w:rPr>
      <w:rFonts w:ascii="Calibri" w:hAnsi="Calibri" w:eastAsia="Microsoft YaHei"/>
      <w:b/>
      <w:color w:val="0a0f14"/>
      <w:sz w:val="40"/>
    </w:rPr>
  </w:style>
  <w:style w:type="paragraph" w:styleId="Heading2">
    <w:name w:val="heading 2"/>
    <w:basedOn w:val="Normal"/>
    <w:pPr>
      <w:keepNext/>
      <w:keepLines/>
      <w:spacing w:before="400" w:after="160"/>
      <w:outlineLvl w:val="1"/>
    </w:pPr>
    <w:rPr>
      <w:rFonts w:ascii="Calibri" w:hAnsi="Calibri" w:eastAsia="Microsoft YaHei"/>
      <w:b/>
      <w:color w:val="007888"/>
      <w:sz w:val="30"/>
    </w:rPr>
  </w:style>
  <w:style w:type="paragraph" w:styleId="Heading3">
    <w:name w:val="heading 3"/>
    <w:basedOn w:val="Normal"/>
    <w:pPr>
      <w:keepNext/>
      <w:keepLines/>
      <w:spacing w:before="280" w:after="120"/>
      <w:outlineLvl w:val="2"/>
    </w:pPr>
    <w:rPr>
      <w:rFonts w:ascii="Calibri" w:hAnsi="Calibri" w:eastAsia="Microsoft YaHei"/>
      <w:b/>
      <w:color w:val="4a5568"/>
      <w:sz w:val="26"/>
    </w:rPr>
  </w:style>
  <w:style w:type="paragraph" w:styleId="Caption">
    <w:name w:val="Caption"/>
    <w:basedOn w:val="Normal"/>
    <w:pPr>
      <w:spacing w:before="60" w:after="320"/>
      <w:jc w:val="center"/>
    </w:pPr>
    <w:rPr>
      <w:color w:val="718096"/>
      <w:sz w:val="20"/>
    </w:rPr>
  </w:style>
  <w:style w:type="paragraph" w:styleId="TOC1">
    <w:name w:val="toc 1"/>
    <w:basedOn w:val="Normal"/>
    <w:pPr>
      <w:tabs>
        <w:tab w:val="right" w:leader="dot" w:pos="9350"/>
      </w:tabs>
      <w:spacing w:before="200" w:after="60"/>
      <w:ind w:left="0"/>
    </w:pPr>
    <w:rPr>
      <w:b/>
      <w:color w:val="1a2a3a"/>
    </w:rPr>
  </w:style>
  <w:style w:type="paragraph" w:styleId="TOC2">
    <w:name w:val="toc 2"/>
    <w:basedOn w:val="Normal"/>
    <w:pPr>
      <w:tabs>
        <w:tab w:val="right" w:leader="dot" w:pos="9350"/>
      </w:tabs>
      <w:spacing w:before="60" w:after="60"/>
      <w:ind w:left="360"/>
    </w:pPr>
    <w:rPr>
      <w:color w:val="4a5568"/>
    </w:rPr>
  </w:style>
  <w:style w:type="paragraph" w:styleId="TOC3">
    <w:name w:val="toc 3"/>
    <w:basedOn w:val="Normal"/>
    <w:pPr>
      <w:tabs>
        <w:tab w:val="right" w:leader="dot" w:pos="9350"/>
      </w:tabs>
      <w:spacing w:before="60" w:after="6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427da41ac6444f64" /><Relationship Type="http://schemas.openxmlformats.org/officeDocument/2006/relationships/numbering" Target="numbering.xml" Id="R521cdfe0db3849ba" /><Relationship Type="http://schemas.openxmlformats.org/officeDocument/2006/relationships/image" Target="media/image.png" Id="Rd439a492f4be4076" /><Relationship Type="http://schemas.openxmlformats.org/officeDocument/2006/relationships/image" Target="media/image2.png" Id="R756795922d934b02" /><Relationship Type="http://schemas.openxmlformats.org/officeDocument/2006/relationships/header" Target="header1.xml" Id="Re1dca687af464208" /><Relationship Type="http://schemas.openxmlformats.org/officeDocument/2006/relationships/footer" Target="footer1.xml" Id="R2245941046994a63" /><Relationship Type="http://schemas.openxmlformats.org/officeDocument/2006/relationships/settings" Target="settings.xml" Id="R9cee869ba6cb420b" /></Relationships>
</file>