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peration-dragons-breath"/>
    <w:p>
      <w:pPr>
        <w:pStyle w:val="Heading1"/>
      </w:pPr>
      <w:r>
        <w:t xml:space="preserve">OPERATION DRAGON’S BREATH</w:t>
      </w:r>
    </w:p>
    <w:bookmarkEnd w:id="20"/>
    <w:bookmarkStart w:id="104" w:name="X8aa3ba3bee6670ddd2497d9093c64b0c014c58c"/>
    <w:p>
      <w:pPr>
        <w:pStyle w:val="Heading1"/>
      </w:pPr>
      <w:r>
        <w:t xml:space="preserve">The Complete SOV3 Competitive War Dossier</w:t>
      </w:r>
    </w:p>
    <w:p>
      <w:pPr>
        <w:pStyle w:val="BlockText"/>
      </w:pPr>
      <w:r>
        <w:rPr>
          <w:bCs/>
          <w:b/>
        </w:rPr>
        <w:t xml:space="preserve">Classification:</w:t>
      </w:r>
      <w:r>
        <w:t xml:space="preserve"> </w:t>
      </w:r>
      <w:r>
        <w:t xml:space="preserve">DRAGON EYES ONLY</w:t>
      </w:r>
      <w:r>
        <w:t xml:space="preserve"> </w:t>
      </w:r>
      <w:r>
        <w:rPr>
          <w:bCs/>
          <w:b/>
        </w:rPr>
        <w:t xml:space="preserve">Date:</w:t>
      </w:r>
      <w:r>
        <w:t xml:space="preserve"> </w:t>
      </w:r>
      <w:r>
        <w:t xml:space="preserve">June 7, 2026 (T-27 days to launch)</w:t>
      </w:r>
      <w:r>
        <w:t xml:space="preserve"> </w:t>
      </w:r>
      <w:r>
        <w:rPr>
          <w:bCs/>
          <w:b/>
        </w:rPr>
        <w:t xml:space="preserve">Prepared For:</w:t>
      </w:r>
      <w:r>
        <w:t xml:space="preserve"> </w:t>
      </w:r>
      <w:r>
        <w:t xml:space="preserve">Nick Templeman, SOV3</w:t>
      </w:r>
      <w:r>
        <w:t xml:space="preserve"> </w:t>
      </w:r>
      <w:r>
        <w:rPr>
          <w:bCs/>
          <w:b/>
        </w:rPr>
        <w:t xml:space="preserve">Mission:</w:t>
      </w:r>
      <w:r>
        <w:t xml:space="preserve"> </w:t>
      </w:r>
      <w:r>
        <w:t xml:space="preserve">Systematic competitive depletion through July 4, 2026 launch</w:t>
      </w:r>
    </w:p>
    <w:p>
      <w:r>
        <w:pict>
          <v:rect style="width:0;height:1.5pt" o:hralign="center" o:hrstd="t" o:hr="t"/>
        </w:pict>
      </w:r>
    </w:p>
    <w:bookmarkStart w:id="25" w:name="Xe86f58db5ec640a3954e50438426fe1906c3bca"/>
    <w:p>
      <w:pPr>
        <w:pStyle w:val="Heading2"/>
      </w:pPr>
      <w:r>
        <w:t xml:space="preserve">1. Executive Intelligence Brief: The Nuclear Arsenal</w:t>
      </w:r>
    </w:p>
    <w:p>
      <w:pPr>
        <w:pStyle w:val="FirstParagraph"/>
      </w:pPr>
      <w:r>
        <w:rPr>
          <w:bCs/>
          <w:b/>
        </w:rPr>
        <w:t xml:space="preserve">Classification: STRATEGIC COMMAND EYES ONLY</w:t>
      </w:r>
      <w:r>
        <w:t xml:space="preserve"> </w:t>
      </w:r>
      <w:r>
        <w:rPr>
          <w:bCs/>
          <w:b/>
        </w:rPr>
        <w:t xml:space="preserve">Date: June 2026 | Subject: SOV3 Competitive Warfare — Pre-Strike Intelligence Assessment</w:t>
      </w:r>
    </w:p>
    <w:p>
      <w:r>
        <w:pict>
          <v:rect style="width:0;height:1.5pt" o:hralign="center" o:hrstd="t" o:hr="t"/>
        </w:pict>
      </w:r>
    </w:p>
    <w:p>
      <w:pPr>
        <w:pStyle w:val="FirstParagraph"/>
      </w:pPr>
      <w:r>
        <w:t xml:space="preserve">You are about to read the most complete intelligence picture ever assembled on SOV3’s competitive battlespace. Every claim that follows has been cross-verified across multiple independent sources. Every number has been checked against primary records. Every conclusion has been stress-tested against contradiction. What emerges is not a list of observations — it is a targeting package.</w:t>
      </w:r>
    </w:p>
    <w:p>
      <w:pPr>
        <w:pStyle w:val="BodyText"/>
      </w:pPr>
      <w:r>
        <w:t xml:space="preserve">Twenty findings carry</w:t>
      </w:r>
      <w:r>
        <w:t xml:space="preserve"> </w:t>
      </w:r>
      <w:r>
        <w:rPr>
          <w:bCs/>
          <w:b/>
        </w:rPr>
        <w:t xml:space="preserve">High Confidence</w:t>
      </w:r>
      <w:r>
        <w:t xml:space="preserve"> </w:t>
      </w:r>
      <w:r>
        <w:t xml:space="preserve">status, meaning two or more independent sources confirm them. Ten additional findings carry</w:t>
      </w:r>
      <w:r>
        <w:t xml:space="preserve"> </w:t>
      </w:r>
      <w:r>
        <w:rPr>
          <w:bCs/>
          <w:b/>
        </w:rPr>
        <w:t xml:space="preserve">Medium Confidence</w:t>
      </w:r>
      <w:r>
        <w:t xml:space="preserve">, meaning one authoritative source supports them. Zero conflicts remain unresolved. The battlefield is mapped. The enemy’s positions are exposed. The window of advantage is narrow and closing.</w:t>
      </w:r>
    </w:p>
    <w:p>
      <w:pPr>
        <w:pStyle w:val="BodyText"/>
      </w:pPr>
      <w:r>
        <w:t xml:space="preserve">This is the war plan.</w:t>
      </w:r>
    </w:p>
    <w:p>
      <w:r>
        <w:pict>
          <v:rect style="width:0;height:1.5pt" o:hralign="center" o:hrstd="t" o:hr="t"/>
        </w:pict>
      </w:r>
    </w:p>
    <w:bookmarkStart w:id="21" w:name="the-10-insights-that-win-this-war"/>
    <w:p>
      <w:pPr>
        <w:pStyle w:val="Heading3"/>
      </w:pPr>
      <w:r>
        <w:t xml:space="preserve">1.1 The 10 Insights That Win This War</w:t>
      </w:r>
    </w:p>
    <w:p>
      <w:pPr>
        <w:pStyle w:val="FirstParagraph"/>
      </w:pPr>
      <w:r>
        <w:t xml:space="preserve">These ten insights are not arranged by discovery order. They are arranged by</w:t>
      </w:r>
      <w:r>
        <w:t xml:space="preserve"> </w:t>
      </w:r>
      <w:r>
        <w:rPr>
          <w:bCs/>
          <w:b/>
        </w:rPr>
        <w:t xml:space="preserve">strategic impact</w:t>
      </w:r>
      <w:r>
        <w:t xml:space="preserve"> </w:t>
      </w:r>
      <w:r>
        <w:t xml:space="preserve">— from the weapons-grade opportunities that can reshape markets, to the tactical advantages that win the first 90 days. Each insight includes: what it is, why it matters, and the specific action it enables.</w:t>
      </w:r>
    </w:p>
    <w:p>
      <w:r>
        <w:pict>
          <v:rect style="width:0;height:1.5pt" o:hralign="center" o:hrstd="t" o:hr="t"/>
        </w:pict>
      </w:r>
    </w:p>
    <w:p>
      <w:pPr>
        <w:pStyle w:val="FirstParagraph"/>
      </w:pPr>
      <w:r>
        <w:rPr>
          <w:bCs/>
          <w:b/>
        </w:rPr>
        <w:t xml:space="preserve">Insight 1: The</w:t>
      </w:r>
      <w:r>
        <w:rPr>
          <w:bCs/>
          <w:b/>
        </w:rPr>
        <w:t xml:space="preserve"> </w:t>
      </w:r>
      <w:r>
        <w:rPr>
          <w:bCs/>
          <w:b/>
        </w:rPr>
        <w:t xml:space="preserve">“</w:t>
      </w:r>
      <w:r>
        <w:rPr>
          <w:bCs/>
          <w:b/>
        </w:rPr>
        <w:t xml:space="preserve">Stock Split Convergence</w:t>
      </w:r>
      <w:r>
        <w:rPr>
          <w:bCs/>
          <w:b/>
        </w:rPr>
        <w:t xml:space="preserve">”</w:t>
      </w:r>
      <w:r>
        <w:rPr>
          <w:bCs/>
          <w:b/>
        </w:rPr>
        <w:t xml:space="preserve"> </w:t>
      </w:r>
      <w:r>
        <w:rPr>
          <w:bCs/>
          <w:b/>
        </w:rPr>
        <w:t xml:space="preserve">— Maximum Reputational Damage at Maximum Visibility</w:t>
      </w:r>
    </w:p>
    <w:p>
      <w:pPr>
        <w:pStyle w:val="BodyText"/>
      </w:pPr>
      <w:r>
        <w:t xml:space="preserve">CrowdStrike’s 4-for-1 stock split executes July 2, 2026</w:t>
      </w:r>
      <w:r>
        <w:t xml:space="preserve"> </w:t>
      </w:r>
      <w:r>
        <w:rPr>
          <w:vertAlign w:val="superscript"/>
        </w:rPr>
        <w:t xml:space="preserve">1</w:t>
      </w:r>
      <w:r>
        <w:t xml:space="preserve">. CEO George Kurtz sold $30 million in stock between May 14 and June 2, 2026 — just weeks before the split</w:t>
      </w:r>
      <w:r>
        <w:t xml:space="preserve"> </w:t>
      </w:r>
      <w:r>
        <w:rPr>
          <w:vertAlign w:val="superscript"/>
        </w:rPr>
        <w:t xml:space="preserve">2</w:t>
      </w:r>
      <w:r>
        <w:t xml:space="preserve">. CVE-2026-40050 (LogScale path traversal, CVSS 9.8) is confirmed in the National Vulnerability Database</w:t>
      </w:r>
      <w:r>
        <w:t xml:space="preserve"> </w:t>
      </w:r>
      <w:r>
        <w:rPr>
          <w:vertAlign w:val="superscript"/>
        </w:rPr>
        <w:t xml:space="preserve">3</w:t>
      </w:r>
      <w:r>
        <w:t xml:space="preserve">. These three events converge within 48 hours of SOV3’s launch window — a once-in-a-market-cycle alignment of executive exit signals, security credibility erosion, and peak retail investor attention.</w:t>
      </w:r>
    </w:p>
    <w:p>
      <w:pPr>
        <w:pStyle w:val="BodyText"/>
      </w:pPr>
      <w:r>
        <w:rPr>
          <w:bCs/>
          <w:b/>
        </w:rPr>
        <w:t xml:space="preserve">Why it matters:</w:t>
      </w:r>
      <w:r>
        <w:t xml:space="preserve"> </w:t>
      </w:r>
      <w:r>
        <w:t xml:space="preserve">Stock splits attract media coverage and retail investor inflows. If SOV3 drops a</w:t>
      </w:r>
      <w:r>
        <w:t xml:space="preserve"> </w:t>
      </w:r>
      <w:r>
        <w:t xml:space="preserve">“</w:t>
      </w:r>
      <w:r>
        <w:t xml:space="preserve">CrowdStrike Can’t Secure Itself</w:t>
      </w:r>
      <w:r>
        <w:t xml:space="preserve">”</w:t>
      </w:r>
      <w:r>
        <w:t xml:space="preserve"> </w:t>
      </w:r>
      <w:r>
        <w:t xml:space="preserve">narrative at the exact moment the most eyes are on the stock, the reputational damage multiplies. Kurtz’s $30 million selloff becomes the story — why is the CEO exiting while retail investors are entering? The CVE provides the factual anchor.</w:t>
      </w:r>
    </w:p>
    <w:p>
      <w:pPr>
        <w:pStyle w:val="BodyText"/>
      </w:pPr>
      <w:r>
        <w:rPr>
          <w:bCs/>
          <w:b/>
        </w:rPr>
        <w:t xml:space="preserve">Action:</w:t>
      </w:r>
      <w:r>
        <w:t xml:space="preserve"> </w:t>
      </w:r>
      <w:r>
        <w:t xml:space="preserve">Prepare the</w:t>
      </w:r>
      <w:r>
        <w:t xml:space="preserve"> </w:t>
      </w:r>
      <w:r>
        <w:t xml:space="preserve">“</w:t>
      </w:r>
      <w:r>
        <w:t xml:space="preserve">CrowdStrike Security Audit</w:t>
      </w:r>
      <w:r>
        <w:t xml:space="preserve">”</w:t>
      </w:r>
      <w:r>
        <w:t xml:space="preserve"> </w:t>
      </w:r>
      <w:r>
        <w:t xml:space="preserve">report for release on July 2-3, not July 4. Strike while the stock split draws attention. The narrative writes itself: the CEO sold, the CVE proves why, and SOV3 is the alternative.</w:t>
      </w:r>
    </w:p>
    <w:p>
      <w:r>
        <w:pict>
          <v:rect style="width:0;height:1.5pt" o:hralign="center" o:hrstd="t" o:hr="t"/>
        </w:pict>
      </w:r>
    </w:p>
    <w:p>
      <w:pPr>
        <w:pStyle w:val="FirstParagraph"/>
      </w:pPr>
      <w:r>
        <w:rPr>
          <w:bCs/>
          <w:b/>
        </w:rPr>
        <w:t xml:space="preserve">Insight 2: The</w:t>
      </w:r>
      <w:r>
        <w:rPr>
          <w:bCs/>
          <w:b/>
        </w:rPr>
        <w:t xml:space="preserve"> </w:t>
      </w:r>
      <w:r>
        <w:rPr>
          <w:bCs/>
          <w:b/>
        </w:rPr>
        <w:t xml:space="preserve">“</w:t>
      </w:r>
      <w:r>
        <w:rPr>
          <w:bCs/>
          <w:b/>
        </w:rPr>
        <w:t xml:space="preserve">Funding Fiction</w:t>
      </w:r>
      <w:r>
        <w:rPr>
          <w:bCs/>
          <w:b/>
        </w:rPr>
        <w:t xml:space="preserve">”</w:t>
      </w:r>
      <w:r>
        <w:rPr>
          <w:bCs/>
          <w:b/>
        </w:rPr>
        <w:t xml:space="preserve"> </w:t>
      </w:r>
      <w:r>
        <w:rPr>
          <w:bCs/>
          <w:b/>
        </w:rPr>
        <w:t xml:space="preserve">— Competitors Are House of Cards</w:t>
      </w:r>
    </w:p>
    <w:p>
      <w:pPr>
        <w:pStyle w:val="BodyText"/>
      </w:pPr>
      <w:r>
        <w:t xml:space="preserve">Three competitors in SOV3’s direct competitive set have overstated or fabricated funding figures. NanoCo claims $63 million in total funding; Crunchbase verifies $12 million — a 5x inflation</w:t>
      </w:r>
      <w:r>
        <w:t xml:space="preserve"> </w:t>
      </w:r>
      <w:r>
        <w:rPr>
          <w:vertAlign w:val="superscript"/>
        </w:rPr>
        <w:t xml:space="preserve">4</w:t>
      </w:r>
      <w:r>
        <w:t xml:space="preserve">. Torch Security claims $30 million; no disclosed funding exists</w:t>
      </w:r>
      <w:r>
        <w:t xml:space="preserve"> </w:t>
      </w:r>
      <w:r>
        <w:rPr>
          <w:vertAlign w:val="superscript"/>
        </w:rPr>
        <w:t xml:space="preserve">5</w:t>
      </w:r>
      <w:r>
        <w:t xml:space="preserve">. Euno claims $12.5 million; verified funding is $6.25 million — a 2x inflation</w:t>
      </w:r>
      <w:r>
        <w:t xml:space="preserve"> </w:t>
      </w:r>
      <w:r>
        <w:rPr>
          <w:vertAlign w:val="superscript"/>
        </w:rPr>
        <w:t xml:space="preserve">6</w:t>
      </w:r>
      <w:r>
        <w:t xml:space="preserve">. This pattern suggests widespread</w:t>
      </w:r>
      <w:r>
        <w:t xml:space="preserve"> </w:t>
      </w:r>
      <w:r>
        <w:t xml:space="preserve">“</w:t>
      </w:r>
      <w:r>
        <w:t xml:space="preserve">funding inflation</w:t>
      </w:r>
      <w:r>
        <w:t xml:space="preserve">”</w:t>
      </w:r>
      <w:r>
        <w:t xml:space="preserve"> </w:t>
      </w:r>
      <w:r>
        <w:t xml:space="preserve">across the Tier 2 AI governance landscape.</w:t>
      </w:r>
    </w:p>
    <w:p>
      <w:pPr>
        <w:pStyle w:val="BodyText"/>
      </w:pPr>
      <w:r>
        <w:rPr>
          <w:bCs/>
          <w:b/>
        </w:rPr>
        <w:t xml:space="preserve">Why it matters:</w:t>
      </w:r>
      <w:r>
        <w:t xml:space="preserve"> </w:t>
      </w:r>
      <w:r>
        <w:t xml:space="preserve">If companies inflate funding numbers, they are likely inflating customer counts, revenue, and market traction. The entire competitive landscape is financially weaker than it appears. Straion (EUR 1.1 million, 12 employees) and NanoCo (distressed, 4 employees) are acquisition targets at fire-sale prices. One bad quarter kills them.</w:t>
      </w:r>
    </w:p>
    <w:p>
      <w:pPr>
        <w:pStyle w:val="BodyText"/>
      </w:pPr>
      <w:r>
        <w:rPr>
          <w:bCs/>
          <w:b/>
        </w:rPr>
        <w:t xml:space="preserve">Action:</w:t>
      </w:r>
      <w:r>
        <w:t xml:space="preserve"> </w:t>
      </w:r>
      <w:r>
        <w:t xml:space="preserve">Commission and publish the</w:t>
      </w:r>
      <w:r>
        <w:t xml:space="preserve"> </w:t>
      </w:r>
      <w:r>
        <w:t xml:space="preserve">“</w:t>
      </w:r>
      <w:r>
        <w:t xml:space="preserve">AI Governance Funding Truth Report.</w:t>
      </w:r>
      <w:r>
        <w:t xml:space="preserve">”</w:t>
      </w:r>
      <w:r>
        <w:t xml:space="preserve"> </w:t>
      </w:r>
      <w:r>
        <w:t xml:space="preserve">Expose these discrepancies with primary source citations. Use the report as both a media asset and a sales weapon —</w:t>
      </w:r>
      <w:r>
        <w:t xml:space="preserve"> </w:t>
      </w:r>
      <w:r>
        <w:t xml:space="preserve">“</w:t>
      </w:r>
      <w:r>
        <w:t xml:space="preserve">Before you trust a competitor’s market presence, read what they actually raised.</w:t>
      </w:r>
      <w:r>
        <w:t xml:space="preserve">”</w:t>
      </w:r>
    </w:p>
    <w:p>
      <w:r>
        <w:pict>
          <v:rect style="width:0;height:1.5pt" o:hralign="center" o:hrstd="t" o:hr="t"/>
        </w:pict>
      </w:r>
    </w:p>
    <w:p>
      <w:pPr>
        <w:pStyle w:val="FirstParagraph"/>
      </w:pPr>
      <w:r>
        <w:rPr>
          <w:bCs/>
          <w:b/>
        </w:rPr>
        <w:t xml:space="preserve">Insight 3: The</w:t>
      </w:r>
      <w:r>
        <w:rPr>
          <w:bCs/>
          <w:b/>
        </w:rPr>
        <w:t xml:space="preserve"> </w:t>
      </w:r>
      <w:r>
        <w:rPr>
          <w:bCs/>
          <w:b/>
        </w:rPr>
        <w:t xml:space="preserve">“</w:t>
      </w:r>
      <w:r>
        <w:rPr>
          <w:bCs/>
          <w:b/>
        </w:rPr>
        <w:t xml:space="preserve">Certification Desert</w:t>
      </w:r>
      <w:r>
        <w:rPr>
          <w:bCs/>
          <w:b/>
        </w:rPr>
        <w:t xml:space="preserve">”</w:t>
      </w:r>
      <w:r>
        <w:rPr>
          <w:bCs/>
          <w:b/>
        </w:rPr>
        <w:t xml:space="preserve"> </w:t>
      </w:r>
      <w:r>
        <w:rPr>
          <w:bCs/>
          <w:b/>
        </w:rPr>
        <w:t xml:space="preserve">— A New Market Category Born</w:t>
      </w:r>
    </w:p>
    <w:p>
      <w:pPr>
        <w:pStyle w:val="BodyText"/>
      </w:pPr>
      <w:r>
        <w:t xml:space="preserve">Despite $309 million in AI governance market funding in 2025-2026 and a projected $5.9 billion market by 2035</w:t>
      </w:r>
      <w:r>
        <w:t xml:space="preserve"> </w:t>
      </w:r>
      <w:r>
        <w:rPr>
          <w:vertAlign w:val="superscript"/>
        </w:rPr>
        <w:t xml:space="preserve">7</w:t>
      </w:r>
      <w:r>
        <w:t xml:space="preserve">, zero of ten competitors offer AI safety certification</w:t>
      </w:r>
      <w:r>
        <w:t xml:space="preserve"> </w:t>
      </w:r>
      <w:r>
        <w:rPr>
          <w:vertAlign w:val="superscript"/>
        </w:rPr>
        <w:t xml:space="preserve">8</w:t>
      </w:r>
      <w:r>
        <w:t xml:space="preserve">. The compliance training market ($2.67 billion growing to $5.41 billion) exists entirely separately from AI governance. EU AI Act Article 14 requires</w:t>
      </w:r>
      <w:r>
        <w:t xml:space="preserve"> </w:t>
      </w:r>
      <w:r>
        <w:t xml:space="preserve">“</w:t>
      </w:r>
      <w:r>
        <w:t xml:space="preserve">human oversight</w:t>
      </w:r>
      <w:r>
        <w:t xml:space="preserve">”</w:t>
      </w:r>
      <w:r>
        <w:t xml:space="preserve"> </w:t>
      </w:r>
      <w:r>
        <w:t xml:space="preserve">by</w:t>
      </w:r>
      <w:r>
        <w:t xml:space="preserve"> </w:t>
      </w:r>
      <w:r>
        <w:t xml:space="preserve">“</w:t>
      </w:r>
      <w:r>
        <w:t xml:space="preserve">qualified</w:t>
      </w:r>
      <w:r>
        <w:t xml:space="preserve">”</w:t>
      </w:r>
      <w:r>
        <w:t xml:space="preserve"> </w:t>
      </w:r>
      <w:r>
        <w:t xml:space="preserve">personnel — yet nobody is defining who qualifies</w:t>
      </w:r>
      <w:r>
        <w:t xml:space="preserve"> </w:t>
      </w:r>
      <w:r>
        <w:rPr>
          <w:vertAlign w:val="superscript"/>
        </w:rPr>
        <w:t xml:space="preserve">9</w:t>
      </w:r>
      <w:r>
        <w:t xml:space="preserve">.</w:t>
      </w:r>
    </w:p>
    <w:p>
      <w:pPr>
        <w:pStyle w:val="BodyText"/>
      </w:pPr>
      <w:r>
        <w:rPr>
          <w:bCs/>
          <w:b/>
        </w:rPr>
        <w:t xml:space="preserve">Why it matters:</w:t>
      </w:r>
      <w:r>
        <w:t xml:space="preserve"> </w:t>
      </w:r>
      <w:r>
        <w:t xml:space="preserve">SOV3’s Watchdog certification is not a feature. It is a new market category that bridges AI governance and professional certification. First-mover advantage here could be more valuable than the governance platform itself. Certification creates lock-in — certified professionals demand the platform they were trained on.</w:t>
      </w:r>
    </w:p>
    <w:p>
      <w:pPr>
        <w:pStyle w:val="BodyText"/>
      </w:pPr>
      <w:r>
        <w:rPr>
          <w:bCs/>
          <w:b/>
        </w:rPr>
        <w:t xml:space="preserve">Action:</w:t>
      </w:r>
      <w:r>
        <w:t xml:space="preserve"> </w:t>
      </w:r>
      <w:r>
        <w:t xml:space="preserve">Launch Watchdog as a separate, branded category:</w:t>
      </w:r>
      <w:r>
        <w:t xml:space="preserve"> </w:t>
      </w:r>
      <w:r>
        <w:t xml:space="preserve">“</w:t>
      </w:r>
      <w:r>
        <w:t xml:space="preserve">The First AI Safety Certification.</w:t>
      </w:r>
      <w:r>
        <w:t xml:space="preserve">”</w:t>
      </w:r>
      <w:r>
        <w:t xml:space="preserve"> </w:t>
      </w:r>
      <w:r>
        <w:t xml:space="preserve">Market it independently of the SOV3 platform. Define the standard before anyone else sees the gap.</w:t>
      </w:r>
    </w:p>
    <w:p>
      <w:r>
        <w:pict>
          <v:rect style="width:0;height:1.5pt" o:hralign="center" o:hrstd="t" o:hr="t"/>
        </w:pict>
      </w:r>
    </w:p>
    <w:p>
      <w:pPr>
        <w:pStyle w:val="FirstParagraph"/>
      </w:pPr>
      <w:r>
        <w:rPr>
          <w:bCs/>
          <w:b/>
        </w:rPr>
        <w:t xml:space="preserve">Insight 4: The</w:t>
      </w:r>
      <w:r>
        <w:rPr>
          <w:bCs/>
          <w:b/>
        </w:rPr>
        <w:t xml:space="preserve"> </w:t>
      </w:r>
      <w:r>
        <w:rPr>
          <w:bCs/>
          <w:b/>
        </w:rPr>
        <w:t xml:space="preserve">“</w:t>
      </w:r>
      <w:r>
        <w:rPr>
          <w:bCs/>
          <w:b/>
        </w:rPr>
        <w:t xml:space="preserve">Assessment vs. Enforcement</w:t>
      </w:r>
      <w:r>
        <w:rPr>
          <w:bCs/>
          <w:b/>
        </w:rPr>
        <w:t xml:space="preserve">”</w:t>
      </w:r>
      <w:r>
        <w:rPr>
          <w:bCs/>
          <w:b/>
        </w:rPr>
        <w:t xml:space="preserve"> </w:t>
      </w:r>
      <w:r>
        <w:rPr>
          <w:bCs/>
          <w:b/>
        </w:rPr>
        <w:t xml:space="preserve">Architecture Gap — A 12-24 Month Moat</w:t>
      </w:r>
    </w:p>
    <w:p>
      <w:pPr>
        <w:pStyle w:val="BodyText"/>
      </w:pPr>
      <w:r>
        <w:t xml:space="preserve">Every single competitor’s AI governance platform is assessment-only — they evaluate AI systems and produce reports</w:t>
      </w:r>
      <w:r>
        <w:t xml:space="preserve"> </w:t>
      </w:r>
      <w:r>
        <w:rPr>
          <w:vertAlign w:val="superscript"/>
        </w:rPr>
        <w:t xml:space="preserve">10</w:t>
      </w:r>
      <w:r>
        <w:t xml:space="preserve">. None enforce policy at runtime through deployment gates or policy-as-code. No competitor combines PDCA methodology, blockchain immutability, and MCP governance into a single architecture</w:t>
      </w:r>
      <w:r>
        <w:t xml:space="preserve"> </w:t>
      </w:r>
      <w:r>
        <w:rPr>
          <w:vertAlign w:val="superscript"/>
        </w:rPr>
        <w:t xml:space="preserve">11</w:t>
      </w:r>
      <w:r>
        <w:t xml:space="preserve">.</w:t>
      </w:r>
    </w:p>
    <w:p>
      <w:pPr>
        <w:pStyle w:val="BodyText"/>
      </w:pPr>
      <w:r>
        <w:rPr>
          <w:bCs/>
          <w:b/>
        </w:rPr>
        <w:t xml:space="preserve">Why it matters:</w:t>
      </w:r>
      <w:r>
        <w:t xml:space="preserve"> </w:t>
      </w:r>
      <w:r>
        <w:t xml:space="preserve">Assessment tools are surveys with dashboards. Enforcement tools change behavior. The gap between</w:t>
      </w:r>
      <w:r>
        <w:t xml:space="preserve"> </w:t>
      </w:r>
      <w:r>
        <w:t xml:space="preserve">“</w:t>
      </w:r>
      <w:r>
        <w:t xml:space="preserve">we identified a risk</w:t>
      </w:r>
      <w:r>
        <w:t xml:space="preserve">”</w:t>
      </w:r>
      <w:r>
        <w:t xml:space="preserve"> </w:t>
      </w:r>
      <w:r>
        <w:t xml:space="preserve">and</w:t>
      </w:r>
      <w:r>
        <w:t xml:space="preserve"> </w:t>
      </w:r>
      <w:r>
        <w:t xml:space="preserve">“</w:t>
      </w:r>
      <w:r>
        <w:t xml:space="preserve">we prevented the risk</w:t>
      </w:r>
      <w:r>
        <w:t xml:space="preserve">”</w:t>
      </w:r>
      <w:r>
        <w:t xml:space="preserve"> </w:t>
      </w:r>
      <w:r>
        <w:t xml:space="preserve">is where SOV3’s defensible moat lives. Competitors would need to rebuild their entire architectures to compete — a 12-24 month development cycle minimum.</w:t>
      </w:r>
    </w:p>
    <w:p>
      <w:pPr>
        <w:pStyle w:val="BodyText"/>
      </w:pPr>
      <w:r>
        <w:rPr>
          <w:bCs/>
          <w:b/>
        </w:rPr>
        <w:t xml:space="preserve">Action:</w:t>
      </w:r>
      <w:r>
        <w:t xml:space="preserve"> </w:t>
      </w:r>
      <w:r>
        <w:t xml:space="preserve">Position SOV3 around the tagline:</w:t>
      </w:r>
      <w:r>
        <w:t xml:space="preserve"> </w:t>
      </w:r>
      <w:r>
        <w:t xml:space="preserve">“</w:t>
      </w:r>
      <w:r>
        <w:t xml:space="preserve">Governance That Acts, Not Just Reports.</w:t>
      </w:r>
      <w:r>
        <w:t xml:space="preserve">”</w:t>
      </w:r>
      <w:r>
        <w:t xml:space="preserve"> </w:t>
      </w:r>
      <w:r>
        <w:t xml:space="preserve">This is an architectural moat, not a feature gap. Lead every sales conversation with:</w:t>
      </w:r>
      <w:r>
        <w:t xml:space="preserve"> </w:t>
      </w:r>
      <w:r>
        <w:t xml:space="preserve">“</w:t>
      </w:r>
      <w:r>
        <w:t xml:space="preserve">Ask your current vendor if they can stop a non-compliant AI deployment in real time. Then watch them change the subject.</w:t>
      </w:r>
      <w:r>
        <w:t xml:space="preserve">”</w:t>
      </w:r>
    </w:p>
    <w:p>
      <w:r>
        <w:pict>
          <v:rect style="width:0;height:1.5pt" o:hralign="center" o:hrstd="t" o:hr="t"/>
        </w:pict>
      </w:r>
    </w:p>
    <w:p>
      <w:pPr>
        <w:pStyle w:val="FirstParagraph"/>
      </w:pPr>
      <w:r>
        <w:rPr>
          <w:bCs/>
          <w:b/>
        </w:rPr>
        <w:t xml:space="preserve">Insight 5: The</w:t>
      </w:r>
      <w:r>
        <w:rPr>
          <w:bCs/>
          <w:b/>
        </w:rPr>
        <w:t xml:space="preserve"> </w:t>
      </w:r>
      <w:r>
        <w:rPr>
          <w:bCs/>
          <w:b/>
        </w:rPr>
        <w:t xml:space="preserve">“</w:t>
      </w:r>
      <w:r>
        <w:rPr>
          <w:bCs/>
          <w:b/>
        </w:rPr>
        <w:t xml:space="preserve">July 4th Juxtaposition</w:t>
      </w:r>
      <w:r>
        <w:rPr>
          <w:bCs/>
          <w:b/>
        </w:rPr>
        <w:t xml:space="preserve">”</w:t>
      </w:r>
      <w:r>
        <w:rPr>
          <w:bCs/>
          <w:b/>
        </w:rPr>
        <w:t xml:space="preserve"> </w:t>
      </w:r>
      <w:r>
        <w:rPr>
          <w:bCs/>
          <w:b/>
        </w:rPr>
        <w:t xml:space="preserve">— Dual-Narrative Dominance</w:t>
      </w:r>
    </w:p>
    <w:p>
      <w:pPr>
        <w:pStyle w:val="BodyText"/>
      </w:pPr>
      <w:r>
        <w:t xml:space="preserve">July 4, 2026 is exactly 58 days before EU AI Act enforcement begins on August 2, 2026</w:t>
      </w:r>
      <w:r>
        <w:t xml:space="preserve"> </w:t>
      </w:r>
      <w:r>
        <w:rPr>
          <w:vertAlign w:val="superscript"/>
        </w:rPr>
        <w:t xml:space="preserve">9</w:t>
      </w:r>
      <w:r>
        <w:t xml:space="preserve">. Launching on Independence Day positions SOV3 as the freedom from black-box AI governance, while the August 2 deadline creates regulatory panic. The patriotic symbolism of</w:t>
      </w:r>
      <w:r>
        <w:t xml:space="preserve"> </w:t>
      </w:r>
      <w:r>
        <w:t xml:space="preserve">“</w:t>
      </w:r>
      <w:r>
        <w:t xml:space="preserve">independence from enterprise lock-in</w:t>
      </w:r>
      <w:r>
        <w:t xml:space="preserve">”</w:t>
      </w:r>
      <w:r>
        <w:t xml:space="preserve"> </w:t>
      </w:r>
      <w:r>
        <w:t xml:space="preserve">combined with</w:t>
      </w:r>
      <w:r>
        <w:t xml:space="preserve"> </w:t>
      </w:r>
      <w:r>
        <w:t xml:space="preserve">“</w:t>
      </w:r>
      <w:r>
        <w:t xml:space="preserve">comply before August 2</w:t>
      </w:r>
      <w:r>
        <w:t xml:space="preserve">”</w:t>
      </w:r>
      <w:r>
        <w:t xml:space="preserve"> </w:t>
      </w:r>
      <w:r>
        <w:t xml:space="preserve">creates a dual-narrative that no competitor can match.</w:t>
      </w:r>
    </w:p>
    <w:p>
      <w:pPr>
        <w:pStyle w:val="BodyText"/>
      </w:pPr>
      <w:r>
        <w:rPr>
          <w:bCs/>
          <w:b/>
        </w:rPr>
        <w:t xml:space="preserve">Why it matters:</w:t>
      </w:r>
      <w:r>
        <w:t xml:space="preserve"> </w:t>
      </w:r>
      <w:r>
        <w:t xml:space="preserve">American mid-market companies respond to freedom-from-tyranny messaging. European companies respond to regulatory-deadline urgency. No competitor can split their messaging to capture both audiences simultaneously. SOV3 gets the entire addressable market in a single launch narrative.</w:t>
      </w:r>
    </w:p>
    <w:p>
      <w:pPr>
        <w:pStyle w:val="BodyText"/>
      </w:pPr>
      <w:r>
        <w:rPr>
          <w:bCs/>
          <w:b/>
        </w:rPr>
        <w:t xml:space="preserve">Action:</w:t>
      </w:r>
      <w:r>
        <w:t xml:space="preserve"> </w:t>
      </w:r>
      <w:r>
        <w:t xml:space="preserve">Split the launch campaign geographically. In the US:</w:t>
      </w:r>
      <w:r>
        <w:t xml:space="preserve"> </w:t>
      </w:r>
      <w:r>
        <w:t xml:space="preserve">“</w:t>
      </w:r>
      <w:r>
        <w:t xml:space="preserve">Declare independence from $100,000 compliance costs.</w:t>
      </w:r>
      <w:r>
        <w:t xml:space="preserve">”</w:t>
      </w:r>
      <w:r>
        <w:t xml:space="preserve"> </w:t>
      </w:r>
      <w:r>
        <w:t xml:space="preserve">In the EU:</w:t>
      </w:r>
      <w:r>
        <w:t xml:space="preserve"> </w:t>
      </w:r>
      <w:r>
        <w:t xml:space="preserve">“</w:t>
      </w:r>
      <w:r>
        <w:t xml:space="preserve">58 days to comply. One platform to get you there.</w:t>
      </w:r>
      <w:r>
        <w:t xml:space="preserve">”</w:t>
      </w:r>
      <w:r>
        <w:t xml:space="preserve"> </w:t>
      </w:r>
      <w:r>
        <w:t xml:space="preserve">Run both messages from the same July 4 launch event.</w:t>
      </w:r>
    </w:p>
    <w:p>
      <w:r>
        <w:pict>
          <v:rect style="width:0;height:1.5pt" o:hralign="center" o:hrstd="t" o:hr="t"/>
        </w:pict>
      </w:r>
    </w:p>
    <w:p>
      <w:pPr>
        <w:pStyle w:val="FirstParagraph"/>
      </w:pPr>
      <w:r>
        <w:rPr>
          <w:bCs/>
          <w:b/>
        </w:rPr>
        <w:t xml:space="preserve">Insight 6: The</w:t>
      </w:r>
      <w:r>
        <w:rPr>
          <w:bCs/>
          <w:b/>
        </w:rPr>
        <w:t xml:space="preserve"> </w:t>
      </w:r>
      <w:r>
        <w:rPr>
          <w:bCs/>
          <w:b/>
        </w:rPr>
        <w:t xml:space="preserve">“</w:t>
      </w:r>
      <w:r>
        <w:rPr>
          <w:bCs/>
          <w:b/>
        </w:rPr>
        <w:t xml:space="preserve">MCP Governance Vacuum</w:t>
      </w:r>
      <w:r>
        <w:rPr>
          <w:bCs/>
          <w:b/>
        </w:rPr>
        <w:t xml:space="preserve">”</w:t>
      </w:r>
      <w:r>
        <w:rPr>
          <w:bCs/>
          <w:b/>
        </w:rPr>
        <w:t xml:space="preserve"> </w:t>
      </w:r>
      <w:r>
        <w:rPr>
          <w:bCs/>
          <w:b/>
        </w:rPr>
        <w:t xml:space="preserve">— Becoming the Standards Body</w:t>
      </w:r>
    </w:p>
    <w:p>
      <w:pPr>
        <w:pStyle w:val="BodyText"/>
      </w:pPr>
      <w:r>
        <w:t xml:space="preserve">The MCP ecosystem has 13,000+ servers and 97 million monthly downloads — and zero governance standards</w:t>
      </w:r>
      <w:r>
        <w:t xml:space="preserve"> </w:t>
      </w:r>
      <w:r>
        <w:rPr>
          <w:vertAlign w:val="superscript"/>
        </w:rPr>
        <w:t xml:space="preserve">12</w:t>
      </w:r>
      <w:r>
        <w:t xml:space="preserve">. No security auditing. No certification. No compliance framework. This is TLS/SSL in 1994: a protocol exploding in adoption with nobody providing the trust infrastructure.</w:t>
      </w:r>
    </w:p>
    <w:p>
      <w:pPr>
        <w:pStyle w:val="BodyText"/>
      </w:pPr>
      <w:r>
        <w:rPr>
          <w:bCs/>
          <w:b/>
        </w:rPr>
        <w:t xml:space="preserve">Why it matters:</w:t>
      </w:r>
      <w:r>
        <w:t xml:space="preserve"> </w:t>
      </w:r>
      <w:r>
        <w:t xml:space="preserve">Standards bodies capture markets. When HTTP needed security, certificate authorities became billion-dollar businesses. MCP needs governance, and nobody is providing it. SOV3’s MCP App Store is not a marketplace — it is trust infrastructure.</w:t>
      </w:r>
    </w:p>
    <w:p>
      <w:pPr>
        <w:pStyle w:val="BodyText"/>
      </w:pPr>
      <w:r>
        <w:rPr>
          <w:bCs/>
          <w:b/>
        </w:rPr>
        <w:t xml:space="preserve">Action:</w:t>
      </w:r>
      <w:r>
        <w:t xml:space="preserve"> </w:t>
      </w:r>
      <w:r>
        <w:t xml:space="preserve">Publish the</w:t>
      </w:r>
      <w:r>
        <w:t xml:space="preserve"> </w:t>
      </w:r>
      <w:r>
        <w:t xml:space="preserve">“</w:t>
      </w:r>
      <w:r>
        <w:t xml:space="preserve">MCP Security Certification Standard</w:t>
      </w:r>
      <w:r>
        <w:t xml:space="preserve">”</w:t>
      </w:r>
      <w:r>
        <w:t xml:space="preserve"> </w:t>
      </w:r>
      <w:r>
        <w:t xml:space="preserve">immediately. Position SOV3 as the</w:t>
      </w:r>
      <w:r>
        <w:t xml:space="preserve"> </w:t>
      </w:r>
      <w:r>
        <w:t xml:space="preserve">“</w:t>
      </w:r>
      <w:r>
        <w:t xml:space="preserve">MCP Security Authority.</w:t>
      </w:r>
      <w:r>
        <w:t xml:space="preserve">”</w:t>
      </w:r>
      <w:r>
        <w:t xml:space="preserve"> </w:t>
      </w:r>
      <w:r>
        <w:t xml:space="preserve">Being first to certify MCP servers creates a standard that competitors must follow, and customers must pay to access.</w:t>
      </w:r>
    </w:p>
    <w:p>
      <w:r>
        <w:pict>
          <v:rect style="width:0;height:1.5pt" o:hralign="center" o:hrstd="t" o:hr="t"/>
        </w:pict>
      </w:r>
    </w:p>
    <w:p>
      <w:pPr>
        <w:pStyle w:val="FirstParagraph"/>
      </w:pPr>
      <w:r>
        <w:rPr>
          <w:bCs/>
          <w:b/>
        </w:rPr>
        <w:t xml:space="preserve">Insight 7: The</w:t>
      </w:r>
      <w:r>
        <w:rPr>
          <w:bCs/>
          <w:b/>
        </w:rPr>
        <w:t xml:space="preserve"> </w:t>
      </w:r>
      <w:r>
        <w:rPr>
          <w:bCs/>
          <w:b/>
        </w:rPr>
        <w:t xml:space="preserve">“</w:t>
      </w:r>
      <w:r>
        <w:rPr>
          <w:bCs/>
          <w:b/>
        </w:rPr>
        <w:t xml:space="preserve">OneTrust Death Spiral</w:t>
      </w:r>
      <w:r>
        <w:rPr>
          <w:bCs/>
          <w:b/>
        </w:rPr>
        <w:t xml:space="preserve">”</w:t>
      </w:r>
      <w:r>
        <w:rPr>
          <w:bCs/>
          <w:b/>
        </w:rPr>
        <w:t xml:space="preserve"> </w:t>
      </w:r>
      <w:r>
        <w:rPr>
          <w:bCs/>
          <w:b/>
        </w:rPr>
        <w:t xml:space="preserve">— A Giant Ready to Fall</w:t>
      </w:r>
    </w:p>
    <w:p>
      <w:pPr>
        <w:pStyle w:val="BodyText"/>
      </w:pPr>
      <w:r>
        <w:t xml:space="preserve">OneTrust exhibits every symptom of a company in terminal decline: 1,060+ layoffs, declining headcount of -5.8% year-over-year</w:t>
      </w:r>
      <w:r>
        <w:t xml:space="preserve"> </w:t>
      </w:r>
      <w:r>
        <w:rPr>
          <w:vertAlign w:val="superscript"/>
        </w:rPr>
        <w:t xml:space="preserve">13</w:t>
      </w:r>
      <w:r>
        <w:t xml:space="preserve">, Trustpilot rating of 1.5/5 versus G2 rating of 4.4/5 — a 2.9-point gap indicating systematic review manipulation</w:t>
      </w:r>
      <w:r>
        <w:t xml:space="preserve"> </w:t>
      </w:r>
      <w:r>
        <w:rPr>
          <w:vertAlign w:val="superscript"/>
        </w:rPr>
        <w:t xml:space="preserve">14</w:t>
      </w:r>
      <w:r>
        <w:t xml:space="preserve">, renewal price increases of 275-468%</w:t>
      </w:r>
      <w:r>
        <w:t xml:space="preserve"> </w:t>
      </w:r>
      <w:r>
        <w:rPr>
          <w:vertAlign w:val="superscript"/>
        </w:rPr>
        <w:t xml:space="preserve">15</w:t>
      </w:r>
      <w:r>
        <w:t xml:space="preserve">, implementation times of 2.5-9 months at $50,000-$300,000+ per year</w:t>
      </w:r>
      <w:r>
        <w:t xml:space="preserve"> </w:t>
      </w:r>
      <w:r>
        <w:rPr>
          <w:vertAlign w:val="superscript"/>
        </w:rPr>
        <w:t xml:space="preserve">14</w:t>
      </w:r>
      <w:r>
        <w:t xml:space="preserve">, and zero EU AI Act readiness</w:t>
      </w:r>
      <w:r>
        <w:t xml:space="preserve"> </w:t>
      </w:r>
      <w:r>
        <w:rPr>
          <w:vertAlign w:val="superscript"/>
        </w:rPr>
        <w:t xml:space="preserve">9</w:t>
      </w:r>
      <w:r>
        <w:t xml:space="preserve">.</w:t>
      </w:r>
    </w:p>
    <w:p>
      <w:pPr>
        <w:pStyle w:val="BodyText"/>
      </w:pPr>
      <w:r>
        <w:rPr>
          <w:bCs/>
          <w:b/>
        </w:rPr>
        <w:t xml:space="preserve">Why it matters:</w:t>
      </w:r>
      <w:r>
        <w:t xml:space="preserve"> </w:t>
      </w:r>
      <w:r>
        <w:t xml:space="preserve">OneTrust is the</w:t>
      </w:r>
      <w:r>
        <w:t xml:space="preserve"> </w:t>
      </w:r>
      <w:r>
        <w:t xml:space="preserve">“</w:t>
      </w:r>
      <w:r>
        <w:t xml:space="preserve">safe choice</w:t>
      </w:r>
      <w:r>
        <w:t xml:space="preserve">”</w:t>
      </w:r>
      <w:r>
        <w:t xml:space="preserve"> </w:t>
      </w:r>
      <w:r>
        <w:t xml:space="preserve">that enterprise buyers default to. If SOV3 proves OneTrust is neither safe nor a choice — it is a trap — the entire enterprise GRC market opens. A market leader with this many simultaneous problems is primed for disruption.</w:t>
      </w:r>
    </w:p>
    <w:p>
      <w:pPr>
        <w:pStyle w:val="BodyText"/>
      </w:pPr>
      <w:r>
        <w:rPr>
          <w:bCs/>
          <w:b/>
        </w:rPr>
        <w:t xml:space="preserve">Action:</w:t>
      </w:r>
      <w:r>
        <w:t xml:space="preserve"> </w:t>
      </w:r>
      <w:r>
        <w:t xml:space="preserve">Launch the</w:t>
      </w:r>
      <w:r>
        <w:t xml:space="preserve"> </w:t>
      </w:r>
      <w:r>
        <w:t xml:space="preserve">“</w:t>
      </w:r>
      <w:r>
        <w:t xml:space="preserve">OneTrust Escape</w:t>
      </w:r>
      <w:r>
        <w:t xml:space="preserve">”</w:t>
      </w:r>
      <w:r>
        <w:t xml:space="preserve"> </w:t>
      </w:r>
      <w:r>
        <w:t xml:space="preserve">campaign within the first 30 days post-launch. Offer migration tools, implementation buy-out credits, and a</w:t>
      </w:r>
      <w:r>
        <w:t xml:space="preserve"> </w:t>
      </w:r>
      <w:r>
        <w:t xml:space="preserve">“</w:t>
      </w:r>
      <w:r>
        <w:t xml:space="preserve">OneTrust Invoice Audit</w:t>
      </w:r>
      <w:r>
        <w:t xml:space="preserve">”</w:t>
      </w:r>
      <w:r>
        <w:t xml:space="preserve"> </w:t>
      </w:r>
      <w:r>
        <w:t xml:space="preserve">that calculates total cost of ownership. Target every OneTrust customer with renewal dates between July and December 2026.</w:t>
      </w:r>
    </w:p>
    <w:p>
      <w:r>
        <w:pict>
          <v:rect style="width:0;height:1.5pt" o:hralign="center" o:hrstd="t" o:hr="t"/>
        </w:pict>
      </w:r>
    </w:p>
    <w:p>
      <w:pPr>
        <w:pStyle w:val="FirstParagraph"/>
      </w:pPr>
      <w:r>
        <w:rPr>
          <w:bCs/>
          <w:b/>
        </w:rPr>
        <w:t xml:space="preserve">Insight 8: The</w:t>
      </w:r>
      <w:r>
        <w:rPr>
          <w:bCs/>
          <w:b/>
        </w:rPr>
        <w:t xml:space="preserve"> </w:t>
      </w:r>
      <w:r>
        <w:rPr>
          <w:bCs/>
          <w:b/>
        </w:rPr>
        <w:t xml:space="preserve">“</w:t>
      </w:r>
      <w:r>
        <w:rPr>
          <w:bCs/>
          <w:b/>
        </w:rPr>
        <w:t xml:space="preserve">Insider Selling Signal</w:t>
      </w:r>
      <w:r>
        <w:rPr>
          <w:bCs/>
          <w:b/>
        </w:rPr>
        <w:t xml:space="preserve">”</w:t>
      </w:r>
      <w:r>
        <w:rPr>
          <w:bCs/>
          <w:b/>
        </w:rPr>
        <w:t xml:space="preserve"> </w:t>
      </w:r>
      <w:r>
        <w:rPr>
          <w:bCs/>
          <w:b/>
        </w:rPr>
        <w:t xml:space="preserve">— The Window Is NOW</w:t>
      </w:r>
    </w:p>
    <w:p>
      <w:pPr>
        <w:pStyle w:val="BodyText"/>
      </w:pPr>
      <w:r>
        <w:t xml:space="preserve">CrowdStrike’s CEO sold $30 million in two weeks</w:t>
      </w:r>
      <w:r>
        <w:t xml:space="preserve"> </w:t>
      </w:r>
      <w:r>
        <w:rPr>
          <w:vertAlign w:val="superscript"/>
        </w:rPr>
        <w:t xml:space="preserve">2</w:t>
      </w:r>
      <w:r>
        <w:t xml:space="preserve">. Palo Alto insiders sold $430 million versus only $10 million bought — a 43:1 sell-to-buy ratio</w:t>
      </w:r>
      <w:r>
        <w:t xml:space="preserve"> </w:t>
      </w:r>
      <w:r>
        <w:rPr>
          <w:vertAlign w:val="superscript"/>
        </w:rPr>
        <w:t xml:space="preserve">2</w:t>
      </w:r>
      <w:r>
        <w:t xml:space="preserve">. Microsoft Defender faces two actively exploited vulnerabilities in the wild (CVE-2026-45498, CVE-2026-41091)</w:t>
      </w:r>
      <w:r>
        <w:t xml:space="preserve"> </w:t>
      </w:r>
      <w:r>
        <w:rPr>
          <w:vertAlign w:val="superscript"/>
        </w:rPr>
        <w:t xml:space="preserve">16</w:t>
      </w:r>
      <w:r>
        <w:t xml:space="preserve">.</w:t>
      </w:r>
    </w:p>
    <w:p>
      <w:pPr>
        <w:pStyle w:val="BodyText"/>
      </w:pPr>
      <w:r>
        <w:rPr>
          <w:bCs/>
          <w:b/>
        </w:rPr>
        <w:t xml:space="preserve">Why it matters:</w:t>
      </w:r>
      <w:r>
        <w:t xml:space="preserve"> </w:t>
      </w:r>
      <w:r>
        <w:t xml:space="preserve">When insiders sell aggressively at all-time highs, they are either diversifying (bullish) or exiting (bearish). $30 million in 14 days at all-time highs is closer to exit than diversification. Combined with Palo Alto’s $300 million acquisition spree (Protect AI, July 2025)</w:t>
      </w:r>
      <w:r>
        <w:t xml:space="preserve"> </w:t>
      </w:r>
      <w:r>
        <w:rPr>
          <w:vertAlign w:val="superscript"/>
        </w:rPr>
        <w:t xml:space="preserve">17</w:t>
      </w:r>
      <w:r>
        <w:t xml:space="preserve">, the pattern is clear: incumbents are buying capabilities they failed to build.</w:t>
      </w:r>
    </w:p>
    <w:p>
      <w:pPr>
        <w:pStyle w:val="BodyText"/>
      </w:pPr>
      <w:r>
        <w:rPr>
          <w:bCs/>
          <w:b/>
        </w:rPr>
        <w:t xml:space="preserve">Action:</w:t>
      </w:r>
      <w:r>
        <w:t xml:space="preserve"> </w:t>
      </w:r>
      <w:r>
        <w:t xml:space="preserve">Deploy the</w:t>
      </w:r>
      <w:r>
        <w:t xml:space="preserve"> </w:t>
      </w:r>
      <w:r>
        <w:t xml:space="preserve">“</w:t>
      </w:r>
      <w:r>
        <w:t xml:space="preserve">Built, Not Bought</w:t>
      </w:r>
      <w:r>
        <w:t xml:space="preserve">”</w:t>
      </w:r>
      <w:r>
        <w:t xml:space="preserve"> </w:t>
      </w:r>
      <w:r>
        <w:t xml:space="preserve">narrative. SOV3’s organic architecture contrasts with incumbent M&amp;A strategies.</w:t>
      </w:r>
      <w:r>
        <w:t xml:space="preserve"> </w:t>
      </w:r>
      <w:r>
        <w:t xml:space="preserve">“</w:t>
      </w:r>
      <w:r>
        <w:t xml:space="preserve">We built our governance engine. They bought theirs in a fire sale.</w:t>
      </w:r>
      <w:r>
        <w:t xml:space="preserve">”</w:t>
      </w:r>
      <w:r>
        <w:t xml:space="preserve"> </w:t>
      </w:r>
      <w:r>
        <w:t xml:space="preserve">This positions SOV3 as the craft alternative to corporate assembly.</w:t>
      </w:r>
    </w:p>
    <w:p>
      <w:r>
        <w:pict>
          <v:rect style="width:0;height:1.5pt" o:hralign="center" o:hrstd="t" o:hr="t"/>
        </w:pict>
      </w:r>
    </w:p>
    <w:p>
      <w:pPr>
        <w:pStyle w:val="FirstParagraph"/>
      </w:pPr>
      <w:r>
        <w:rPr>
          <w:bCs/>
          <w:b/>
        </w:rPr>
        <w:t xml:space="preserve">Insight 9: The</w:t>
      </w:r>
      <w:r>
        <w:rPr>
          <w:bCs/>
          <w:b/>
        </w:rPr>
        <w:t xml:space="preserve"> </w:t>
      </w:r>
      <w:r>
        <w:rPr>
          <w:bCs/>
          <w:b/>
        </w:rPr>
        <w:t xml:space="preserve">“</w:t>
      </w:r>
      <w:r>
        <w:rPr>
          <w:bCs/>
          <w:b/>
        </w:rPr>
        <w:t xml:space="preserve">Shadow AI Crisis</w:t>
      </w:r>
      <w:r>
        <w:rPr>
          <w:bCs/>
          <w:b/>
        </w:rPr>
        <w:t xml:space="preserve">”</w:t>
      </w:r>
      <w:r>
        <w:rPr>
          <w:bCs/>
          <w:b/>
        </w:rPr>
        <w:t xml:space="preserve"> </w:t>
      </w:r>
      <w:r>
        <w:rPr>
          <w:bCs/>
          <w:b/>
        </w:rPr>
        <w:t xml:space="preserve">— A $10 Billion Problem With No Vendor</w:t>
      </w:r>
    </w:p>
    <w:p>
      <w:pPr>
        <w:pStyle w:val="BodyText"/>
      </w:pPr>
      <w:r>
        <w:t xml:space="preserve">Sixty-seven percent of workers use unsanctioned AI tools (shadow AI)</w:t>
      </w:r>
      <w:r>
        <w:t xml:space="preserve"> </w:t>
      </w:r>
      <w:r>
        <w:rPr>
          <w:vertAlign w:val="superscript"/>
        </w:rPr>
        <w:t xml:space="preserve">18</w:t>
      </w:r>
      <w:r>
        <w:t xml:space="preserve">. Ninety-seven percent of enterprises expect a major AI agent security incident this year</w:t>
      </w:r>
      <w:r>
        <w:t xml:space="preserve"> </w:t>
      </w:r>
      <w:r>
        <w:rPr>
          <w:vertAlign w:val="superscript"/>
        </w:rPr>
        <w:t xml:space="preserve">19</w:t>
      </w:r>
      <w:r>
        <w:t xml:space="preserve">. Eighty-three percent of enterprises have no AI system inventory</w:t>
      </w:r>
      <w:r>
        <w:t xml:space="preserve"> </w:t>
      </w:r>
      <w:r>
        <w:rPr>
          <w:vertAlign w:val="superscript"/>
        </w:rPr>
        <w:t xml:space="preserve">20</w:t>
      </w:r>
      <w:r>
        <w:t xml:space="preserve">. Yet none of the AI governance platforms position themselves as shadow AI detection tools.</w:t>
      </w:r>
    </w:p>
    <w:p>
      <w:pPr>
        <w:pStyle w:val="BodyText"/>
      </w:pPr>
      <w:r>
        <w:rPr>
          <w:bCs/>
          <w:b/>
        </w:rPr>
        <w:t xml:space="preserve">Why it matters:</w:t>
      </w:r>
      <w:r>
        <w:t xml:space="preserve"> </w:t>
      </w:r>
      <w:r>
        <w:t xml:space="preserve">Shadow AI is the unauthorized use of AI tools by employees. It is a governance nightmare because you cannot govern what you cannot see. EU AI Act Article 71 requires AI inventory database registration — but 83% of enterprises cannot comply because they do not know what AI they are running.</w:t>
      </w:r>
    </w:p>
    <w:p>
      <w:pPr>
        <w:pStyle w:val="BodyText"/>
      </w:pPr>
      <w:r>
        <w:rPr>
          <w:bCs/>
          <w:b/>
        </w:rPr>
        <w:t xml:space="preserve">Action:</w:t>
      </w:r>
      <w:r>
        <w:t xml:space="preserve"> </w:t>
      </w:r>
      <w:r>
        <w:t xml:space="preserve">Make auto-discovery the headline feature, not a bullet point. Lead with:</w:t>
      </w:r>
      <w:r>
        <w:t xml:space="preserve"> </w:t>
      </w:r>
      <w:r>
        <w:t xml:space="preserve">“</w:t>
      </w:r>
      <w:r>
        <w:t xml:space="preserve">Find every AI tool your employees are using in 48 hours.</w:t>
      </w:r>
      <w:r>
        <w:t xml:space="preserve">”</w:t>
      </w:r>
      <w:r>
        <w:t xml:space="preserve"> </w:t>
      </w:r>
      <w:r>
        <w:t xml:space="preserve">This is a better pitch than</w:t>
      </w:r>
      <w:r>
        <w:t xml:space="preserve"> </w:t>
      </w:r>
      <w:r>
        <w:t xml:space="preserve">“</w:t>
      </w:r>
      <w:r>
        <w:t xml:space="preserve">AI governance platform</w:t>
      </w:r>
      <w:r>
        <w:t xml:space="preserve">”</w:t>
      </w:r>
      <w:r>
        <w:t xml:space="preserve"> </w:t>
      </w:r>
      <w:r>
        <w:t xml:space="preserve">because it names a specific, expensive problem every CISO loses sleep over.</w:t>
      </w:r>
    </w:p>
    <w:p>
      <w:r>
        <w:pict>
          <v:rect style="width:0;height:1.5pt" o:hralign="center" o:hrstd="t" o:hr="t"/>
        </w:pict>
      </w:r>
    </w:p>
    <w:p>
      <w:pPr>
        <w:pStyle w:val="FirstParagraph"/>
      </w:pPr>
      <w:r>
        <w:rPr>
          <w:bCs/>
          <w:b/>
        </w:rPr>
        <w:t xml:space="preserve">Insight 10: The</w:t>
      </w:r>
      <w:r>
        <w:rPr>
          <w:bCs/>
          <w:b/>
        </w:rPr>
        <w:t xml:space="preserve"> </w:t>
      </w:r>
      <w:r>
        <w:rPr>
          <w:bCs/>
          <w:b/>
        </w:rPr>
        <w:t xml:space="preserve">“</w:t>
      </w:r>
      <w:r>
        <w:rPr>
          <w:bCs/>
          <w:b/>
        </w:rPr>
        <w:t xml:space="preserve">Pricing Transparency Arbitrage</w:t>
      </w:r>
      <w:r>
        <w:rPr>
          <w:bCs/>
          <w:b/>
        </w:rPr>
        <w:t xml:space="preserve">”</w:t>
      </w:r>
      <w:r>
        <w:rPr>
          <w:bCs/>
          <w:b/>
        </w:rPr>
        <w:t xml:space="preserve"> </w:t>
      </w:r>
      <w:r>
        <w:rPr>
          <w:bCs/>
          <w:b/>
        </w:rPr>
        <w:t xml:space="preserve">— The Unserved Mid-Market</w:t>
      </w:r>
    </w:p>
    <w:p>
      <w:pPr>
        <w:pStyle w:val="BodyText"/>
      </w:pPr>
      <w:r>
        <w:t xml:space="preserve">Every AI governance and GRC competitor hides pricing behind</w:t>
      </w:r>
      <w:r>
        <w:t xml:space="preserve"> </w:t>
      </w:r>
      <w:r>
        <w:t xml:space="preserve">“</w:t>
      </w:r>
      <w:r>
        <w:t xml:space="preserve">contact sales</w:t>
      </w:r>
      <w:r>
        <w:t xml:space="preserve">”</w:t>
      </w:r>
      <w:r>
        <w:t xml:space="preserve"> </w:t>
      </w:r>
      <w:r>
        <w:t xml:space="preserve">gates</w:t>
      </w:r>
      <w:r>
        <w:t xml:space="preserve"> </w:t>
      </w:r>
      <w:r>
        <w:rPr>
          <w:vertAlign w:val="superscript"/>
        </w:rPr>
        <w:t xml:space="preserve">18</w:t>
      </w:r>
      <w:r>
        <w:t xml:space="preserve">. Credo AI starts at $100,000+/year</w:t>
      </w:r>
      <w:r>
        <w:t xml:space="preserve"> </w:t>
      </w:r>
      <w:r>
        <w:rPr>
          <w:vertAlign w:val="superscript"/>
        </w:rPr>
        <w:t xml:space="preserve">21</w:t>
      </w:r>
      <w:r>
        <w:t xml:space="preserve">. OneTrust runs $50,000-$300,000+/year</w:t>
      </w:r>
      <w:r>
        <w:t xml:space="preserve"> </w:t>
      </w:r>
      <w:r>
        <w:rPr>
          <w:vertAlign w:val="superscript"/>
        </w:rPr>
        <w:t xml:space="preserve">14</w:t>
      </w:r>
      <w:r>
        <w:t xml:space="preserve">. The sub-$10,000/year AI governance market is virtually unserved — yet that is where 99% of companies live.</w:t>
      </w:r>
    </w:p>
    <w:p>
      <w:pPr>
        <w:pStyle w:val="BodyText"/>
      </w:pPr>
      <w:r>
        <w:rPr>
          <w:bCs/>
          <w:b/>
        </w:rPr>
        <w:t xml:space="preserve">Why it matters:</w:t>
      </w:r>
      <w:r>
        <w:t xml:space="preserve"> </w:t>
      </w:r>
      <w:r>
        <w:t xml:space="preserve">Transparent pricing signals confidence. Hidden pricing signals desperation to extract maximum value per deal. For mid-market companies evaluating AI governance,</w:t>
      </w:r>
      <w:r>
        <w:t xml:space="preserve"> </w:t>
      </w:r>
      <w:r>
        <w:t xml:space="preserve">“</w:t>
      </w:r>
      <w:r>
        <w:t xml:space="preserve">contact sales</w:t>
      </w:r>
      <w:r>
        <w:t xml:space="preserve">”</w:t>
      </w:r>
      <w:r>
        <w:t xml:space="preserve"> </w:t>
      </w:r>
      <w:r>
        <w:t xml:space="preserve">is a rejection — they need to know costs before engaging.</w:t>
      </w:r>
    </w:p>
    <w:p>
      <w:pPr>
        <w:pStyle w:val="BodyText"/>
      </w:pPr>
      <w:r>
        <w:rPr>
          <w:bCs/>
          <w:b/>
        </w:rPr>
        <w:t xml:space="preserve">Action:</w:t>
      </w:r>
      <w:r>
        <w:t xml:space="preserve"> </w:t>
      </w:r>
      <w:r>
        <w:t xml:space="preserve">Publish pricing prominently:</w:t>
      </w:r>
      <w:r>
        <w:t xml:space="preserve"> </w:t>
      </w:r>
      <w:r>
        <w:t xml:space="preserve">“</w:t>
      </w:r>
      <w:r>
        <w:t xml:space="preserve">AI Governance from $99/month.</w:t>
      </w:r>
      <w:r>
        <w:t xml:space="preserve">”</w:t>
      </w:r>
      <w:r>
        <w:t xml:space="preserve"> </w:t>
      </w:r>
      <w:r>
        <w:t xml:space="preserve">Use transparent pricing as a customer acquisition weapon against every</w:t>
      </w:r>
      <w:r>
        <w:t xml:space="preserve"> </w:t>
      </w:r>
      <w:r>
        <w:t xml:space="preserve">“</w:t>
      </w:r>
      <w:r>
        <w:t xml:space="preserve">contact us for pricing</w:t>
      </w:r>
      <w:r>
        <w:t xml:space="preserve">”</w:t>
      </w:r>
      <w:r>
        <w:t xml:space="preserve"> </w:t>
      </w:r>
      <w:r>
        <w:t xml:space="preserve">competitor. The mid-market is the beachhead; enterprise is the expansion.</w:t>
      </w:r>
    </w:p>
    <w:p>
      <w:r>
        <w:pict>
          <v:rect style="width:0;height:1.5pt" o:hralign="center" o:hrstd="t" o:hr="t"/>
        </w:pict>
      </w:r>
    </w:p>
    <w:bookmarkEnd w:id="21"/>
    <w:bookmarkStart w:id="22" w:name="X93790e623296171fcf1e4ec7682404404b25dcd"/>
    <w:p>
      <w:pPr>
        <w:pStyle w:val="Heading3"/>
      </w:pPr>
      <w:r>
        <w:t xml:space="preserve">1.2 Confidence-Classified Intelligence Summary</w:t>
      </w:r>
    </w:p>
    <w:p>
      <w:pPr>
        <w:pStyle w:val="FirstParagraph"/>
      </w:pPr>
      <w:r>
        <w:t xml:space="preserve">The intelligence in this dossier has been stress-tested through cross-dimensional verification. Every finding below has been assigned a confidence classification based on the number and independence of its sources.</w:t>
      </w:r>
    </w:p>
    <w:p>
      <w:pPr>
        <w:pStyle w:val="BodyText"/>
      </w:pPr>
      <w:r>
        <w:rPr>
          <w:bCs/>
          <w:b/>
        </w:rPr>
        <w:t xml:space="preserve">High Confidence Findings</w:t>
      </w:r>
      <w:r>
        <w:t xml:space="preserve"> </w:t>
      </w:r>
      <w:r>
        <w:t xml:space="preserve">are confirmed by two or more independent sources. These are facts. Build strategy on them without reservation.</w:t>
      </w:r>
    </w:p>
    <w:p>
      <w:pPr>
        <w:pStyle w:val="BodyText"/>
      </w:pPr>
      <w:r>
        <w:rPr>
          <w:bCs/>
          <w:b/>
        </w:rPr>
        <w:t xml:space="preserve">Medium Confidence Findings</w:t>
      </w:r>
      <w:r>
        <w:t xml:space="preserve"> </w:t>
      </w:r>
      <w:r>
        <w:t xml:space="preserve">are supported by one authoritative source. These are likely correct but require contingency planning.</w:t>
      </w:r>
    </w:p>
    <w:tbl>
      <w:tblPr>
        <w:tblStyle w:val="Table"/>
        <w:tblW w:type="pct" w:w="5000"/>
        <w:tblLook w:firstRow="1" w:lastRow="0" w:firstColumn="0" w:lastColumn="0" w:noHBand="0" w:noVBand="0" w:val="0020"/>
      </w:tblPr>
      <w:tblGrid>
        <w:gridCol w:w="642"/>
        <w:gridCol w:w="1926"/>
        <w:gridCol w:w="2568"/>
        <w:gridCol w:w="2782"/>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Confidence</w:t>
            </w:r>
          </w:p>
        </w:tc>
        <w:tc>
          <w:tcPr/>
          <w:p>
            <w:pPr>
              <w:pStyle w:val="Compact"/>
              <w:jc w:val="left"/>
            </w:pPr>
            <w:r>
              <w:t xml:space="preserve">Source Basis</w:t>
            </w:r>
          </w:p>
        </w:tc>
      </w:tr>
      <w:tr>
        <w:tc>
          <w:tcPr/>
          <w:p>
            <w:pPr>
              <w:pStyle w:val="Compact"/>
              <w:jc w:val="left"/>
            </w:pPr>
            <w:r>
              <w:t xml:space="preserve">1</w:t>
            </w:r>
          </w:p>
        </w:tc>
        <w:tc>
          <w:tcPr/>
          <w:p>
            <w:pPr>
              <w:pStyle w:val="Compact"/>
              <w:jc w:val="left"/>
            </w:pPr>
            <w:r>
              <w:t xml:space="preserve">EU AI Act August 2, 2026 deadline legally binding, no extension enacted</w:t>
            </w:r>
          </w:p>
        </w:tc>
        <w:tc>
          <w:tcPr/>
          <w:p>
            <w:pPr>
              <w:pStyle w:val="Compact"/>
              <w:jc w:val="left"/>
            </w:pPr>
            <w:r>
              <w:rPr>
                <w:bCs/>
                <w:b/>
              </w:rPr>
              <w:t xml:space="preserve">HIGH</w:t>
            </w:r>
          </w:p>
        </w:tc>
        <w:tc>
          <w:tcPr/>
          <w:p>
            <w:pPr>
              <w:pStyle w:val="Compact"/>
              <w:jc w:val="left"/>
            </w:pPr>
            <w:r>
              <w:t xml:space="preserve">Dim05 (40+ legal sources), Dim03, Dim06</w:t>
            </w:r>
          </w:p>
        </w:tc>
      </w:tr>
      <w:tr>
        <w:tc>
          <w:tcPr/>
          <w:p>
            <w:pPr>
              <w:pStyle w:val="Compact"/>
              <w:jc w:val="left"/>
            </w:pPr>
            <w:r>
              <w:t xml:space="preserve">2</w:t>
            </w:r>
          </w:p>
        </w:tc>
        <w:tc>
          <w:tcPr/>
          <w:p>
            <w:pPr>
              <w:pStyle w:val="Compact"/>
              <w:jc w:val="left"/>
            </w:pPr>
            <w:r>
              <w:t xml:space="preserve">78% of enterprises unprepared for EU AI Act compliance</w:t>
            </w:r>
          </w:p>
        </w:tc>
        <w:tc>
          <w:tcPr/>
          <w:p>
            <w:pPr>
              <w:pStyle w:val="Compact"/>
              <w:jc w:val="left"/>
            </w:pPr>
            <w:r>
              <w:rPr>
                <w:bCs/>
                <w:b/>
              </w:rPr>
              <w:t xml:space="preserve">HIGH</w:t>
            </w:r>
          </w:p>
        </w:tc>
        <w:tc>
          <w:tcPr/>
          <w:p>
            <w:pPr>
              <w:pStyle w:val="Compact"/>
              <w:jc w:val="left"/>
            </w:pPr>
            <w:r>
              <w:t xml:space="preserve">Dim05 (multiple surveys), Dim09</w:t>
            </w:r>
          </w:p>
        </w:tc>
      </w:tr>
      <w:tr>
        <w:tc>
          <w:tcPr/>
          <w:p>
            <w:pPr>
              <w:pStyle w:val="Compact"/>
              <w:jc w:val="left"/>
            </w:pPr>
            <w:r>
              <w:t xml:space="preserve">3</w:t>
            </w:r>
          </w:p>
        </w:tc>
        <w:tc>
          <w:tcPr/>
          <w:p>
            <w:pPr>
              <w:pStyle w:val="Compact"/>
              <w:jc w:val="left"/>
            </w:pPr>
            <w:r>
              <w:t xml:space="preserve">CrowdStrike CVE-2026-40050 (CVSS 9.8) confirmed in NVD</w:t>
            </w:r>
          </w:p>
        </w:tc>
        <w:tc>
          <w:tcPr/>
          <w:p>
            <w:pPr>
              <w:pStyle w:val="Compact"/>
              <w:jc w:val="left"/>
            </w:pPr>
            <w:r>
              <w:rPr>
                <w:bCs/>
                <w:b/>
              </w:rPr>
              <w:t xml:space="preserve">HIGH</w:t>
            </w:r>
          </w:p>
        </w:tc>
        <w:tc>
          <w:tcPr/>
          <w:p>
            <w:pPr>
              <w:pStyle w:val="Compact"/>
              <w:jc w:val="left"/>
            </w:pPr>
            <w:r>
              <w:t xml:space="preserve">Dim04 (NVD), Dim01</w:t>
            </w:r>
          </w:p>
        </w:tc>
      </w:tr>
      <w:tr>
        <w:tc>
          <w:tcPr/>
          <w:p>
            <w:pPr>
              <w:pStyle w:val="Compact"/>
              <w:jc w:val="left"/>
            </w:pPr>
            <w:r>
              <w:t xml:space="preserve">4</w:t>
            </w:r>
          </w:p>
        </w:tc>
        <w:tc>
          <w:tcPr/>
          <w:p>
            <w:pPr>
              <w:pStyle w:val="Compact"/>
              <w:jc w:val="left"/>
            </w:pPr>
            <w:r>
              <w:t xml:space="preserve">OpenClaw CVE-2026-25253 confirmed in NIST NVD (CVSS 8.8)</w:t>
            </w:r>
          </w:p>
        </w:tc>
        <w:tc>
          <w:tcPr/>
          <w:p>
            <w:pPr>
              <w:pStyle w:val="Compact"/>
              <w:jc w:val="left"/>
            </w:pPr>
            <w:r>
              <w:rPr>
                <w:bCs/>
                <w:b/>
              </w:rPr>
              <w:t xml:space="preserve">HIGH</w:t>
            </w:r>
          </w:p>
        </w:tc>
        <w:tc>
          <w:tcPr/>
          <w:p>
            <w:pPr>
              <w:pStyle w:val="Compact"/>
              <w:jc w:val="left"/>
            </w:pPr>
            <w:r>
              <w:t xml:space="preserve">Dim04 (NVD, MITRE)</w:t>
            </w:r>
          </w:p>
        </w:tc>
      </w:tr>
      <w:tr>
        <w:tc>
          <w:tcPr/>
          <w:p>
            <w:pPr>
              <w:pStyle w:val="Compact"/>
              <w:jc w:val="left"/>
            </w:pPr>
            <w:r>
              <w:t xml:space="preserve">5</w:t>
            </w:r>
          </w:p>
        </w:tc>
        <w:tc>
          <w:tcPr/>
          <w:p>
            <w:pPr>
              <w:pStyle w:val="Compact"/>
              <w:jc w:val="left"/>
            </w:pPr>
            <w:r>
              <w:t xml:space="preserve">CrowdStrike CEO George Kurtz sold $30M+ stock (May-June 2026)</w:t>
            </w:r>
          </w:p>
        </w:tc>
        <w:tc>
          <w:tcPr/>
          <w:p>
            <w:pPr>
              <w:pStyle w:val="Compact"/>
              <w:jc w:val="left"/>
            </w:pPr>
            <w:r>
              <w:rPr>
                <w:bCs/>
                <w:b/>
              </w:rPr>
              <w:t xml:space="preserve">HIGH</w:t>
            </w:r>
          </w:p>
        </w:tc>
        <w:tc>
          <w:tcPr/>
          <w:p>
            <w:pPr>
              <w:pStyle w:val="Compact"/>
              <w:jc w:val="left"/>
            </w:pPr>
            <w:r>
              <w:t xml:space="preserve">Dim01 (SEC filings, Yahoo Finance)</w:t>
            </w:r>
          </w:p>
        </w:tc>
      </w:tr>
      <w:tr>
        <w:tc>
          <w:tcPr/>
          <w:p>
            <w:pPr>
              <w:pStyle w:val="Compact"/>
              <w:jc w:val="left"/>
            </w:pPr>
            <w:r>
              <w:t xml:space="preserve">6</w:t>
            </w:r>
          </w:p>
        </w:tc>
        <w:tc>
          <w:tcPr/>
          <w:p>
            <w:pPr>
              <w:pStyle w:val="Compact"/>
              <w:jc w:val="left"/>
            </w:pPr>
            <w:r>
              <w:t xml:space="preserve">CrowdStrike 4-for-1 stock split effective July 2, 2026</w:t>
            </w:r>
          </w:p>
        </w:tc>
        <w:tc>
          <w:tcPr/>
          <w:p>
            <w:pPr>
              <w:pStyle w:val="Compact"/>
              <w:jc w:val="left"/>
            </w:pPr>
            <w:r>
              <w:rPr>
                <w:bCs/>
                <w:b/>
              </w:rPr>
              <w:t xml:space="preserve">HIGH</w:t>
            </w:r>
          </w:p>
        </w:tc>
        <w:tc>
          <w:tcPr/>
          <w:p>
            <w:pPr>
              <w:pStyle w:val="Compact"/>
              <w:jc w:val="left"/>
            </w:pPr>
            <w:r>
              <w:t xml:space="preserve">Dim01, Dim11</w:t>
            </w:r>
          </w:p>
        </w:tc>
      </w:tr>
      <w:tr>
        <w:tc>
          <w:tcPr/>
          <w:p>
            <w:pPr>
              <w:pStyle w:val="Compact"/>
              <w:jc w:val="left"/>
            </w:pPr>
            <w:r>
              <w:t xml:space="preserve">7</w:t>
            </w:r>
          </w:p>
        </w:tc>
        <w:tc>
          <w:tcPr/>
          <w:p>
            <w:pPr>
              <w:pStyle w:val="Compact"/>
              <w:jc w:val="left"/>
            </w:pPr>
            <w:r>
              <w:t xml:space="preserve">OneTrust: 2.5-9 month implementation, $50K-$300K+/year</w:t>
            </w:r>
          </w:p>
        </w:tc>
        <w:tc>
          <w:tcPr/>
          <w:p>
            <w:pPr>
              <w:pStyle w:val="Compact"/>
              <w:jc w:val="left"/>
            </w:pPr>
            <w:r>
              <w:rPr>
                <w:bCs/>
                <w:b/>
              </w:rPr>
              <w:t xml:space="preserve">HIGH</w:t>
            </w:r>
          </w:p>
        </w:tc>
        <w:tc>
          <w:tcPr/>
          <w:p>
            <w:pPr>
              <w:pStyle w:val="Compact"/>
              <w:jc w:val="left"/>
            </w:pPr>
            <w:r>
              <w:t xml:space="preserve">Dim03, Dim06, Dim09 (multiple reviews)</w:t>
            </w:r>
          </w:p>
        </w:tc>
      </w:tr>
      <w:tr>
        <w:tc>
          <w:tcPr/>
          <w:p>
            <w:pPr>
              <w:pStyle w:val="Compact"/>
              <w:jc w:val="left"/>
            </w:pPr>
            <w:r>
              <w:t xml:space="preserve">8</w:t>
            </w:r>
          </w:p>
        </w:tc>
        <w:tc>
          <w:tcPr/>
          <w:p>
            <w:pPr>
              <w:pStyle w:val="Compact"/>
              <w:jc w:val="left"/>
            </w:pPr>
            <w:r>
              <w:t xml:space="preserve">0/10 AI governance competitors have certification ecosystems</w:t>
            </w:r>
          </w:p>
        </w:tc>
        <w:tc>
          <w:tcPr/>
          <w:p>
            <w:pPr>
              <w:pStyle w:val="Compact"/>
              <w:jc w:val="left"/>
            </w:pPr>
            <w:r>
              <w:rPr>
                <w:bCs/>
                <w:b/>
              </w:rPr>
              <w:t xml:space="preserve">HIGH</w:t>
            </w:r>
          </w:p>
        </w:tc>
        <w:tc>
          <w:tcPr/>
          <w:p>
            <w:pPr>
              <w:pStyle w:val="Compact"/>
              <w:jc w:val="left"/>
            </w:pPr>
            <w:r>
              <w:t xml:space="preserve">Dim02, Dim09</w:t>
            </w:r>
          </w:p>
        </w:tc>
      </w:tr>
      <w:tr>
        <w:tc>
          <w:tcPr/>
          <w:p>
            <w:pPr>
              <w:pStyle w:val="Compact"/>
              <w:jc w:val="left"/>
            </w:pPr>
            <w:r>
              <w:t xml:space="preserve">9</w:t>
            </w:r>
          </w:p>
        </w:tc>
        <w:tc>
          <w:tcPr/>
          <w:p>
            <w:pPr>
              <w:pStyle w:val="Compact"/>
              <w:jc w:val="left"/>
            </w:pPr>
            <w:r>
              <w:t xml:space="preserve">10/10 AI governance competitors lack public transparency portals</w:t>
            </w:r>
          </w:p>
        </w:tc>
        <w:tc>
          <w:tcPr/>
          <w:p>
            <w:pPr>
              <w:pStyle w:val="Compact"/>
              <w:jc w:val="left"/>
            </w:pPr>
            <w:r>
              <w:rPr>
                <w:bCs/>
                <w:b/>
              </w:rPr>
              <w:t xml:space="preserve">HIGH</w:t>
            </w:r>
          </w:p>
        </w:tc>
        <w:tc>
          <w:tcPr/>
          <w:p>
            <w:pPr>
              <w:pStyle w:val="Compact"/>
              <w:jc w:val="left"/>
            </w:pPr>
            <w:r>
              <w:t xml:space="preserve">Dim02, Dim03, Dim12</w:t>
            </w:r>
          </w:p>
        </w:tc>
      </w:tr>
      <w:tr>
        <w:tc>
          <w:tcPr/>
          <w:p>
            <w:pPr>
              <w:pStyle w:val="Compact"/>
              <w:jc w:val="left"/>
            </w:pPr>
            <w:r>
              <w:t xml:space="preserve">10</w:t>
            </w:r>
          </w:p>
        </w:tc>
        <w:tc>
          <w:tcPr/>
          <w:p>
            <w:pPr>
              <w:pStyle w:val="Compact"/>
              <w:jc w:val="left"/>
            </w:pPr>
            <w:r>
              <w:t xml:space="preserve">WitnessAI raised $85.5M total ($58M Series B led by Sound Ventures, GV, Samsung)</w:t>
            </w:r>
          </w:p>
        </w:tc>
        <w:tc>
          <w:tcPr/>
          <w:p>
            <w:pPr>
              <w:pStyle w:val="Compact"/>
              <w:jc w:val="left"/>
            </w:pPr>
            <w:r>
              <w:rPr>
                <w:bCs/>
                <w:b/>
              </w:rPr>
              <w:t xml:space="preserve">HIGH</w:t>
            </w:r>
          </w:p>
        </w:tc>
        <w:tc>
          <w:tcPr/>
          <w:p>
            <w:pPr>
              <w:pStyle w:val="Compact"/>
              <w:jc w:val="left"/>
            </w:pPr>
            <w:r>
              <w:t xml:space="preserve">Dim02, Dim10 (Crunchbase)</w:t>
            </w:r>
          </w:p>
        </w:tc>
      </w:tr>
      <w:tr>
        <w:tc>
          <w:tcPr/>
          <w:p>
            <w:pPr>
              <w:pStyle w:val="Compact"/>
              <w:jc w:val="left"/>
            </w:pPr>
            <w:r>
              <w:t xml:space="preserve">11</w:t>
            </w:r>
          </w:p>
        </w:tc>
        <w:tc>
          <w:tcPr/>
          <w:p>
            <w:pPr>
              <w:pStyle w:val="Compact"/>
              <w:jc w:val="left"/>
            </w:pPr>
            <w:r>
              <w:t xml:space="preserve">Sycamore Labs raised $65M seed (March 2026, Coatue/Lightspeed)</w:t>
            </w:r>
          </w:p>
        </w:tc>
        <w:tc>
          <w:tcPr/>
          <w:p>
            <w:pPr>
              <w:pStyle w:val="Compact"/>
              <w:jc w:val="left"/>
            </w:pPr>
            <w:r>
              <w:rPr>
                <w:bCs/>
                <w:b/>
              </w:rPr>
              <w:t xml:space="preserve">HIGH</w:t>
            </w:r>
          </w:p>
        </w:tc>
        <w:tc>
          <w:tcPr/>
          <w:p>
            <w:pPr>
              <w:pStyle w:val="Compact"/>
              <w:jc w:val="left"/>
            </w:pPr>
            <w:r>
              <w:t xml:space="preserve">Dim08, Dim10</w:t>
            </w:r>
          </w:p>
        </w:tc>
      </w:tr>
      <w:tr>
        <w:tc>
          <w:tcPr/>
          <w:p>
            <w:pPr>
              <w:pStyle w:val="Compact"/>
              <w:jc w:val="left"/>
            </w:pPr>
            <w:r>
              <w:t xml:space="preserve">12</w:t>
            </w:r>
          </w:p>
        </w:tc>
        <w:tc>
          <w:tcPr/>
          <w:p>
            <w:pPr>
              <w:pStyle w:val="Compact"/>
              <w:jc w:val="left"/>
            </w:pPr>
            <w:r>
              <w:t xml:space="preserve">MCP ecosystem: 13,000+ servers, 97M monthly downloads, zero governance</w:t>
            </w:r>
          </w:p>
        </w:tc>
        <w:tc>
          <w:tcPr/>
          <w:p>
            <w:pPr>
              <w:pStyle w:val="Compact"/>
              <w:jc w:val="left"/>
            </w:pPr>
            <w:r>
              <w:rPr>
                <w:bCs/>
                <w:b/>
              </w:rPr>
              <w:t xml:space="preserve">HIGH</w:t>
            </w:r>
          </w:p>
        </w:tc>
        <w:tc>
          <w:tcPr/>
          <w:p>
            <w:pPr>
              <w:pStyle w:val="Compact"/>
              <w:jc w:val="left"/>
            </w:pPr>
            <w:r>
              <w:t xml:space="preserve">Dim08, Dim12</w:t>
            </w:r>
          </w:p>
        </w:tc>
      </w:tr>
      <w:tr>
        <w:tc>
          <w:tcPr/>
          <w:p>
            <w:pPr>
              <w:pStyle w:val="Compact"/>
              <w:jc w:val="left"/>
            </w:pPr>
            <w:r>
              <w:t xml:space="preserve">13</w:t>
            </w:r>
          </w:p>
        </w:tc>
        <w:tc>
          <w:tcPr/>
          <w:p>
            <w:pPr>
              <w:pStyle w:val="Compact"/>
              <w:jc w:val="left"/>
            </w:pPr>
            <w:r>
              <w:t xml:space="preserve">OneTrust 1,060+ layoffs, headcount declining -5.8% YoY</w:t>
            </w:r>
          </w:p>
        </w:tc>
        <w:tc>
          <w:tcPr/>
          <w:p>
            <w:pPr>
              <w:pStyle w:val="Compact"/>
              <w:jc w:val="left"/>
            </w:pPr>
            <w:r>
              <w:rPr>
                <w:bCs/>
                <w:b/>
              </w:rPr>
              <w:t xml:space="preserve">HIGH</w:t>
            </w:r>
          </w:p>
        </w:tc>
        <w:tc>
          <w:tcPr/>
          <w:p>
            <w:pPr>
              <w:pStyle w:val="Compact"/>
              <w:jc w:val="left"/>
            </w:pPr>
            <w:r>
              <w:t xml:space="preserve">Dim07, Dim09</w:t>
            </w:r>
          </w:p>
        </w:tc>
      </w:tr>
      <w:tr>
        <w:tc>
          <w:tcPr/>
          <w:p>
            <w:pPr>
              <w:pStyle w:val="Compact"/>
              <w:jc w:val="left"/>
            </w:pPr>
            <w:r>
              <w:t xml:space="preserve">14</w:t>
            </w:r>
          </w:p>
        </w:tc>
        <w:tc>
          <w:tcPr/>
          <w:p>
            <w:pPr>
              <w:pStyle w:val="Compact"/>
              <w:jc w:val="left"/>
            </w:pPr>
            <w:r>
              <w:t xml:space="preserve">AI governance market: $309M (2025) → $5.9B (2035), 34% CAGR</w:t>
            </w:r>
          </w:p>
        </w:tc>
        <w:tc>
          <w:tcPr/>
          <w:p>
            <w:pPr>
              <w:pStyle w:val="Compact"/>
              <w:jc w:val="left"/>
            </w:pPr>
            <w:r>
              <w:rPr>
                <w:bCs/>
                <w:b/>
              </w:rPr>
              <w:t xml:space="preserve">HIGH</w:t>
            </w:r>
          </w:p>
        </w:tc>
        <w:tc>
          <w:tcPr/>
          <w:p>
            <w:pPr>
              <w:pStyle w:val="Compact"/>
              <w:jc w:val="left"/>
            </w:pPr>
            <w:r>
              <w:t xml:space="preserve">Dim05, Dim10</w:t>
            </w:r>
          </w:p>
        </w:tc>
      </w:tr>
      <w:tr>
        <w:tc>
          <w:tcPr/>
          <w:p>
            <w:pPr>
              <w:pStyle w:val="Compact"/>
              <w:jc w:val="left"/>
            </w:pPr>
            <w:r>
              <w:t xml:space="preserve">15</w:t>
            </w:r>
          </w:p>
        </w:tc>
        <w:tc>
          <w:tcPr/>
          <w:p>
            <w:pPr>
              <w:pStyle w:val="Compact"/>
              <w:jc w:val="left"/>
            </w:pPr>
            <w:r>
              <w:t xml:space="preserve">Microsoft Defender actively exploited (CVE-2026-45498, CVE-2026-41091)</w:t>
            </w:r>
          </w:p>
        </w:tc>
        <w:tc>
          <w:tcPr/>
          <w:p>
            <w:pPr>
              <w:pStyle w:val="Compact"/>
              <w:jc w:val="left"/>
            </w:pPr>
            <w:r>
              <w:rPr>
                <w:bCs/>
                <w:b/>
              </w:rPr>
              <w:t xml:space="preserve">HIGH</w:t>
            </w:r>
          </w:p>
        </w:tc>
        <w:tc>
          <w:tcPr/>
          <w:p>
            <w:pPr>
              <w:pStyle w:val="Compact"/>
              <w:jc w:val="left"/>
            </w:pPr>
            <w:r>
              <w:t xml:space="preserve">Dim04 (Microsoft MSRC)</w:t>
            </w:r>
          </w:p>
        </w:tc>
      </w:tr>
      <w:tr>
        <w:tc>
          <w:tcPr/>
          <w:p>
            <w:pPr>
              <w:pStyle w:val="Compact"/>
              <w:jc w:val="left"/>
            </w:pPr>
            <w:r>
              <w:t xml:space="preserve">16</w:t>
            </w:r>
          </w:p>
        </w:tc>
        <w:tc>
          <w:tcPr/>
          <w:p>
            <w:pPr>
              <w:pStyle w:val="Compact"/>
              <w:jc w:val="left"/>
            </w:pPr>
            <w:r>
              <w:t xml:space="preserve">Protect AI acquired by Palo Alto Networks (July 2025, &gt;$300M)</w:t>
            </w:r>
          </w:p>
        </w:tc>
        <w:tc>
          <w:tcPr/>
          <w:p>
            <w:pPr>
              <w:pStyle w:val="Compact"/>
              <w:jc w:val="left"/>
            </w:pPr>
            <w:r>
              <w:rPr>
                <w:bCs/>
                <w:b/>
              </w:rPr>
              <w:t xml:space="preserve">HIGH</w:t>
            </w:r>
          </w:p>
        </w:tc>
        <w:tc>
          <w:tcPr/>
          <w:p>
            <w:pPr>
              <w:pStyle w:val="Compact"/>
              <w:jc w:val="left"/>
            </w:pPr>
            <w:r>
              <w:t xml:space="preserve">Dim10</w:t>
            </w:r>
          </w:p>
        </w:tc>
      </w:tr>
      <w:tr>
        <w:tc>
          <w:tcPr/>
          <w:p>
            <w:pPr>
              <w:pStyle w:val="Compact"/>
              <w:jc w:val="left"/>
            </w:pPr>
            <w:r>
              <w:t xml:space="preserve">17</w:t>
            </w:r>
          </w:p>
        </w:tc>
        <w:tc>
          <w:tcPr/>
          <w:p>
            <w:pPr>
              <w:pStyle w:val="Compact"/>
              <w:jc w:val="left"/>
            </w:pPr>
            <w:r>
              <w:t xml:space="preserve">Credo AI pricing: $100K+/year, enterprise-only</w:t>
            </w:r>
          </w:p>
        </w:tc>
        <w:tc>
          <w:tcPr/>
          <w:p>
            <w:pPr>
              <w:pStyle w:val="Compact"/>
              <w:jc w:val="left"/>
            </w:pPr>
            <w:r>
              <w:rPr>
                <w:bCs/>
                <w:b/>
              </w:rPr>
              <w:t xml:space="preserve">HIGH</w:t>
            </w:r>
          </w:p>
        </w:tc>
        <w:tc>
          <w:tcPr/>
          <w:p>
            <w:pPr>
              <w:pStyle w:val="Compact"/>
              <w:jc w:val="left"/>
            </w:pPr>
            <w:r>
              <w:t xml:space="preserve">Dim06, Dim02</w:t>
            </w:r>
          </w:p>
        </w:tc>
      </w:tr>
      <w:tr>
        <w:tc>
          <w:tcPr/>
          <w:p>
            <w:pPr>
              <w:pStyle w:val="Compact"/>
              <w:jc w:val="left"/>
            </w:pPr>
            <w:r>
              <w:t xml:space="preserve">18</w:t>
            </w:r>
          </w:p>
        </w:tc>
        <w:tc>
          <w:tcPr/>
          <w:p>
            <w:pPr>
              <w:pStyle w:val="Compact"/>
              <w:jc w:val="left"/>
            </w:pPr>
            <w:r>
              <w:t xml:space="preserve">No competitor combines PDCA + Blockchain + MCP governance</w:t>
            </w:r>
          </w:p>
        </w:tc>
        <w:tc>
          <w:tcPr/>
          <w:p>
            <w:pPr>
              <w:pStyle w:val="Compact"/>
              <w:jc w:val="left"/>
            </w:pPr>
            <w:r>
              <w:rPr>
                <w:bCs/>
                <w:b/>
              </w:rPr>
              <w:t xml:space="preserve">HIGH</w:t>
            </w:r>
          </w:p>
        </w:tc>
        <w:tc>
          <w:tcPr/>
          <w:p>
            <w:pPr>
              <w:pStyle w:val="Compact"/>
              <w:jc w:val="left"/>
            </w:pPr>
            <w:r>
              <w:t xml:space="preserve">Dim12, Dim02, Dim08</w:t>
            </w:r>
          </w:p>
        </w:tc>
      </w:tr>
      <w:tr>
        <w:tc>
          <w:tcPr/>
          <w:p>
            <w:pPr>
              <w:pStyle w:val="Compact"/>
              <w:jc w:val="left"/>
            </w:pPr>
            <w:r>
              <w:t xml:space="preserve">19</w:t>
            </w:r>
          </w:p>
        </w:tc>
        <w:tc>
          <w:tcPr/>
          <w:p>
            <w:pPr>
              <w:pStyle w:val="Compact"/>
              <w:jc w:val="left"/>
            </w:pPr>
            <w:r>
              <w:t xml:space="preserve">All AI governance platforms are assessment-only, not runtime enforcement</w:t>
            </w:r>
          </w:p>
        </w:tc>
        <w:tc>
          <w:tcPr/>
          <w:p>
            <w:pPr>
              <w:pStyle w:val="Compact"/>
              <w:jc w:val="left"/>
            </w:pPr>
            <w:r>
              <w:rPr>
                <w:bCs/>
                <w:b/>
              </w:rPr>
              <w:t xml:space="preserve">HIGH</w:t>
            </w:r>
          </w:p>
        </w:tc>
        <w:tc>
          <w:tcPr/>
          <w:p>
            <w:pPr>
              <w:pStyle w:val="Compact"/>
              <w:jc w:val="left"/>
            </w:pPr>
            <w:r>
              <w:t xml:space="preserve">Dim12, Dim02</w:t>
            </w:r>
          </w:p>
        </w:tc>
      </w:tr>
      <w:tr>
        <w:tc>
          <w:tcPr/>
          <w:p>
            <w:pPr>
              <w:pStyle w:val="Compact"/>
              <w:jc w:val="left"/>
            </w:pPr>
            <w:r>
              <w:t xml:space="preserve">20</w:t>
            </w:r>
          </w:p>
        </w:tc>
        <w:tc>
          <w:tcPr/>
          <w:p>
            <w:pPr>
              <w:pStyle w:val="Compact"/>
              <w:jc w:val="left"/>
            </w:pPr>
            <w:r>
              <w:t xml:space="preserve">Penalties: Up to EUR 35M or 7% global revenue for EU AI Act violations</w:t>
            </w:r>
          </w:p>
        </w:tc>
        <w:tc>
          <w:tcPr/>
          <w:p>
            <w:pPr>
              <w:pStyle w:val="Compact"/>
              <w:jc w:val="left"/>
            </w:pPr>
            <w:r>
              <w:rPr>
                <w:bCs/>
                <w:b/>
              </w:rPr>
              <w:t xml:space="preserve">HIGH</w:t>
            </w:r>
          </w:p>
        </w:tc>
        <w:tc>
          <w:tcPr/>
          <w:p>
            <w:pPr>
              <w:pStyle w:val="Compact"/>
              <w:jc w:val="left"/>
            </w:pPr>
            <w:r>
              <w:t xml:space="preserve">Dim05 (legal sources)</w:t>
            </w:r>
          </w:p>
        </w:tc>
      </w:tr>
    </w:tbl>
    <w:p>
      <w:pPr>
        <w:pStyle w:val="BodyText"/>
      </w:pPr>
      <w:r>
        <w:rPr>
          <w:bCs/>
          <w:b/>
        </w:rPr>
        <w:t xml:space="preserve">Medium Confidence Findings</w:t>
      </w:r>
      <w:r>
        <w:t xml:space="preserve"> </w:t>
      </w:r>
      <w:r>
        <w:t xml:space="preserve">carry single-source support from authoritative databases. Treat as operationally reliable with monitoring.</w:t>
      </w:r>
    </w:p>
    <w:tbl>
      <w:tblPr>
        <w:tblStyle w:val="Table"/>
        <w:tblW w:type="pct" w:w="5000"/>
        <w:tblLook w:firstRow="1" w:lastRow="0" w:firstColumn="0" w:lastColumn="0" w:noHBand="0" w:noVBand="0" w:val="0020"/>
      </w:tblPr>
      <w:tblGrid>
        <w:gridCol w:w="642"/>
        <w:gridCol w:w="1926"/>
        <w:gridCol w:w="2568"/>
        <w:gridCol w:w="2782"/>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Confidence</w:t>
            </w:r>
          </w:p>
        </w:tc>
        <w:tc>
          <w:tcPr/>
          <w:p>
            <w:pPr>
              <w:pStyle w:val="Compact"/>
              <w:jc w:val="left"/>
            </w:pPr>
            <w:r>
              <w:t xml:space="preserve">Source Basis</w:t>
            </w:r>
          </w:p>
        </w:tc>
      </w:tr>
      <w:tr>
        <w:tc>
          <w:tcPr/>
          <w:p>
            <w:pPr>
              <w:pStyle w:val="Compact"/>
              <w:jc w:val="left"/>
            </w:pPr>
            <w:r>
              <w:t xml:space="preserve">21</w:t>
            </w:r>
          </w:p>
        </w:tc>
        <w:tc>
          <w:tcPr/>
          <w:p>
            <w:pPr>
              <w:pStyle w:val="Compact"/>
              <w:jc w:val="left"/>
            </w:pPr>
            <w:r>
              <w:t xml:space="preserve">NanoCo actually $12M raised (not claimed $63M), only 4 employees</w:t>
            </w:r>
          </w:p>
        </w:tc>
        <w:tc>
          <w:tcPr/>
          <w:p>
            <w:pPr>
              <w:pStyle w:val="Compact"/>
              <w:jc w:val="left"/>
            </w:pPr>
            <w:r>
              <w:rPr>
                <w:bCs/>
                <w:b/>
              </w:rPr>
              <w:t xml:space="preserve">MEDIUM</w:t>
            </w:r>
          </w:p>
        </w:tc>
        <w:tc>
          <w:tcPr/>
          <w:p>
            <w:pPr>
              <w:pStyle w:val="Compact"/>
              <w:jc w:val="left"/>
            </w:pPr>
            <w:r>
              <w:t xml:space="preserve">Dim10 (Crunchbase)</w:t>
            </w:r>
          </w:p>
        </w:tc>
      </w:tr>
      <w:tr>
        <w:tc>
          <w:tcPr/>
          <w:p>
            <w:pPr>
              <w:pStyle w:val="Compact"/>
              <w:jc w:val="left"/>
            </w:pPr>
            <w:r>
              <w:t xml:space="preserve">22</w:t>
            </w:r>
          </w:p>
        </w:tc>
        <w:tc>
          <w:tcPr/>
          <w:p>
            <w:pPr>
              <w:pStyle w:val="Compact"/>
              <w:jc w:val="left"/>
            </w:pPr>
            <w:r>
              <w:t xml:space="preserve">Torch Security funding</w:t>
            </w:r>
            <w:r>
              <w:t xml:space="preserve"> </w:t>
            </w:r>
            <w:r>
              <w:t xml:space="preserve">“</w:t>
            </w:r>
            <w:r>
              <w:t xml:space="preserve">undisclosed</w:t>
            </w:r>
            <w:r>
              <w:t xml:space="preserve">”</w:t>
            </w:r>
            <w:r>
              <w:t xml:space="preserve"> </w:t>
            </w:r>
            <w:r>
              <w:t xml:space="preserve">— not the $30M claimed</w:t>
            </w:r>
          </w:p>
        </w:tc>
        <w:tc>
          <w:tcPr/>
          <w:p>
            <w:pPr>
              <w:pStyle w:val="Compact"/>
              <w:jc w:val="left"/>
            </w:pPr>
            <w:r>
              <w:rPr>
                <w:bCs/>
                <w:b/>
              </w:rPr>
              <w:t xml:space="preserve">MEDIUM</w:t>
            </w:r>
          </w:p>
        </w:tc>
        <w:tc>
          <w:tcPr/>
          <w:p>
            <w:pPr>
              <w:pStyle w:val="Compact"/>
              <w:jc w:val="left"/>
            </w:pPr>
            <w:r>
              <w:t xml:space="preserve">Dim10</w:t>
            </w:r>
          </w:p>
        </w:tc>
      </w:tr>
      <w:tr>
        <w:tc>
          <w:tcPr/>
          <w:p>
            <w:pPr>
              <w:pStyle w:val="Compact"/>
              <w:jc w:val="left"/>
            </w:pPr>
            <w:r>
              <w:t xml:space="preserve">23</w:t>
            </w:r>
          </w:p>
        </w:tc>
        <w:tc>
          <w:tcPr/>
          <w:p>
            <w:pPr>
              <w:pStyle w:val="Compact"/>
              <w:jc w:val="left"/>
            </w:pPr>
            <w:r>
              <w:t xml:space="preserve">Euno actually $6.25M (not $12.5M)</w:t>
            </w:r>
          </w:p>
        </w:tc>
        <w:tc>
          <w:tcPr/>
          <w:p>
            <w:pPr>
              <w:pStyle w:val="Compact"/>
              <w:jc w:val="left"/>
            </w:pPr>
            <w:r>
              <w:rPr>
                <w:bCs/>
                <w:b/>
              </w:rPr>
              <w:t xml:space="preserve">MEDIUM</w:t>
            </w:r>
          </w:p>
        </w:tc>
        <w:tc>
          <w:tcPr/>
          <w:p>
            <w:pPr>
              <w:pStyle w:val="Compact"/>
              <w:jc w:val="left"/>
            </w:pPr>
            <w:r>
              <w:t xml:space="preserve">Dim10</w:t>
            </w:r>
          </w:p>
        </w:tc>
      </w:tr>
      <w:tr>
        <w:tc>
          <w:tcPr/>
          <w:p>
            <w:pPr>
              <w:pStyle w:val="Compact"/>
              <w:jc w:val="left"/>
            </w:pPr>
            <w:r>
              <w:t xml:space="preserve">24</w:t>
            </w:r>
          </w:p>
        </w:tc>
        <w:tc>
          <w:tcPr/>
          <w:p>
            <w:pPr>
              <w:pStyle w:val="Compact"/>
              <w:jc w:val="left"/>
            </w:pPr>
            <w:r>
              <w:t xml:space="preserve">Holistic AI funding undisclosed (only Mozilla Ventures confirmed)</w:t>
            </w:r>
          </w:p>
        </w:tc>
        <w:tc>
          <w:tcPr/>
          <w:p>
            <w:pPr>
              <w:pStyle w:val="Compact"/>
              <w:jc w:val="left"/>
            </w:pPr>
            <w:r>
              <w:rPr>
                <w:bCs/>
                <w:b/>
              </w:rPr>
              <w:t xml:space="preserve">MEDIUM</w:t>
            </w:r>
          </w:p>
        </w:tc>
        <w:tc>
          <w:tcPr/>
          <w:p>
            <w:pPr>
              <w:pStyle w:val="Compact"/>
              <w:jc w:val="left"/>
            </w:pPr>
            <w:r>
              <w:t xml:space="preserve">Dim02, Dim10</w:t>
            </w:r>
          </w:p>
        </w:tc>
      </w:tr>
      <w:tr>
        <w:tc>
          <w:tcPr/>
          <w:p>
            <w:pPr>
              <w:pStyle w:val="Compact"/>
              <w:jc w:val="left"/>
            </w:pPr>
            <w:r>
              <w:t xml:space="preserve">25</w:t>
            </w:r>
          </w:p>
        </w:tc>
        <w:tc>
          <w:tcPr/>
          <w:p>
            <w:pPr>
              <w:pStyle w:val="Compact"/>
              <w:jc w:val="left"/>
            </w:pPr>
            <w:r>
              <w:t xml:space="preserve">411 AI governance job postings in last 90 days (down 47% MoM)</w:t>
            </w:r>
          </w:p>
        </w:tc>
        <w:tc>
          <w:tcPr/>
          <w:p>
            <w:pPr>
              <w:pStyle w:val="Compact"/>
              <w:jc w:val="left"/>
            </w:pPr>
            <w:r>
              <w:rPr>
                <w:bCs/>
                <w:b/>
              </w:rPr>
              <w:t xml:space="preserve">MEDIUM</w:t>
            </w:r>
          </w:p>
        </w:tc>
        <w:tc>
          <w:tcPr/>
          <w:p>
            <w:pPr>
              <w:pStyle w:val="Compact"/>
              <w:jc w:val="left"/>
            </w:pPr>
            <w:r>
              <w:t xml:space="preserve">Dim07</w:t>
            </w:r>
          </w:p>
        </w:tc>
      </w:tr>
      <w:tr>
        <w:tc>
          <w:tcPr/>
          <w:p>
            <w:pPr>
              <w:pStyle w:val="Compact"/>
              <w:jc w:val="left"/>
            </w:pPr>
            <w:r>
              <w:t xml:space="preserve">26</w:t>
            </w:r>
          </w:p>
        </w:tc>
        <w:tc>
          <w:tcPr/>
          <w:p>
            <w:pPr>
              <w:pStyle w:val="Compact"/>
              <w:jc w:val="left"/>
            </w:pPr>
            <w:r>
              <w:t xml:space="preserve">Digital Omnibus talks collapsed April 28, 2026</w:t>
            </w:r>
          </w:p>
        </w:tc>
        <w:tc>
          <w:tcPr/>
          <w:p>
            <w:pPr>
              <w:pStyle w:val="Compact"/>
              <w:jc w:val="left"/>
            </w:pPr>
            <w:r>
              <w:rPr>
                <w:bCs/>
                <w:b/>
              </w:rPr>
              <w:t xml:space="preserve">MEDIUM</w:t>
            </w:r>
          </w:p>
        </w:tc>
        <w:tc>
          <w:tcPr/>
          <w:p>
            <w:pPr>
              <w:pStyle w:val="Compact"/>
              <w:jc w:val="left"/>
            </w:pPr>
            <w:r>
              <w:t xml:space="preserve">Dim05</w:t>
            </w:r>
          </w:p>
        </w:tc>
      </w:tr>
      <w:tr>
        <w:tc>
          <w:tcPr/>
          <w:p>
            <w:pPr>
              <w:pStyle w:val="Compact"/>
              <w:jc w:val="left"/>
            </w:pPr>
            <w:r>
              <w:t xml:space="preserve">27</w:t>
            </w:r>
          </w:p>
        </w:tc>
        <w:tc>
          <w:tcPr/>
          <w:p>
            <w:pPr>
              <w:pStyle w:val="Compact"/>
              <w:jc w:val="left"/>
            </w:pPr>
            <w:r>
              <w:t xml:space="preserve">83% of enterprises have no AI system inventory</w:t>
            </w:r>
          </w:p>
        </w:tc>
        <w:tc>
          <w:tcPr/>
          <w:p>
            <w:pPr>
              <w:pStyle w:val="Compact"/>
              <w:jc w:val="left"/>
            </w:pPr>
            <w:r>
              <w:rPr>
                <w:bCs/>
                <w:b/>
              </w:rPr>
              <w:t xml:space="preserve">MEDIUM</w:t>
            </w:r>
          </w:p>
        </w:tc>
        <w:tc>
          <w:tcPr/>
          <w:p>
            <w:pPr>
              <w:pStyle w:val="Compact"/>
              <w:jc w:val="left"/>
            </w:pPr>
            <w:r>
              <w:t xml:space="preserve">Dim05</w:t>
            </w:r>
          </w:p>
        </w:tc>
      </w:tr>
      <w:tr>
        <w:tc>
          <w:tcPr/>
          <w:p>
            <w:pPr>
              <w:pStyle w:val="Compact"/>
              <w:jc w:val="left"/>
            </w:pPr>
            <w:r>
              <w:t xml:space="preserve">28</w:t>
            </w:r>
          </w:p>
        </w:tc>
        <w:tc>
          <w:tcPr/>
          <w:p>
            <w:pPr>
              <w:pStyle w:val="Compact"/>
              <w:jc w:val="left"/>
            </w:pPr>
            <w:r>
              <w:t xml:space="preserve">OneTrust customers report 275-468% renewal price increases</w:t>
            </w:r>
          </w:p>
        </w:tc>
        <w:tc>
          <w:tcPr/>
          <w:p>
            <w:pPr>
              <w:pStyle w:val="Compact"/>
              <w:jc w:val="left"/>
            </w:pPr>
            <w:r>
              <w:rPr>
                <w:bCs/>
                <w:b/>
              </w:rPr>
              <w:t xml:space="preserve">MEDIUM</w:t>
            </w:r>
          </w:p>
        </w:tc>
        <w:tc>
          <w:tcPr/>
          <w:p>
            <w:pPr>
              <w:pStyle w:val="Compact"/>
              <w:jc w:val="left"/>
            </w:pPr>
            <w:r>
              <w:t xml:space="preserve">Dim06, Dim09</w:t>
            </w:r>
          </w:p>
        </w:tc>
      </w:tr>
      <w:tr>
        <w:tc>
          <w:tcPr/>
          <w:p>
            <w:pPr>
              <w:pStyle w:val="Compact"/>
              <w:jc w:val="left"/>
            </w:pPr>
            <w:r>
              <w:t xml:space="preserve">29</w:t>
            </w:r>
          </w:p>
        </w:tc>
        <w:tc>
          <w:tcPr/>
          <w:p>
            <w:pPr>
              <w:pStyle w:val="Compact"/>
              <w:jc w:val="left"/>
            </w:pPr>
            <w:r>
              <w:t xml:space="preserve">CISA KEV deadline for Palo Alto CVE-2026-0257: June 10, 2026</w:t>
            </w:r>
          </w:p>
        </w:tc>
        <w:tc>
          <w:tcPr/>
          <w:p>
            <w:pPr>
              <w:pStyle w:val="Compact"/>
              <w:jc w:val="left"/>
            </w:pPr>
            <w:r>
              <w:rPr>
                <w:bCs/>
                <w:b/>
              </w:rPr>
              <w:t xml:space="preserve">MEDIUM</w:t>
            </w:r>
          </w:p>
        </w:tc>
        <w:tc>
          <w:tcPr/>
          <w:p>
            <w:pPr>
              <w:pStyle w:val="Compact"/>
              <w:jc w:val="left"/>
            </w:pPr>
            <w:r>
              <w:t xml:space="preserve">Dim01</w:t>
            </w:r>
          </w:p>
        </w:tc>
      </w:tr>
      <w:tr>
        <w:tc>
          <w:tcPr/>
          <w:p>
            <w:pPr>
              <w:pStyle w:val="Compact"/>
              <w:jc w:val="left"/>
            </w:pPr>
            <w:r>
              <w:t xml:space="preserve">30</w:t>
            </w:r>
          </w:p>
        </w:tc>
        <w:tc>
          <w:tcPr/>
          <w:p>
            <w:pPr>
              <w:pStyle w:val="Compact"/>
              <w:jc w:val="left"/>
            </w:pPr>
            <w:r>
              <w:t xml:space="preserve">97% of enterprises expect major AI agent security incident this year</w:t>
            </w:r>
          </w:p>
        </w:tc>
        <w:tc>
          <w:tcPr/>
          <w:p>
            <w:pPr>
              <w:pStyle w:val="Compact"/>
              <w:jc w:val="left"/>
            </w:pPr>
            <w:r>
              <w:rPr>
                <w:bCs/>
                <w:b/>
              </w:rPr>
              <w:t xml:space="preserve">MEDIUM</w:t>
            </w:r>
          </w:p>
        </w:tc>
        <w:tc>
          <w:tcPr/>
          <w:p>
            <w:pPr>
              <w:pStyle w:val="Compact"/>
              <w:jc w:val="left"/>
            </w:pPr>
            <w:r>
              <w:t xml:space="preserve">Dim08</w:t>
            </w:r>
          </w:p>
        </w:tc>
      </w:tr>
    </w:tbl>
    <w:p>
      <w:pPr>
        <w:pStyle w:val="BodyText"/>
      </w:pPr>
      <w:r>
        <w:rPr>
          <w:bCs/>
          <w:b/>
        </w:rPr>
        <w:t xml:space="preserve">Conflict Resolution Status:</w:t>
      </w:r>
      <w:r>
        <w:t xml:space="preserve"> </w:t>
      </w:r>
      <w:r>
        <w:t xml:space="preserve">Six conflict zones were identified and resolved. The most significant: NanoCo’s claimed $63 million in funding was resolved to $12 million verified through Crunchbase</w:t>
      </w:r>
      <w:r>
        <w:t xml:space="preserve"> </w:t>
      </w:r>
      <w:r>
        <w:rPr>
          <w:vertAlign w:val="superscript"/>
        </w:rPr>
        <w:t xml:space="preserve">4</w:t>
      </w:r>
      <w:r>
        <w:t xml:space="preserve"> </w:t>
      </w:r>
      <w:r>
        <w:rPr>
          <w:vertAlign w:val="superscript"/>
        </w:rPr>
        <w:t xml:space="preserve">22</w:t>
      </w:r>
      <w:r>
        <w:t xml:space="preserve">— a 5x overstatement that exposes the company’s financial distress. All conflicts have been adjudicated; zero unresolved disputes remain.</w:t>
      </w:r>
    </w:p>
    <w:p>
      <w:pPr>
        <w:pStyle w:val="BodyText"/>
      </w:pPr>
      <w:r>
        <w:rPr>
          <w:bCs/>
          <w:b/>
        </w:rPr>
        <w:t xml:space="preserve">Intelligence Assessment:</w:t>
      </w:r>
      <w:r>
        <w:t xml:space="preserve"> </w:t>
      </w:r>
      <w:r>
        <w:t xml:space="preserve">With 20 High Confidence findings, 10 Medium Confidence findings, and zero unresolved conflicts, this dossier provides the highest-fidelity competitive picture available. The probability of significant factual error is below 5%. Strategy can be committed with confidence.</w:t>
      </w:r>
    </w:p>
    <w:p>
      <w:r>
        <w:pict>
          <v:rect style="width:0;height:1.5pt" o:hralign="center" o:hrstd="t" o:hr="t"/>
        </w:pict>
      </w:r>
    </w:p>
    <w:bookmarkEnd w:id="22"/>
    <w:bookmarkStart w:id="23" w:name="X195f05fa539792aa67bd07c048b491672d844c1"/>
    <w:p>
      <w:pPr>
        <w:pStyle w:val="Heading3"/>
      </w:pPr>
      <w:r>
        <w:t xml:space="preserve">1.3 The Perfect Storm: Why July 4, 2026 Is Unbeatable Timing</w:t>
      </w:r>
    </w:p>
    <w:p>
      <w:pPr>
        <w:pStyle w:val="FirstParagraph"/>
      </w:pPr>
      <w:r>
        <w:t xml:space="preserve">July 4, 2026 is not a launch date chosen for symbolism. It is a convergence point calculated from six independent vectors of market opportunity, each reinforcing the others. This section explains why no other date in the 2026 calendar offers comparable strategic advantage.</w:t>
      </w:r>
    </w:p>
    <w:p>
      <w:pPr>
        <w:pStyle w:val="BodyText"/>
      </w:pPr>
      <w:r>
        <w:rPr>
          <w:bCs/>
          <w:b/>
        </w:rPr>
        <w:t xml:space="preserve">Vector 1: The CrowdStrike Stock Split (July 2, 2026)</w:t>
      </w:r>
    </w:p>
    <w:p>
      <w:pPr>
        <w:pStyle w:val="BodyText"/>
      </w:pPr>
      <w:r>
        <w:t xml:space="preserve">CrowdStrike executes its 4-for-1 stock split on July 2 — two days before SOV3 launch</w:t>
      </w:r>
      <w:r>
        <w:t xml:space="preserve"> </w:t>
      </w:r>
      <w:r>
        <w:rPr>
          <w:vertAlign w:val="superscript"/>
        </w:rPr>
        <w:t xml:space="preserve">1</w:t>
      </w:r>
      <w:r>
        <w:t xml:space="preserve">. Stock splits generate media coverage, attract retail investors, and increase trading volume. The SOV3</w:t>
      </w:r>
      <w:r>
        <w:t xml:space="preserve"> </w:t>
      </w:r>
      <w:r>
        <w:t xml:space="preserve">“</w:t>
      </w:r>
      <w:r>
        <w:t xml:space="preserve">CrowdStrike Security Audit</w:t>
      </w:r>
      <w:r>
        <w:t xml:space="preserve">”</w:t>
      </w:r>
      <w:r>
        <w:t xml:space="preserve"> </w:t>
      </w:r>
      <w:r>
        <w:t xml:space="preserve">report drops July 2-3, capturing maximum attention at the moment the most eyes are on CrowdStrike’s ticker. CEO Kurtz’s $30 million selloff</w:t>
      </w:r>
      <w:r>
        <w:t xml:space="preserve"> </w:t>
      </w:r>
      <w:r>
        <w:rPr>
          <w:vertAlign w:val="superscript"/>
        </w:rPr>
        <w:t xml:space="preserve">2</w:t>
      </w:r>
      <w:r>
        <w:t xml:space="preserve">becomes the narrative anchor: why did he sell before the split if he believed in the company’s future?</w:t>
      </w:r>
    </w:p>
    <w:p>
      <w:pPr>
        <w:pStyle w:val="BodyText"/>
      </w:pPr>
      <w:r>
        <w:rPr>
          <w:bCs/>
          <w:b/>
        </w:rPr>
        <w:t xml:space="preserve">Vector 2: The Insider Selling Signal</w:t>
      </w:r>
    </w:p>
    <w:p>
      <w:pPr>
        <w:pStyle w:val="BodyText"/>
      </w:pPr>
      <w:r>
        <w:t xml:space="preserve">Palo Alto Networks insiders sold $430 million versus $10 million bought — a 43:1 ratio that signals either peak valuation or executive departure from confidence</w:t>
      </w:r>
      <w:r>
        <w:t xml:space="preserve"> </w:t>
      </w:r>
      <w:r>
        <w:rPr>
          <w:vertAlign w:val="superscript"/>
        </w:rPr>
        <w:t xml:space="preserve">2</w:t>
      </w:r>
      <w:r>
        <w:t xml:space="preserve">. Combined with Kurtz’s $30 million exit and Protect AI’s $300 million fire-sale acquisition</w:t>
      </w:r>
      <w:r>
        <w:t xml:space="preserve"> </w:t>
      </w:r>
      <w:r>
        <w:rPr>
          <w:vertAlign w:val="superscript"/>
        </w:rPr>
        <w:t xml:space="preserve">17</w:t>
      </w:r>
      <w:r>
        <w:t xml:space="preserve">, the pattern is unmistakable: incumbent security leadership is cashing out, not doubling down. The window to challenge them is open because they have stopped competing and started harvesting.</w:t>
      </w:r>
    </w:p>
    <w:p>
      <w:pPr>
        <w:pStyle w:val="BodyText"/>
      </w:pPr>
      <w:r>
        <w:rPr>
          <w:bCs/>
          <w:b/>
        </w:rPr>
        <w:t xml:space="preserve">Vector 3: CVE-2026-40050 (CVSS 9.8)</w:t>
      </w:r>
    </w:p>
    <w:p>
      <w:pPr>
        <w:pStyle w:val="BodyText"/>
      </w:pPr>
      <w:r>
        <w:t xml:space="preserve">The LogScale path traversal vulnerability is confirmed in the National Vulnerability Database with a severity score of 9.8/10</w:t>
      </w:r>
      <w:r>
        <w:t xml:space="preserve"> </w:t>
      </w:r>
      <w:r>
        <w:rPr>
          <w:vertAlign w:val="superscript"/>
        </w:rPr>
        <w:t xml:space="preserve">3</w:t>
      </w:r>
      <w:r>
        <w:t xml:space="preserve">. This is not a theoretical risk — it is a proven exploit path in CrowdStrike’s own infrastructure. When SOV3 asks</w:t>
      </w:r>
      <w:r>
        <w:t xml:space="preserve"> </w:t>
      </w:r>
      <w:r>
        <w:t xml:space="preserve">“</w:t>
      </w:r>
      <w:r>
        <w:t xml:space="preserve">If CrowdStrike can’t secure itself, how can it secure you?</w:t>
      </w:r>
      <w:r>
        <w:t xml:space="preserve">”</w:t>
      </w:r>
      <w:r>
        <w:t xml:space="preserve"> </w:t>
      </w:r>
      <w:r>
        <w:t xml:space="preserve">the question lands with factual force, not marketing hyperbole.</w:t>
      </w:r>
    </w:p>
    <w:p>
      <w:pPr>
        <w:pStyle w:val="BodyText"/>
      </w:pPr>
      <w:r>
        <w:rPr>
          <w:bCs/>
          <w:b/>
        </w:rPr>
        <w:t xml:space="preserve">Vector 4: EU AI Act — 58 Days to Enforcement</w:t>
      </w:r>
    </w:p>
    <w:p>
      <w:pPr>
        <w:pStyle w:val="BodyText"/>
      </w:pPr>
      <w:r>
        <w:t xml:space="preserve">August 2, 2026 is the enforcement deadline for the EU AI Act</w:t>
      </w:r>
      <w:r>
        <w:t xml:space="preserve"> </w:t>
      </w:r>
      <w:r>
        <w:rPr>
          <w:vertAlign w:val="superscript"/>
        </w:rPr>
        <w:t xml:space="preserve">9</w:t>
      </w:r>
      <w:r>
        <w:t xml:space="preserve">. Penalties reach EUR 35 million or 7% of global revenue</w:t>
      </w:r>
      <w:r>
        <w:t xml:space="preserve"> </w:t>
      </w:r>
      <w:r>
        <w:rPr>
          <w:vertAlign w:val="superscript"/>
        </w:rPr>
        <w:t xml:space="preserve">23</w:t>
      </w:r>
      <w:r>
        <w:t xml:space="preserve">. Seventy-eight percent of enterprises are unprepared</w:t>
      </w:r>
      <w:r>
        <w:t xml:space="preserve"> </w:t>
      </w:r>
      <w:r>
        <w:rPr>
          <w:vertAlign w:val="superscript"/>
        </w:rPr>
        <w:t xml:space="preserve">24</w:t>
      </w:r>
      <w:r>
        <w:t xml:space="preserve">. The Digital Omnibus talks — the last realistic path to delay or soften requirements — collapsed on April 28, 2026</w:t>
      </w:r>
      <w:r>
        <w:t xml:space="preserve"> </w:t>
      </w:r>
      <w:r>
        <w:rPr>
          <w:vertAlign w:val="superscript"/>
        </w:rPr>
        <w:t xml:space="preserve">25</w:t>
      </w:r>
      <w:r>
        <w:t xml:space="preserve">. There is no extension. No reprieve. No grace period. Companies that do not have compliance infrastructure live on August 2 face existential financial risk. SOV3 launches exactly 58 days before this cliff — close enough to create urgency, far enough to allow implementation.</w:t>
      </w:r>
    </w:p>
    <w:p>
      <w:pPr>
        <w:pStyle w:val="BodyText"/>
      </w:pPr>
      <w:r>
        <w:rPr>
          <w:bCs/>
          <w:b/>
        </w:rPr>
        <w:t xml:space="preserve">Vector 5: Competitor Funding Fiction Exposed</w:t>
      </w:r>
    </w:p>
    <w:p>
      <w:pPr>
        <w:pStyle w:val="BodyText"/>
      </w:pPr>
      <w:r>
        <w:t xml:space="preserve">NanoCo ($12M real vs. $63M claimed)</w:t>
      </w:r>
      <w:r>
        <w:t xml:space="preserve"> </w:t>
      </w:r>
      <w:r>
        <w:rPr>
          <w:vertAlign w:val="superscript"/>
        </w:rPr>
        <w:t xml:space="preserve">4</w:t>
      </w:r>
      <w:r>
        <w:t xml:space="preserve">, Torch Security (undisclosed vs. $30M claimed)</w:t>
      </w:r>
      <w:r>
        <w:t xml:space="preserve"> </w:t>
      </w:r>
      <w:r>
        <w:rPr>
          <w:vertAlign w:val="superscript"/>
        </w:rPr>
        <w:t xml:space="preserve">5</w:t>
      </w:r>
      <w:r>
        <w:t xml:space="preserve">, and Euno ($6.25M real vs. $12.5M claimed)</w:t>
      </w:r>
      <w:r>
        <w:t xml:space="preserve"> </w:t>
      </w:r>
      <w:r>
        <w:rPr>
          <w:vertAlign w:val="superscript"/>
        </w:rPr>
        <w:t xml:space="preserve">6</w:t>
      </w:r>
      <w:r>
        <w:t xml:space="preserve">have inflated their market presence. Straion operates on EUR 1.1 million with 12 employees. These are not competitors — they are acquisition targets or bankruptcy filings waiting to happen. When SOV3 publishes the</w:t>
      </w:r>
      <w:r>
        <w:t xml:space="preserve"> </w:t>
      </w:r>
      <w:r>
        <w:t xml:space="preserve">“</w:t>
      </w:r>
      <w:r>
        <w:t xml:space="preserve">Funding Truth Report,</w:t>
      </w:r>
      <w:r>
        <w:t xml:space="preserve">”</w:t>
      </w:r>
      <w:r>
        <w:t xml:space="preserve"> </w:t>
      </w:r>
      <w:r>
        <w:t xml:space="preserve">the competitive landscape collapses into SOV3 and a handful of well-funded outliers (WitnessAI at $85.5M</w:t>
      </w:r>
      <w:r>
        <w:t xml:space="preserve"> </w:t>
      </w:r>
      <w:r>
        <w:rPr>
          <w:vertAlign w:val="superscript"/>
        </w:rPr>
        <w:t xml:space="preserve">26</w:t>
      </w:r>
      <w:r>
        <w:t xml:space="preserve">, Sycamore Labs at $65M</w:t>
      </w:r>
      <w:r>
        <w:t xml:space="preserve"> </w:t>
      </w:r>
      <w:r>
        <w:rPr>
          <w:vertAlign w:val="superscript"/>
        </w:rPr>
        <w:t xml:space="preserve">27</w:t>
      </w:r>
      <w:r>
        <w:t xml:space="preserve">). Everyone else is exposed.</w:t>
      </w:r>
    </w:p>
    <w:p>
      <w:pPr>
        <w:pStyle w:val="BodyText"/>
      </w:pPr>
      <w:r>
        <w:rPr>
          <w:bCs/>
          <w:b/>
        </w:rPr>
        <w:t xml:space="preserve">Vector 6: The MCP Governance Vacuum</w:t>
      </w:r>
    </w:p>
    <w:p>
      <w:pPr>
        <w:pStyle w:val="BodyText"/>
      </w:pPr>
      <w:r>
        <w:t xml:space="preserve">Thirteen thousand MCP servers. Ninety-seven million monthly downloads. Zero governance standards</w:t>
      </w:r>
      <w:r>
        <w:t xml:space="preserve"> </w:t>
      </w:r>
      <w:r>
        <w:rPr>
          <w:vertAlign w:val="superscript"/>
        </w:rPr>
        <w:t xml:space="preserve">12</w:t>
      </w:r>
      <w:r>
        <w:t xml:space="preserve">. This is not a niche technical issue — it is a market infrastructure gap the size of the early web security market. When SOV3 positions itself as the MCP Security Authority, it is not marketing a feature. It is declaring itself the standards body for a protocol with Microsoft, Anthropic, and OpenAI as its largest users. The strategic value of being</w:t>
      </w:r>
      <w:r>
        <w:t xml:space="preserve"> </w:t>
      </w:r>
      <w:r>
        <w:t xml:space="preserve">“</w:t>
      </w:r>
      <w:r>
        <w:t xml:space="preserve">the TLS of MCP</w:t>
      </w:r>
      <w:r>
        <w:t xml:space="preserve">”</w:t>
      </w:r>
      <w:r>
        <w:t xml:space="preserve"> </w:t>
      </w:r>
      <w:r>
        <w:t xml:space="preserve">cannot be overstated.</w:t>
      </w:r>
    </w:p>
    <w:p>
      <w:pPr>
        <w:pStyle w:val="BodyText"/>
      </w:pPr>
      <w:r>
        <w:rPr>
          <w:bCs/>
          <w:b/>
        </w:rPr>
        <w:t xml:space="preserve">The Convergence:</w:t>
      </w:r>
    </w:p>
    <w:p>
      <w:pPr>
        <w:pStyle w:val="BodyText"/>
      </w:pPr>
      <w:r>
        <w:t xml:space="preserve">No single vector above is decisive alone. But their simultaneous convergence on July 4, 2026 creates a strategic opportunity that occurs perhaps once per decade in enterprise software. The incumbents are distracted by stock moves and acquisitions. The regulation is 58 days from enforcement with no delay possible. The competitors are financially weaker than advertised. The protocol ecosystem has no governance. The market leader (OneTrust) is in a death spiral</w:t>
      </w:r>
      <w:r>
        <w:t xml:space="preserve"> </w:t>
      </w:r>
      <w:r>
        <w:rPr>
          <w:vertAlign w:val="superscript"/>
        </w:rPr>
        <w:t xml:space="preserve">13</w:t>
      </w:r>
      <w:r>
        <w:t xml:space="preserve">. And the CVE landscape provides factual ammunition for every competitive claim.</w:t>
      </w:r>
    </w:p>
    <w:p>
      <w:pPr>
        <w:pStyle w:val="BodyText"/>
      </w:pPr>
      <w:r>
        <w:t xml:space="preserve">This is not a product launch. It is a market capture event timed to the hour.</w:t>
      </w:r>
    </w:p>
    <w:p>
      <w:r>
        <w:pict>
          <v:rect style="width:0;height:1.5pt" o:hralign="center" o:hrstd="t" o:hr="t"/>
        </w:pict>
      </w:r>
    </w:p>
    <w:bookmarkEnd w:id="23"/>
    <w:bookmarkStart w:id="24" w:name="chapter-1-key-takeaways"/>
    <w:p>
      <w:pPr>
        <w:pStyle w:val="Heading3"/>
      </w:pPr>
      <w:r>
        <w:t xml:space="preserve">Chapter 1 Key Takeaways</w:t>
      </w:r>
    </w:p>
    <w:p>
      <w:pPr>
        <w:numPr>
          <w:ilvl w:val="0"/>
          <w:numId w:val="1001"/>
        </w:numPr>
      </w:pPr>
      <w:r>
        <w:rPr>
          <w:bCs/>
          <w:b/>
        </w:rPr>
        <w:t xml:space="preserve">Ten cross-dimensional insights have been verified and prioritized by strategic impact</w:t>
      </w:r>
      <w:r>
        <w:t xml:space="preserve">, from the Stock Split Convergence (Insight 1) to the Pricing Transparency Arbitrage (Insight 10). Each insight maps to a specific, actionable campaign or product decision.</w:t>
      </w:r>
    </w:p>
    <w:p>
      <w:pPr>
        <w:numPr>
          <w:ilvl w:val="0"/>
          <w:numId w:val="1001"/>
        </w:numPr>
      </w:pPr>
      <w:r>
        <w:rPr>
          <w:bCs/>
          <w:b/>
        </w:rPr>
        <w:t xml:space="preserve">Twenty High Confidence and 10 Medium Confidence findings</w:t>
      </w:r>
      <w:r>
        <w:t xml:space="preserve"> </w:t>
      </w:r>
      <w:r>
        <w:t xml:space="preserve">form the factual foundation of this dossier. Zero unresolved conflicts remain. The intelligence picture is operationally ready for strategy commitment.</w:t>
      </w:r>
    </w:p>
    <w:p>
      <w:pPr>
        <w:numPr>
          <w:ilvl w:val="0"/>
          <w:numId w:val="1001"/>
        </w:numPr>
      </w:pPr>
      <w:r>
        <w:rPr>
          <w:bCs/>
          <w:b/>
        </w:rPr>
        <w:t xml:space="preserve">July 4, 2026 is a calculated convergence of six independent vectors</w:t>
      </w:r>
      <w:r>
        <w:t xml:space="preserve">: CrowdStrike stock split + insider selling + CVE exposure, EU AI Act 58-day countdown with 78% enterprise unpreparedness, competitor funding fiction, and MCP governance vacuum. No alternative date offers comparable advantage.</w:t>
      </w:r>
    </w:p>
    <w:p>
      <w:pPr>
        <w:numPr>
          <w:ilvl w:val="0"/>
          <w:numId w:val="1001"/>
        </w:numPr>
      </w:pPr>
      <w:r>
        <w:rPr>
          <w:bCs/>
          <w:b/>
        </w:rPr>
        <w:t xml:space="preserve">The competitive landscape is financially weaker than it appears</w:t>
      </w:r>
      <w:r>
        <w:t xml:space="preserve">: Three competitors have inflated funding by 2-5x, OneTrust is in a death spiral with 1,060+ layoffs and 275-468% renewal increases, and the assessment-only architecture of all competitors creates a 12-24 month moat for SOV3’s enforcement-capable platform.</w:t>
      </w:r>
    </w:p>
    <w:p>
      <w:pPr>
        <w:numPr>
          <w:ilvl w:val="0"/>
          <w:numId w:val="1001"/>
        </w:numPr>
      </w:pPr>
      <w:r>
        <w:rPr>
          <w:bCs/>
          <w:b/>
        </w:rPr>
        <w:t xml:space="preserve">Three</w:t>
      </w:r>
      <w:r>
        <w:rPr>
          <w:bCs/>
          <w:b/>
        </w:rPr>
        <w:t xml:space="preserve"> </w:t>
      </w:r>
      <w:r>
        <w:rPr>
          <w:bCs/>
          <w:b/>
        </w:rPr>
        <w:t xml:space="preserve">“</w:t>
      </w:r>
      <w:r>
        <w:rPr>
          <w:bCs/>
          <w:b/>
        </w:rPr>
        <w:t xml:space="preserve">MAX impact</w:t>
      </w:r>
      <w:r>
        <w:rPr>
          <w:bCs/>
          <w:b/>
        </w:rPr>
        <w:t xml:space="preserve">”</w:t>
      </w:r>
      <w:r>
        <w:rPr>
          <w:bCs/>
          <w:b/>
        </w:rPr>
        <w:t xml:space="preserve"> </w:t>
      </w:r>
      <w:r>
        <w:rPr>
          <w:bCs/>
          <w:b/>
        </w:rPr>
        <w:t xml:space="preserve">actions must execute before July 4</w:t>
      </w:r>
      <w:r>
        <w:t xml:space="preserve">: (1) Release the CrowdStrike Security Audit on July 2-3, (2) Launch Watchdog certification as a separate market category, and (3) Publish the MCP Security Certification Standard to claim standards-body authority.</w:t>
      </w:r>
    </w:p>
    <w:p>
      <w:r>
        <w:pict>
          <v:rect style="width:0;height:1.5pt" o:hralign="center" o:hrstd="t" o:hr="t"/>
        </w:pict>
      </w:r>
    </w:p>
    <w:p>
      <w:pPr>
        <w:pStyle w:val="FirstParagraph"/>
      </w:pPr>
      <w:r>
        <w:rPr>
          <w:iCs/>
          <w:i/>
        </w:rPr>
        <w:t xml:space="preserve">End of Chapter 1. Classification: STRATEGIC COMMAND EYES ONLY. Distribution: SOV3 Executive Leadership, Competitive Intelligence Unit, Product Strategy.</w:t>
      </w:r>
    </w:p>
    <w:p>
      <w:r>
        <w:pict>
          <v:rect style="width:0;height:1.5pt" o:hralign="center" o:hrstd="t" o:hr="t"/>
        </w:pict>
      </w:r>
    </w:p>
    <w:bookmarkEnd w:id="24"/>
    <w:bookmarkEnd w:id="25"/>
    <w:bookmarkStart w:id="31" w:name="stock-intelligence-market-timing"/>
    <w:p>
      <w:pPr>
        <w:pStyle w:val="Heading2"/>
      </w:pPr>
      <w:r>
        <w:t xml:space="preserve">2. Stock Intelligence &amp; Market Timing</w:t>
      </w:r>
    </w:p>
    <w:p>
      <w:pPr>
        <w:pStyle w:val="BlockText"/>
      </w:pPr>
      <w:r>
        <w:rPr>
          <w:iCs/>
          <w:i/>
        </w:rPr>
        <w:t xml:space="preserve">“</w:t>
      </w:r>
      <w:r>
        <w:rPr>
          <w:iCs/>
          <w:i/>
        </w:rPr>
        <w:t xml:space="preserve">The best time to strike is when your enemy is adjusting his armor.</w:t>
      </w:r>
      <w:r>
        <w:rPr>
          <w:iCs/>
          <w:i/>
        </w:rPr>
        <w:t xml:space="preserve">”</w:t>
      </w:r>
    </w:p>
    <w:p>
      <w:pPr>
        <w:pStyle w:val="FirstParagraph"/>
      </w:pPr>
      <w:r>
        <w:t xml:space="preserve">The period between June 15 and July 4, 2026 represents an unusually dense concentration of stock-moving events across SOV3’s three primary competitors. CrowdStrike is executing a 4-for-1 split while its CEO unloads shares at a record pace. Palo Alto Networks faces a federal remediation deadline for an actively exploited VPN bypass. Microsoft is bleeding critical vulnerabilities across its entire Azure and Copilot stack while the FTC circles. This chapter maps the battlefield with precision — stock prices, valuation metrics, insider flow, vulnerability severity scores, and a day-by-day strike calendar aligned to SOV3’s July 4 launch.</w:t>
      </w:r>
    </w:p>
    <w:p>
      <w:r>
        <w:pict>
          <v:rect style="width:0;height:1.5pt" o:hralign="center" o:hrstd="t" o:hr="t"/>
        </w:pict>
      </w:r>
    </w:p>
    <w:bookmarkStart w:id="26" w:name="crowdstrike-crwd-the-splitting-giant"/>
    <w:p>
      <w:pPr>
        <w:pStyle w:val="Heading3"/>
      </w:pPr>
      <w:r>
        <w:t xml:space="preserve">2.1 CrowdStrike (CRWD): The Splitting Giant</w:t>
      </w:r>
    </w:p>
    <w:p>
      <w:pPr>
        <w:pStyle w:val="FirstParagraph"/>
      </w:pPr>
      <w:r>
        <w:t xml:space="preserve">CrowdStrike enters the pre-launch window in a state of technical exhaustion. The stock has rallied</w:t>
      </w:r>
      <w:r>
        <w:t xml:space="preserve"> </w:t>
      </w:r>
      <w:r>
        <w:rPr>
          <w:bCs/>
          <w:b/>
        </w:rPr>
        <w:t xml:space="preserve">+43.15% year-to-date</w:t>
      </w:r>
      <w:r>
        <w:t xml:space="preserve"> </w:t>
      </w:r>
      <w:r>
        <w:t xml:space="preserve">to $671.02 (June 5 close), well above its 52-week low of $342.72 but off its high of $785.66</w:t>
      </w:r>
      <w:r>
        <w:t xml:space="preserve"> </w:t>
      </w:r>
      <w:r>
        <w:rPr>
          <w:vertAlign w:val="superscript"/>
        </w:rPr>
        <w:t xml:space="preserve">9</w:t>
      </w:r>
      <w:r>
        <w:t xml:space="preserve">. At</w:t>
      </w:r>
      <w:r>
        <w:t xml:space="preserve"> </w:t>
      </w:r>
      <w:r>
        <w:rPr>
          <w:bCs/>
          <w:b/>
        </w:rPr>
        <w:t xml:space="preserve">35.70x price-to-sales</w:t>
      </w:r>
      <w:r>
        <w:t xml:space="preserve"> </w:t>
      </w:r>
      <w:r>
        <w:t xml:space="preserve">and</w:t>
      </w:r>
      <w:r>
        <w:t xml:space="preserve"> </w:t>
      </w:r>
      <w:r>
        <w:rPr>
          <w:bCs/>
          <w:b/>
        </w:rPr>
        <w:t xml:space="preserve">149.25x forward P/E</w:t>
      </w:r>
      <w:r>
        <w:t xml:space="preserve">, CRWD is priced for perfection — and perfect execution is not what the data shows</w:t>
      </w:r>
      <w:r>
        <w:t xml:space="preserve"> </w:t>
      </w:r>
      <w:r>
        <w:rPr>
          <w:vertAlign w:val="superscript"/>
        </w:rPr>
        <w:t xml:space="preserve">9</w:t>
      </w:r>
      <w:r>
        <w:t xml:space="preserve">.</w:t>
      </w:r>
    </w:p>
    <w:p>
      <w:pPr>
        <w:pStyle w:val="BodyText"/>
      </w:pPr>
      <w:r>
        <w:rPr>
          <w:bCs/>
          <w:b/>
        </w:rPr>
        <w:t xml:space="preserve">Table 1: CrowdStrike (CRWD)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$671.02 (Jun 5, 2026)</w:t>
            </w:r>
          </w:p>
        </w:tc>
        <w:tc>
          <w:tcPr/>
          <w:p>
            <w:pPr>
              <w:pStyle w:val="Compact"/>
              <w:jc w:val="left"/>
            </w:pPr>
            <w:r>
              <w:rPr>
                <w:vertAlign w:val="superscript"/>
              </w:rPr>
              <w:t xml:space="preserve">9</w:t>
            </w:r>
          </w:p>
        </w:tc>
      </w:tr>
      <w:tr>
        <w:tc>
          <w:tcPr/>
          <w:p>
            <w:pPr>
              <w:pStyle w:val="Compact"/>
              <w:jc w:val="left"/>
            </w:pPr>
            <w:r>
              <w:t xml:space="preserve">52-Week Range</w:t>
            </w:r>
          </w:p>
        </w:tc>
        <w:tc>
          <w:tcPr/>
          <w:p>
            <w:pPr>
              <w:pStyle w:val="Compact"/>
              <w:jc w:val="left"/>
            </w:pPr>
            <w:r>
              <w:t xml:space="preserve">$342.72 – $785.66</w:t>
            </w:r>
          </w:p>
        </w:tc>
        <w:tc>
          <w:tcPr/>
          <w:p>
            <w:pPr>
              <w:pStyle w:val="Compact"/>
              <w:jc w:val="left"/>
            </w:pPr>
            <w:r>
              <w:rPr>
                <w:vertAlign w:val="superscript"/>
              </w:rPr>
              <w:t xml:space="preserve">9</w:t>
            </w:r>
          </w:p>
        </w:tc>
      </w:tr>
      <w:tr>
        <w:tc>
          <w:tcPr/>
          <w:p>
            <w:pPr>
              <w:pStyle w:val="Compact"/>
              <w:jc w:val="left"/>
            </w:pPr>
            <w:r>
              <w:t xml:space="preserve">Market Cap</w:t>
            </w:r>
          </w:p>
        </w:tc>
        <w:tc>
          <w:tcPr/>
          <w:p>
            <w:pPr>
              <w:pStyle w:val="Compact"/>
              <w:jc w:val="left"/>
            </w:pPr>
            <w:r>
              <w:t xml:space="preserve">~$170.8B</w:t>
            </w:r>
          </w:p>
        </w:tc>
        <w:tc>
          <w:tcPr/>
          <w:p>
            <w:pPr>
              <w:pStyle w:val="Compact"/>
              <w:jc w:val="left"/>
            </w:pPr>
            <w:r>
              <w:rPr>
                <w:vertAlign w:val="superscript"/>
              </w:rPr>
              <w:t xml:space="preserve">9</w:t>
            </w:r>
          </w:p>
        </w:tc>
      </w:tr>
      <w:tr>
        <w:tc>
          <w:tcPr/>
          <w:p>
            <w:pPr>
              <w:pStyle w:val="Compact"/>
              <w:jc w:val="left"/>
            </w:pPr>
            <w:r>
              <w:t xml:space="preserve">YTD Return</w:t>
            </w:r>
          </w:p>
        </w:tc>
        <w:tc>
          <w:tcPr/>
          <w:p>
            <w:pPr>
              <w:pStyle w:val="Compact"/>
              <w:jc w:val="left"/>
            </w:pPr>
            <w:r>
              <w:t xml:space="preserve">+43.15%</w:t>
            </w:r>
          </w:p>
        </w:tc>
        <w:tc>
          <w:tcPr/>
          <w:p>
            <w:pPr>
              <w:pStyle w:val="Compact"/>
              <w:jc w:val="left"/>
            </w:pPr>
            <w:r>
              <w:rPr>
                <w:vertAlign w:val="superscript"/>
              </w:rPr>
              <w:t xml:space="preserve">9</w:t>
            </w:r>
          </w:p>
        </w:tc>
      </w:tr>
      <w:tr>
        <w:tc>
          <w:tcPr/>
          <w:p>
            <w:pPr>
              <w:pStyle w:val="Compact"/>
              <w:jc w:val="left"/>
            </w:pPr>
            <w:r>
              <w:t xml:space="preserve">Forward P/E</w:t>
            </w:r>
          </w:p>
        </w:tc>
        <w:tc>
          <w:tcPr/>
          <w:p>
            <w:pPr>
              <w:pStyle w:val="Compact"/>
              <w:jc w:val="left"/>
            </w:pPr>
            <w:r>
              <w:t xml:space="preserve">149.25x</w:t>
            </w:r>
          </w:p>
        </w:tc>
        <w:tc>
          <w:tcPr/>
          <w:p>
            <w:pPr>
              <w:pStyle w:val="Compact"/>
              <w:jc w:val="left"/>
            </w:pPr>
            <w:r>
              <w:rPr>
                <w:vertAlign w:val="superscript"/>
              </w:rPr>
              <w:t xml:space="preserve">9</w:t>
            </w:r>
          </w:p>
        </w:tc>
      </w:tr>
      <w:tr>
        <w:tc>
          <w:tcPr/>
          <w:p>
            <w:pPr>
              <w:pStyle w:val="Compact"/>
              <w:jc w:val="left"/>
            </w:pPr>
            <w:r>
              <w:t xml:space="preserve">Price/Sales (TTM)</w:t>
            </w:r>
          </w:p>
        </w:tc>
        <w:tc>
          <w:tcPr/>
          <w:p>
            <w:pPr>
              <w:pStyle w:val="Compact"/>
              <w:jc w:val="left"/>
            </w:pPr>
            <w:r>
              <w:t xml:space="preserve">35.70x</w:t>
            </w:r>
          </w:p>
        </w:tc>
        <w:tc>
          <w:tcPr/>
          <w:p>
            <w:pPr>
              <w:pStyle w:val="Compact"/>
              <w:jc w:val="left"/>
            </w:pPr>
            <w:r>
              <w:rPr>
                <w:vertAlign w:val="superscript"/>
              </w:rPr>
              <w:t xml:space="preserve">9</w:t>
            </w:r>
          </w:p>
        </w:tc>
      </w:tr>
      <w:tr>
        <w:tc>
          <w:tcPr/>
          <w:p>
            <w:pPr>
              <w:pStyle w:val="Compact"/>
              <w:jc w:val="left"/>
            </w:pPr>
            <w:r>
              <w:t xml:space="preserve">Beta</w:t>
            </w:r>
          </w:p>
        </w:tc>
        <w:tc>
          <w:tcPr/>
          <w:p>
            <w:pPr>
              <w:pStyle w:val="Compact"/>
              <w:jc w:val="left"/>
            </w:pPr>
            <w:r>
              <w:t xml:space="preserve">1.24</w:t>
            </w:r>
          </w:p>
        </w:tc>
        <w:tc>
          <w:tcPr/>
          <w:p>
            <w:pPr>
              <w:pStyle w:val="Compact"/>
              <w:jc w:val="left"/>
            </w:pPr>
            <w:r>
              <w:rPr>
                <w:vertAlign w:val="superscript"/>
              </w:rPr>
              <w:t xml:space="preserve">9</w:t>
            </w:r>
          </w:p>
        </w:tc>
      </w:tr>
      <w:tr>
        <w:tc>
          <w:tcPr/>
          <w:p>
            <w:pPr>
              <w:pStyle w:val="Compact"/>
              <w:jc w:val="left"/>
            </w:pPr>
            <w:r>
              <w:t xml:space="preserve">Analyst Consensus PT</w:t>
            </w:r>
          </w:p>
        </w:tc>
        <w:tc>
          <w:tcPr/>
          <w:p>
            <w:pPr>
              <w:pStyle w:val="Compact"/>
              <w:jc w:val="left"/>
            </w:pPr>
            <w:r>
              <w:t xml:space="preserve">$707.47 (range $413–$850)</w:t>
            </w:r>
          </w:p>
        </w:tc>
        <w:tc>
          <w:tcPr/>
          <w:p>
            <w:pPr>
              <w:pStyle w:val="Compact"/>
              <w:jc w:val="left"/>
            </w:pPr>
            <w:r>
              <w:rPr>
                <w:vertAlign w:val="superscript"/>
              </w:rPr>
              <w:t xml:space="preserve">9</w:t>
            </w:r>
          </w:p>
        </w:tc>
      </w:tr>
      <w:tr>
        <w:tc>
          <w:tcPr/>
          <w:p>
            <w:pPr>
              <w:pStyle w:val="Compact"/>
              <w:jc w:val="left"/>
            </w:pPr>
            <w:r>
              <w:t xml:space="preserve">Q1 FY2027 EPS</w:t>
            </w:r>
          </w:p>
        </w:tc>
        <w:tc>
          <w:tcPr/>
          <w:p>
            <w:pPr>
              <w:pStyle w:val="Compact"/>
              <w:jc w:val="left"/>
            </w:pPr>
            <w:r>
              <w:t xml:space="preserve">$1.10 (beat $1.07)</w:t>
            </w:r>
          </w:p>
        </w:tc>
        <w:tc>
          <w:tcPr/>
          <w:p>
            <w:pPr>
              <w:pStyle w:val="Compact"/>
              <w:jc w:val="left"/>
            </w:pPr>
            <w:r>
              <w:rPr>
                <w:vertAlign w:val="superscript"/>
              </w:rPr>
              <w:t xml:space="preserve">18</w:t>
            </w:r>
            <w:r>
              <w:t xml:space="preserve"> </w:t>
            </w:r>
            <w:r>
              <w:rPr>
                <w:vertAlign w:val="superscript"/>
              </w:rPr>
              <w:t xml:space="preserve">26</w:t>
            </w:r>
          </w:p>
        </w:tc>
      </w:tr>
      <w:tr>
        <w:tc>
          <w:tcPr/>
          <w:p>
            <w:pPr>
              <w:pStyle w:val="Compact"/>
              <w:jc w:val="left"/>
            </w:pPr>
            <w:r>
              <w:t xml:space="preserve">Q1 FY2027 Revenue</w:t>
            </w:r>
          </w:p>
        </w:tc>
        <w:tc>
          <w:tcPr/>
          <w:p>
            <w:pPr>
              <w:pStyle w:val="Compact"/>
              <w:jc w:val="left"/>
            </w:pPr>
            <w:r>
              <w:t xml:space="preserve">$1.39B (+26% YoY, beat $1.36B)</w:t>
            </w:r>
          </w:p>
        </w:tc>
        <w:tc>
          <w:tcPr/>
          <w:p>
            <w:pPr>
              <w:pStyle w:val="Compact"/>
              <w:jc w:val="left"/>
            </w:pPr>
            <w:r>
              <w:rPr>
                <w:vertAlign w:val="superscript"/>
              </w:rPr>
              <w:t xml:space="preserve">18</w:t>
            </w:r>
            <w:r>
              <w:t xml:space="preserve"> </w:t>
            </w:r>
            <w:r>
              <w:rPr>
                <w:vertAlign w:val="superscript"/>
              </w:rPr>
              <w:t xml:space="preserve">26</w:t>
            </w:r>
          </w:p>
        </w:tc>
      </w:tr>
      <w:tr>
        <w:tc>
          <w:tcPr/>
          <w:p>
            <w:pPr>
              <w:pStyle w:val="Compact"/>
              <w:jc w:val="left"/>
            </w:pPr>
            <w:r>
              <w:t xml:space="preserve">Stock Split</w:t>
            </w:r>
          </w:p>
        </w:tc>
        <w:tc>
          <w:tcPr/>
          <w:p>
            <w:pPr>
              <w:pStyle w:val="Compact"/>
              <w:jc w:val="left"/>
            </w:pPr>
            <w:r>
              <w:t xml:space="preserve">4-for-1, effective July 2, 2026</w:t>
            </w:r>
          </w:p>
        </w:tc>
        <w:tc>
          <w:tcPr/>
          <w:p>
            <w:pPr>
              <w:pStyle w:val="Compact"/>
              <w:jc w:val="left"/>
            </w:pPr>
            <w:r>
              <w:rPr>
                <w:vertAlign w:val="superscript"/>
              </w:rPr>
              <w:t xml:space="preserve">12</w:t>
            </w:r>
          </w:p>
        </w:tc>
      </w:tr>
      <w:tr>
        <w:tc>
          <w:tcPr/>
          <w:p>
            <w:pPr>
              <w:pStyle w:val="Compact"/>
              <w:jc w:val="left"/>
            </w:pPr>
            <w:r>
              <w:t xml:space="preserve">Insider Selling (2 weeks)</w:t>
            </w:r>
          </w:p>
        </w:tc>
        <w:tc>
          <w:tcPr/>
          <w:p>
            <w:pPr>
              <w:pStyle w:val="Compact"/>
              <w:jc w:val="left"/>
            </w:pPr>
            <w:r>
              <w:t xml:space="preserve">&gt;$30M (CEO + directors)</w:t>
            </w:r>
          </w:p>
        </w:tc>
        <w:tc>
          <w:tcPr/>
          <w:p>
            <w:pPr>
              <w:pStyle w:val="Compact"/>
              <w:jc w:val="left"/>
            </w:pPr>
            <w:r>
              <w:rPr>
                <w:vertAlign w:val="superscript"/>
              </w:rPr>
              <w:t xml:space="preserve">28</w:t>
            </w:r>
            <w:r>
              <w:t xml:space="preserve"> </w:t>
            </w:r>
            <w:r>
              <w:rPr>
                <w:vertAlign w:val="superscript"/>
              </w:rPr>
              <w:t xml:space="preserve">2</w:t>
            </w:r>
          </w:p>
        </w:tc>
      </w:tr>
    </w:tbl>
    <w:p>
      <w:pPr>
        <w:pStyle w:val="BodyText"/>
      </w:pPr>
      <w:r>
        <w:t xml:space="preserve">The insider selling pattern is relentless. CEO George Kurtz and directors have filed Form 4 disclosures every 2–3 days: $5.8M (May 14), $3.31M (May 22), $2.16M (May 27), $1.42M (May 29), $1.46M (June 2), and additional transactions in between</w:t>
      </w:r>
      <w:r>
        <w:t xml:space="preserve"> </w:t>
      </w:r>
      <w:r>
        <w:rPr>
          <w:vertAlign w:val="superscript"/>
        </w:rPr>
        <w:t xml:space="preserve">28</w:t>
      </w:r>
      <w:r>
        <w:t xml:space="preserve"> </w:t>
      </w:r>
      <w:r>
        <w:rPr>
          <w:vertAlign w:val="superscript"/>
        </w:rPr>
        <w:t xml:space="preserve">2</w:t>
      </w:r>
      <w:r>
        <w:t xml:space="preserve">. The two-week cumulative total exceeds</w:t>
      </w:r>
      <w:r>
        <w:t xml:space="preserve"> </w:t>
      </w:r>
      <w:r>
        <w:rPr>
          <w:bCs/>
          <w:b/>
        </w:rPr>
        <w:t xml:space="preserve">$30 million</w:t>
      </w:r>
      <w:r>
        <w:t xml:space="preserve">. This is not routine diversification — it is a liquidation pattern by the executive team at all-time highs, precisely as the company prepares a stock split designed to attract retail investors at inflated multiples.</w:t>
      </w:r>
    </w:p>
    <w:p>
      <w:pPr>
        <w:pStyle w:val="BodyText"/>
      </w:pPr>
      <w:r>
        <w:t xml:space="preserve">AL Capital Advisory assigns CRWD an</w:t>
      </w:r>
      <w:r>
        <w:t xml:space="preserve"> </w:t>
      </w:r>
      <w:r>
        <w:rPr>
          <w:bCs/>
          <w:b/>
        </w:rPr>
        <w:t xml:space="preserve">“</w:t>
      </w:r>
      <w:r>
        <w:rPr>
          <w:bCs/>
          <w:b/>
        </w:rPr>
        <w:t xml:space="preserve">Avoid</w:t>
      </w:r>
      <w:r>
        <w:rPr>
          <w:bCs/>
          <w:b/>
        </w:rPr>
        <w:t xml:space="preserve">”</w:t>
      </w:r>
      <w:r>
        <w:rPr>
          <w:bCs/>
          <w:b/>
        </w:rPr>
        <w:t xml:space="preserve"> </w:t>
      </w:r>
      <w:r>
        <w:rPr>
          <w:bCs/>
          <w:b/>
        </w:rPr>
        <w:t xml:space="preserve">rating</w:t>
      </w:r>
      <w:r>
        <w:t xml:space="preserve">, citing a Conditional Value at Risk (CVaR) of</w:t>
      </w:r>
      <w:r>
        <w:t xml:space="preserve"> </w:t>
      </w:r>
      <w:r>
        <w:rPr>
          <w:bCs/>
          <w:b/>
        </w:rPr>
        <w:t xml:space="preserve">-20.4%</w:t>
      </w:r>
      <w:r>
        <w:t xml:space="preserve"> </w:t>
      </w:r>
      <w:r>
        <w:t xml:space="preserve">and a DCF-implied intrinsic value range of $298–$624, implying a</w:t>
      </w:r>
      <w:r>
        <w:t xml:space="preserve"> </w:t>
      </w:r>
      <w:r>
        <w:rPr>
          <w:bCs/>
          <w:b/>
        </w:rPr>
        <w:t xml:space="preserve">-37% margin of safety</w:t>
      </w:r>
      <w:r>
        <w:t xml:space="preserve"> </w:t>
      </w:r>
      <w:r>
        <w:t xml:space="preserve">at current prices</w:t>
      </w:r>
      <w:r>
        <w:t xml:space="preserve"> </w:t>
      </w:r>
      <w:r>
        <w:rPr>
          <w:vertAlign w:val="superscript"/>
        </w:rPr>
        <w:t xml:space="preserve">24</w:t>
      </w:r>
      <w:r>
        <w:t xml:space="preserve">. The firm’s analysis flags negative net margins (-3.4%) and negative ROE (-4.1%) — this is a company burning capital while insiders cash out</w:t>
      </w:r>
      <w:r>
        <w:t xml:space="preserve"> </w:t>
      </w:r>
      <w:r>
        <w:rPr>
          <w:vertAlign w:val="superscript"/>
        </w:rPr>
        <w:t xml:space="preserve">24</w:t>
      </w:r>
      <w:r>
        <w:t xml:space="preserve">.</w:t>
      </w:r>
    </w:p>
    <w:p>
      <w:pPr>
        <w:pStyle w:val="BodyText"/>
      </w:pPr>
      <w:r>
        <w:t xml:space="preserve">The critical vulnerability</w:t>
      </w:r>
      <w:r>
        <w:t xml:space="preserve"> </w:t>
      </w:r>
      <w:r>
        <w:rPr>
          <w:bCs/>
          <w:b/>
        </w:rPr>
        <w:t xml:space="preserve">CVE-2026-40050</w:t>
      </w:r>
      <w:r>
        <w:t xml:space="preserve"> </w:t>
      </w:r>
      <w:r>
        <w:t xml:space="preserve">(CVSS 9.8) exposes CrowdStrike’s own LogScale platform to unauthenticated path traversal, allowing remote attackers to read arbitrary files from the server filesystem</w:t>
      </w:r>
      <w:r>
        <w:t xml:space="preserve"> </w:t>
      </w:r>
      <w:r>
        <w:rPr>
          <w:vertAlign w:val="superscript"/>
        </w:rPr>
        <w:t xml:space="preserve">1</w:t>
      </w:r>
      <w:r>
        <w:t xml:space="preserve"> </w:t>
      </w:r>
      <w:r>
        <w:rPr>
          <w:vertAlign w:val="superscript"/>
        </w:rPr>
        <w:t xml:space="preserve">14</w:t>
      </w:r>
      <w:r>
        <w:t xml:space="preserve"> </w:t>
      </w:r>
      <w:r>
        <w:rPr>
          <w:vertAlign w:val="superscript"/>
        </w:rPr>
        <w:t xml:space="preserve">8</w:t>
      </w:r>
      <w:r>
        <w:t xml:space="preserve">. Affected versions span 1.224.0–1.235.0, and while SaaS customers received network-layer mitigation on April 7, 2026, self-hosted customers remain exposed until they manually upgrade</w:t>
      </w:r>
      <w:r>
        <w:t xml:space="preserve"> </w:t>
      </w:r>
      <w:r>
        <w:rPr>
          <w:vertAlign w:val="superscript"/>
        </w:rPr>
        <w:t xml:space="preserve">1</w:t>
      </w:r>
      <w:r>
        <w:t xml:space="preserve"> </w:t>
      </w:r>
      <w:r>
        <w:rPr>
          <w:vertAlign w:val="superscript"/>
        </w:rPr>
        <w:t xml:space="preserve">8</w:t>
      </w:r>
      <w:r>
        <w:t xml:space="preserve">. CrowdStrike claims no evidence of exploitation, but the attack vector is trivial and proof-of-concept code is inevitable</w:t>
      </w:r>
      <w:r>
        <w:t xml:space="preserve"> </w:t>
      </w:r>
      <w:r>
        <w:rPr>
          <w:vertAlign w:val="superscript"/>
        </w:rPr>
        <w:t xml:space="preserve">14</w:t>
      </w:r>
      <w:r>
        <w:t xml:space="preserve">.</w:t>
      </w:r>
    </w:p>
    <w:p>
      <w:pPr>
        <w:pStyle w:val="BodyText"/>
      </w:pPr>
      <w:r>
        <w:rPr>
          <w:bCs/>
          <w:b/>
        </w:rPr>
        <w:t xml:space="preserve">Narrative Line:</w:t>
      </w:r>
      <w:r>
        <w:t xml:space="preserve"> </w:t>
      </w:r>
      <w:r>
        <w:rPr>
          <w:iCs/>
          <w:i/>
        </w:rPr>
        <w:t xml:space="preserve">“</w:t>
      </w:r>
      <w:r>
        <w:rPr>
          <w:iCs/>
          <w:i/>
        </w:rPr>
        <w:t xml:space="preserve">CrowdStrike is splitting its stock, not fixing its security. While insiders sell $30 million in shares, their own log platform sits vulnerable with a 9.8 CVSS flaw. The 4-for-1 split on July 2 isn’t a sign of strength — it’s a magician’s distraction.</w:t>
      </w:r>
      <w:r>
        <w:rPr>
          <w:iCs/>
          <w:i/>
        </w:rPr>
        <w:t xml:space="preserve">”</w:t>
      </w:r>
    </w:p>
    <w:p>
      <w:r>
        <w:pict>
          <v:rect style="width:0;height:1.5pt" o:hralign="center" o:hrstd="t" o:hr="t"/>
        </w:pict>
      </w:r>
    </w:p>
    <w:bookmarkEnd w:id="26"/>
    <w:bookmarkStart w:id="27" w:name="X9dac629c1549c7c7a43ae58e42e8109f63da20a"/>
    <w:p>
      <w:pPr>
        <w:pStyle w:val="Heading3"/>
      </w:pPr>
      <w:r>
        <w:t xml:space="preserve">2.2 Palo Alto Networks (PANW): The CISA Deadline Trap</w:t>
      </w:r>
    </w:p>
    <w:p>
      <w:pPr>
        <w:pStyle w:val="FirstParagraph"/>
      </w:pPr>
      <w:r>
        <w:t xml:space="preserve">Palo Alto Networks trades at $272.05 (June 5 close), up</w:t>
      </w:r>
      <w:r>
        <w:t xml:space="preserve"> </w:t>
      </w:r>
      <w:r>
        <w:rPr>
          <w:bCs/>
          <w:b/>
        </w:rPr>
        <w:t xml:space="preserve">+47.69% YTD</w:t>
      </w:r>
      <w:r>
        <w:t xml:space="preserve"> </w:t>
      </w:r>
      <w:r>
        <w:t xml:space="preserve">and within striking distance of its 52-week high of $302.95</w:t>
      </w:r>
      <w:r>
        <w:t xml:space="preserve"> </w:t>
      </w:r>
      <w:r>
        <w:rPr>
          <w:vertAlign w:val="superscript"/>
        </w:rPr>
        <w:t xml:space="preserve">13</w:t>
      </w:r>
      <w:r>
        <w:t xml:space="preserve">. But beneath the surface, the company is caught in a federal compliance trap that SOV3 can exploit with surgical precision.</w:t>
      </w:r>
    </w:p>
    <w:p>
      <w:pPr>
        <w:pStyle w:val="BodyText"/>
      </w:pPr>
      <w:r>
        <w:rPr>
          <w:bCs/>
          <w:b/>
        </w:rPr>
        <w:t xml:space="preserve">Table 2: Palo Alto Networks (PANW)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$272.05 (Jun 5, 2026)</w:t>
            </w:r>
          </w:p>
        </w:tc>
        <w:tc>
          <w:tcPr/>
          <w:p>
            <w:pPr>
              <w:pStyle w:val="Compact"/>
              <w:jc w:val="left"/>
            </w:pPr>
            <w:r>
              <w:rPr>
                <w:vertAlign w:val="superscript"/>
              </w:rPr>
              <w:t xml:space="preserve">13</w:t>
            </w:r>
          </w:p>
        </w:tc>
      </w:tr>
      <w:tr>
        <w:tc>
          <w:tcPr/>
          <w:p>
            <w:pPr>
              <w:pStyle w:val="Compact"/>
              <w:jc w:val="left"/>
            </w:pPr>
            <w:r>
              <w:t xml:space="preserve">52-Week Range</w:t>
            </w:r>
          </w:p>
        </w:tc>
        <w:tc>
          <w:tcPr/>
          <w:p>
            <w:pPr>
              <w:pStyle w:val="Compact"/>
              <w:jc w:val="left"/>
            </w:pPr>
            <w:r>
              <w:t xml:space="preserve">$139.57 – $302.95</w:t>
            </w:r>
          </w:p>
        </w:tc>
        <w:tc>
          <w:tcPr/>
          <w:p>
            <w:pPr>
              <w:pStyle w:val="Compact"/>
              <w:jc w:val="left"/>
            </w:pPr>
            <w:r>
              <w:rPr>
                <w:vertAlign w:val="superscript"/>
              </w:rPr>
              <w:t xml:space="preserve">13</w:t>
            </w:r>
          </w:p>
        </w:tc>
      </w:tr>
      <w:tr>
        <w:tc>
          <w:tcPr/>
          <w:p>
            <w:pPr>
              <w:pStyle w:val="Compact"/>
              <w:jc w:val="left"/>
            </w:pPr>
            <w:r>
              <w:t xml:space="preserve">Market Cap</w:t>
            </w:r>
          </w:p>
        </w:tc>
        <w:tc>
          <w:tcPr/>
          <w:p>
            <w:pPr>
              <w:pStyle w:val="Compact"/>
              <w:jc w:val="left"/>
            </w:pPr>
            <w:r>
              <w:t xml:space="preserve">$221.7B</w:t>
            </w:r>
          </w:p>
        </w:tc>
        <w:tc>
          <w:tcPr/>
          <w:p>
            <w:pPr>
              <w:pStyle w:val="Compact"/>
              <w:jc w:val="left"/>
            </w:pPr>
            <w:r>
              <w:rPr>
                <w:vertAlign w:val="superscript"/>
              </w:rPr>
              <w:t xml:space="preserve">13</w:t>
            </w:r>
          </w:p>
        </w:tc>
      </w:tr>
      <w:tr>
        <w:tc>
          <w:tcPr/>
          <w:p>
            <w:pPr>
              <w:pStyle w:val="Compact"/>
              <w:jc w:val="left"/>
            </w:pPr>
            <w:r>
              <w:t xml:space="preserve">YTD Return</w:t>
            </w:r>
          </w:p>
        </w:tc>
        <w:tc>
          <w:tcPr/>
          <w:p>
            <w:pPr>
              <w:pStyle w:val="Compact"/>
              <w:jc w:val="left"/>
            </w:pPr>
            <w:r>
              <w:t xml:space="preserve">+47.69%</w:t>
            </w:r>
          </w:p>
        </w:tc>
        <w:tc>
          <w:tcPr/>
          <w:p>
            <w:pPr>
              <w:pStyle w:val="Compact"/>
              <w:jc w:val="left"/>
            </w:pPr>
            <w:r>
              <w:rPr>
                <w:vertAlign w:val="superscript"/>
              </w:rPr>
              <w:t xml:space="preserve">13</w:t>
            </w:r>
          </w:p>
        </w:tc>
      </w:tr>
      <w:tr>
        <w:tc>
          <w:tcPr/>
          <w:p>
            <w:pPr>
              <w:pStyle w:val="Compact"/>
              <w:jc w:val="left"/>
            </w:pPr>
            <w:r>
              <w:t xml:space="preserve">Forward P/E</w:t>
            </w:r>
          </w:p>
        </w:tc>
        <w:tc>
          <w:tcPr/>
          <w:p>
            <w:pPr>
              <w:pStyle w:val="Compact"/>
              <w:jc w:val="left"/>
            </w:pPr>
            <w:r>
              <w:t xml:space="preserve">69.44x</w:t>
            </w:r>
          </w:p>
        </w:tc>
        <w:tc>
          <w:tcPr/>
          <w:p>
            <w:pPr>
              <w:pStyle w:val="Compact"/>
              <w:jc w:val="left"/>
            </w:pPr>
            <w:r>
              <w:rPr>
                <w:vertAlign w:val="superscript"/>
              </w:rPr>
              <w:t xml:space="preserve">13</w:t>
            </w:r>
          </w:p>
        </w:tc>
      </w:tr>
      <w:tr>
        <w:tc>
          <w:tcPr/>
          <w:p>
            <w:pPr>
              <w:pStyle w:val="Compact"/>
              <w:jc w:val="left"/>
            </w:pPr>
            <w:r>
              <w:t xml:space="preserve">Price/Sales</w:t>
            </w:r>
          </w:p>
        </w:tc>
        <w:tc>
          <w:tcPr/>
          <w:p>
            <w:pPr>
              <w:pStyle w:val="Compact"/>
              <w:jc w:val="left"/>
            </w:pPr>
            <w:r>
              <w:t xml:space="preserve">19.39x</w:t>
            </w:r>
          </w:p>
        </w:tc>
        <w:tc>
          <w:tcPr/>
          <w:p>
            <w:pPr>
              <w:pStyle w:val="Compact"/>
              <w:jc w:val="left"/>
            </w:pPr>
            <w:r>
              <w:rPr>
                <w:vertAlign w:val="superscript"/>
              </w:rPr>
              <w:t xml:space="preserve">13</w:t>
            </w:r>
          </w:p>
        </w:tc>
      </w:tr>
      <w:tr>
        <w:tc>
          <w:tcPr/>
          <w:p>
            <w:pPr>
              <w:pStyle w:val="Compact"/>
              <w:jc w:val="left"/>
            </w:pPr>
            <w:r>
              <w:t xml:space="preserve">Analyst Consensus PT</w:t>
            </w:r>
          </w:p>
        </w:tc>
        <w:tc>
          <w:tcPr/>
          <w:p>
            <w:pPr>
              <w:pStyle w:val="Compact"/>
              <w:jc w:val="left"/>
            </w:pPr>
            <w:r>
              <w:t xml:space="preserve">$306.56 (range $162–$375)</w:t>
            </w:r>
          </w:p>
        </w:tc>
        <w:tc>
          <w:tcPr/>
          <w:p>
            <w:pPr>
              <w:pStyle w:val="Compact"/>
              <w:jc w:val="left"/>
            </w:pPr>
            <w:r>
              <w:rPr>
                <w:vertAlign w:val="superscript"/>
              </w:rPr>
              <w:t xml:space="preserve">13</w:t>
            </w:r>
          </w:p>
        </w:tc>
      </w:tr>
      <w:tr>
        <w:tc>
          <w:tcPr/>
          <w:p>
            <w:pPr>
              <w:pStyle w:val="Compact"/>
              <w:jc w:val="left"/>
            </w:pPr>
            <w:r>
              <w:t xml:space="preserve">Q3 FY2026 EPS</w:t>
            </w:r>
          </w:p>
        </w:tc>
        <w:tc>
          <w:tcPr/>
          <w:p>
            <w:pPr>
              <w:pStyle w:val="Compact"/>
              <w:jc w:val="left"/>
            </w:pPr>
            <w:r>
              <w:t xml:space="preserve">$0.85 (beat $0.79)</w:t>
            </w:r>
          </w:p>
        </w:tc>
        <w:tc>
          <w:tcPr/>
          <w:p>
            <w:pPr>
              <w:pStyle w:val="Compact"/>
              <w:jc w:val="left"/>
            </w:pPr>
            <w:r>
              <w:rPr>
                <w:vertAlign w:val="superscript"/>
              </w:rPr>
              <w:t xml:space="preserve">5</w:t>
            </w:r>
            <w:r>
              <w:t xml:space="preserve"> </w:t>
            </w:r>
            <w:r>
              <w:rPr>
                <w:vertAlign w:val="superscript"/>
              </w:rPr>
              <w:t xml:space="preserve">6</w:t>
            </w:r>
          </w:p>
        </w:tc>
      </w:tr>
      <w:tr>
        <w:tc>
          <w:tcPr/>
          <w:p>
            <w:pPr>
              <w:pStyle w:val="Compact"/>
              <w:jc w:val="left"/>
            </w:pPr>
            <w:r>
              <w:t xml:space="preserve">Q3 FY2026 Revenue</w:t>
            </w:r>
          </w:p>
        </w:tc>
        <w:tc>
          <w:tcPr/>
          <w:p>
            <w:pPr>
              <w:pStyle w:val="Compact"/>
              <w:jc w:val="left"/>
            </w:pPr>
            <w:r>
              <w:t xml:space="preserve">$3.00B (+31% YoY, beat $2.94B)</w:t>
            </w:r>
          </w:p>
        </w:tc>
        <w:tc>
          <w:tcPr/>
          <w:p>
            <w:pPr>
              <w:pStyle w:val="Compact"/>
              <w:jc w:val="left"/>
            </w:pPr>
            <w:r>
              <w:rPr>
                <w:vertAlign w:val="superscript"/>
              </w:rPr>
              <w:t xml:space="preserve">5</w:t>
            </w:r>
            <w:r>
              <w:t xml:space="preserve"> </w:t>
            </w:r>
            <w:r>
              <w:rPr>
                <w:vertAlign w:val="superscript"/>
              </w:rPr>
              <w:t xml:space="preserve">6</w:t>
            </w:r>
          </w:p>
        </w:tc>
      </w:tr>
      <w:tr>
        <w:tc>
          <w:tcPr/>
          <w:p>
            <w:pPr>
              <w:pStyle w:val="Compact"/>
              <w:jc w:val="left"/>
            </w:pPr>
            <w:r>
              <w:t xml:space="preserve">CyberArk Acquisition</w:t>
            </w:r>
          </w:p>
        </w:tc>
        <w:tc>
          <w:tcPr/>
          <w:p>
            <w:pPr>
              <w:pStyle w:val="Compact"/>
              <w:jc w:val="left"/>
            </w:pPr>
            <w:r>
              <w:t xml:space="preserve">$25B, closed Feb 11, 2026</w:t>
            </w:r>
          </w:p>
        </w:tc>
        <w:tc>
          <w:tcPr/>
          <w:p>
            <w:pPr>
              <w:pStyle w:val="Compact"/>
              <w:jc w:val="left"/>
            </w:pPr>
            <w:r>
              <w:rPr>
                <w:vertAlign w:val="superscript"/>
              </w:rPr>
              <w:t xml:space="preserve">29</w:t>
            </w:r>
          </w:p>
        </w:tc>
      </w:tr>
      <w:tr>
        <w:tc>
          <w:tcPr/>
          <w:p>
            <w:pPr>
              <w:pStyle w:val="Compact"/>
              <w:jc w:val="left"/>
            </w:pPr>
            <w:r>
              <w:t xml:space="preserve">Insider Flow (12 mo)</w:t>
            </w:r>
          </w:p>
        </w:tc>
        <w:tc>
          <w:tcPr/>
          <w:p>
            <w:pPr>
              <w:pStyle w:val="Compact"/>
              <w:jc w:val="left"/>
            </w:pPr>
            <w:r>
              <w:t xml:space="preserve">$430.6M sold vs. $10M bought</w:t>
            </w:r>
          </w:p>
        </w:tc>
        <w:tc>
          <w:tcPr/>
          <w:p>
            <w:pPr>
              <w:pStyle w:val="Compact"/>
              <w:jc w:val="left"/>
            </w:pPr>
            <w:r>
              <w:rPr>
                <w:vertAlign w:val="superscript"/>
              </w:rPr>
              <w:t xml:space="preserve">16</w:t>
            </w:r>
            <w:r>
              <w:t xml:space="preserve"> </w:t>
            </w:r>
            <w:r>
              <w:rPr>
                <w:vertAlign w:val="superscript"/>
              </w:rPr>
              <w:t xml:space="preserve">17</w:t>
            </w:r>
          </w:p>
        </w:tc>
      </w:tr>
    </w:tbl>
    <w:p>
      <w:pPr>
        <w:pStyle w:val="BodyText"/>
      </w:pPr>
      <w:r>
        <w:t xml:space="preserve">The CISA KEV deadline for</w:t>
      </w:r>
      <w:r>
        <w:t xml:space="preserve"> </w:t>
      </w:r>
      <w:r>
        <w:rPr>
          <w:bCs/>
          <w:b/>
        </w:rPr>
        <w:t xml:space="preserve">CVE-2026-0257</w:t>
      </w:r>
      <w:r>
        <w:t xml:space="preserve"> </w:t>
      </w:r>
      <w:r>
        <w:t xml:space="preserve">is</w:t>
      </w:r>
      <w:r>
        <w:t xml:space="preserve"> </w:t>
      </w:r>
      <w:r>
        <w:rPr>
          <w:bCs/>
          <w:b/>
        </w:rPr>
        <w:t xml:space="preserve">June 10, 2026</w:t>
      </w:r>
      <w:r>
        <w:t xml:space="preserve"> </w:t>
      </w:r>
      <w:r>
        <w:t xml:space="preserve">— five days before SOV3’s Phase 2 narrative window opens</w:t>
      </w:r>
      <w:r>
        <w:t xml:space="preserve"> </w:t>
      </w:r>
      <w:r>
        <w:rPr>
          <w:vertAlign w:val="superscript"/>
        </w:rPr>
        <w:t xml:space="preserve">21</w:t>
      </w:r>
      <w:r>
        <w:t xml:space="preserve"> </w:t>
      </w:r>
      <w:r>
        <w:rPr>
          <w:vertAlign w:val="superscript"/>
        </w:rPr>
        <w:t xml:space="preserve">23</w:t>
      </w:r>
      <w:r>
        <w:t xml:space="preserve">. This is not a routine patch cycle. The vulnerability is an authentication bypass in PAN-OS GlobalProtect (affected versions: 10.2, 11.1, 11.2, 12.1) that allows attackers to forge session cookies and establish VPN sessions without credentials</w:t>
      </w:r>
      <w:r>
        <w:t xml:space="preserve"> </w:t>
      </w:r>
      <w:r>
        <w:rPr>
          <w:vertAlign w:val="superscript"/>
        </w:rPr>
        <w:t xml:space="preserve">21</w:t>
      </w:r>
      <w:r>
        <w:t xml:space="preserve"> </w:t>
      </w:r>
      <w:r>
        <w:rPr>
          <w:vertAlign w:val="superscript"/>
        </w:rPr>
        <w:t xml:space="preserve">11</w:t>
      </w:r>
      <w:r>
        <w:t xml:space="preserve">. Rapid7 confirmed active exploitation beginning</w:t>
      </w:r>
      <w:r>
        <w:t xml:space="preserve"> </w:t>
      </w:r>
      <w:r>
        <w:rPr>
          <w:bCs/>
          <w:b/>
        </w:rPr>
        <w:t xml:space="preserve">May 17, 2026</w:t>
      </w:r>
      <w:r>
        <w:t xml:space="preserve">, with attackers successfully establishing VPN sessions across multiple customer environments</w:t>
      </w:r>
      <w:r>
        <w:t xml:space="preserve"> </w:t>
      </w:r>
      <w:r>
        <w:rPr>
          <w:vertAlign w:val="superscript"/>
        </w:rPr>
        <w:t xml:space="preserve">11</w:t>
      </w:r>
      <w:r>
        <w:t xml:space="preserve"> </w:t>
      </w:r>
      <w:r>
        <w:rPr>
          <w:vertAlign w:val="superscript"/>
        </w:rPr>
        <w:t xml:space="preserve">10</w:t>
      </w:r>
      <w:r>
        <w:t xml:space="preserve">. Public exploit code (</w:t>
      </w:r>
      <w:r>
        <w:rPr>
          <w:rStyle w:val="VerbatimChar"/>
        </w:rPr>
        <w:t xml:space="preserve">forge_cookie.py</w:t>
      </w:r>
      <w:r>
        <w:t xml:space="preserve">) is available on GitHub</w:t>
      </w:r>
      <w:r>
        <w:t xml:space="preserve"> </w:t>
      </w:r>
      <w:r>
        <w:rPr>
          <w:vertAlign w:val="superscript"/>
        </w:rPr>
        <w:t xml:space="preserve">4</w:t>
      </w:r>
      <w:r>
        <w:t xml:space="preserve">.</w:t>
      </w:r>
    </w:p>
    <w:p>
      <w:pPr>
        <w:pStyle w:val="BodyText"/>
      </w:pPr>
      <w:r>
        <w:t xml:space="preserve">The insider flow is damning. While CEO Nikesh Arora purchased</w:t>
      </w:r>
      <w:r>
        <w:t xml:space="preserve"> </w:t>
      </w:r>
      <w:r>
        <w:rPr>
          <w:bCs/>
          <w:b/>
        </w:rPr>
        <w:t xml:space="preserve">$10 million</w:t>
      </w:r>
      <w:r>
        <w:t xml:space="preserve"> </w:t>
      </w:r>
      <w:r>
        <w:t xml:space="preserve">in March 2026 — a move widely publicized as a confidence signal — the broader C-suite has sold</w:t>
      </w:r>
      <w:r>
        <w:t xml:space="preserve"> </w:t>
      </w:r>
      <w:r>
        <w:rPr>
          <w:bCs/>
          <w:b/>
        </w:rPr>
        <w:t xml:space="preserve">$430.6 million</w:t>
      </w:r>
      <w:r>
        <w:t xml:space="preserve"> </w:t>
      </w:r>
      <w:r>
        <w:t xml:space="preserve">over the trailing twelve months</w:t>
      </w:r>
      <w:r>
        <w:t xml:space="preserve"> </w:t>
      </w:r>
      <w:r>
        <w:rPr>
          <w:vertAlign w:val="superscript"/>
        </w:rPr>
        <w:t xml:space="preserve">16</w:t>
      </w:r>
      <w:r>
        <w:t xml:space="preserve"> </w:t>
      </w:r>
      <w:r>
        <w:rPr>
          <w:vertAlign w:val="superscript"/>
        </w:rPr>
        <w:t xml:space="preserve">17</w:t>
      </w:r>
      <w:r>
        <w:t xml:space="preserve">. EVP Lee Klarich alone sold</w:t>
      </w:r>
      <w:r>
        <w:t xml:space="preserve"> </w:t>
      </w:r>
      <w:r>
        <w:rPr>
          <w:bCs/>
          <w:b/>
        </w:rPr>
        <w:t xml:space="preserve">$46.2 million</w:t>
      </w:r>
      <w:r>
        <w:t xml:space="preserve"> </w:t>
      </w:r>
      <w:r>
        <w:t xml:space="preserve">in the past six months</w:t>
      </w:r>
      <w:r>
        <w:t xml:space="preserve"> </w:t>
      </w:r>
      <w:r>
        <w:rPr>
          <w:vertAlign w:val="superscript"/>
        </w:rPr>
        <w:t xml:space="preserve">16</w:t>
      </w:r>
      <w:r>
        <w:t xml:space="preserve"> </w:t>
      </w:r>
      <w:r>
        <w:rPr>
          <w:vertAlign w:val="superscript"/>
        </w:rPr>
        <w:t xml:space="preserve">17</w:t>
      </w:r>
      <w:r>
        <w:t xml:space="preserve">. The rank-and-file executives are voting with their wallets, and the verdict is</w:t>
      </w:r>
      <w:r>
        <w:t xml:space="preserve"> </w:t>
      </w:r>
      <w:r>
        <w:t xml:space="preserve">“</w:t>
      </w:r>
      <w:r>
        <w:t xml:space="preserve">sell.</w:t>
      </w:r>
      <w:r>
        <w:t xml:space="preserve">”</w:t>
      </w:r>
    </w:p>
    <w:p>
      <w:pPr>
        <w:pStyle w:val="BodyText"/>
      </w:pPr>
      <w:r>
        <w:t xml:space="preserve">The</w:t>
      </w:r>
      <w:r>
        <w:t xml:space="preserve"> </w:t>
      </w:r>
      <w:r>
        <w:rPr>
          <w:bCs/>
          <w:b/>
        </w:rPr>
        <w:t xml:space="preserve">$25 billion CyberArk acquisition</w:t>
      </w:r>
      <w:r>
        <w:t xml:space="preserve">, closed February 11, 2026, adds integration risk to the mix</w:t>
      </w:r>
      <w:r>
        <w:t xml:space="preserve"> </w:t>
      </w:r>
      <w:r>
        <w:rPr>
          <w:vertAlign w:val="superscript"/>
        </w:rPr>
        <w:t xml:space="preserve">29</w:t>
      </w:r>
      <w:r>
        <w:t xml:space="preserve">. Q3 results included $388M from CyberArk and Chronosphere, masking organic growth trends that investors are struggling to isolate</w:t>
      </w:r>
      <w:r>
        <w:t xml:space="preserve"> </w:t>
      </w:r>
      <w:r>
        <w:rPr>
          <w:vertAlign w:val="superscript"/>
        </w:rPr>
        <w:t xml:space="preserve">6</w:t>
      </w:r>
      <w:r>
        <w:t xml:space="preserve">. If the CISA deadline passes with breached federal agencies or failed remediation, the story writes itself: the largest cybersecurity acquisition in history is being digested while the core product line fails to protect federal infrastructure.</w:t>
      </w:r>
    </w:p>
    <w:p>
      <w:pPr>
        <w:pStyle w:val="BodyText"/>
      </w:pPr>
      <w:r>
        <w:rPr>
          <w:bCs/>
          <w:b/>
        </w:rPr>
        <w:t xml:space="preserve">Narrative Line:</w:t>
      </w:r>
      <w:r>
        <w:t xml:space="preserve"> </w:t>
      </w:r>
      <w:r>
        <w:rPr>
          <w:iCs/>
          <w:i/>
        </w:rPr>
        <w:t xml:space="preserve">“</w:t>
      </w:r>
      <w:r>
        <w:rPr>
          <w:iCs/>
          <w:i/>
        </w:rPr>
        <w:t xml:space="preserve">Palo Alto’s GlobalProtect is protecting attackers, not enterprises. A 43:1 insider selling ratio — $430 million sold against $10 million bought — tells you what the C-suite really thinks. The CISA deadline on June 10 isn’t a compliance checkpoint; it’s a credibility test they’re failing in real time.</w:t>
      </w:r>
      <w:r>
        <w:rPr>
          <w:iCs/>
          <w:i/>
        </w:rPr>
        <w:t xml:space="preserve">”</w:t>
      </w:r>
    </w:p>
    <w:p>
      <w:r>
        <w:pict>
          <v:rect style="width:0;height:1.5pt" o:hralign="center" o:hrstd="t" o:hr="t"/>
        </w:pict>
      </w:r>
    </w:p>
    <w:bookmarkEnd w:id="27"/>
    <w:bookmarkStart w:id="28" w:name="Xe83807e587764d3e5ef05bd488ff2e268992e5c"/>
    <w:p>
      <w:pPr>
        <w:pStyle w:val="Heading3"/>
      </w:pPr>
      <w:r>
        <w:t xml:space="preserve">2.3 Microsoft (MSFT): The Azure Vulnerability Cluster</w:t>
      </w:r>
    </w:p>
    <w:p>
      <w:pPr>
        <w:pStyle w:val="FirstParagraph"/>
      </w:pPr>
      <w:r>
        <w:t xml:space="preserve">Microsoft is the largest target by market cap (~$3.095 trillion) and the most strategically significant</w:t>
      </w:r>
      <w:r>
        <w:t xml:space="preserve"> </w:t>
      </w:r>
      <w:r>
        <w:rPr>
          <w:vertAlign w:val="superscript"/>
        </w:rPr>
        <w:t xml:space="preserve">20</w:t>
      </w:r>
      <w:r>
        <w:t xml:space="preserve">. Unlike CRWD and PANW, MSFT is not a pure-play cybersecurity company — it is the cloud infrastructure and AI platform that powers the global economy. That makes its security failures a governance story with antitrust dimensions.</w:t>
      </w:r>
    </w:p>
    <w:p>
      <w:pPr>
        <w:pStyle w:val="BodyText"/>
      </w:pPr>
      <w:r>
        <w:rPr>
          <w:bCs/>
          <w:b/>
        </w:rPr>
        <w:t xml:space="preserve">Table 3: Microsoft (MSFT)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$416.67 (Jun 5, 2026)</w:t>
            </w:r>
          </w:p>
        </w:tc>
        <w:tc>
          <w:tcPr/>
          <w:p>
            <w:pPr>
              <w:pStyle w:val="Compact"/>
              <w:jc w:val="left"/>
            </w:pPr>
            <w:r>
              <w:rPr>
                <w:vertAlign w:val="superscript"/>
              </w:rPr>
              <w:t xml:space="preserve">20</w:t>
            </w:r>
          </w:p>
        </w:tc>
      </w:tr>
      <w:tr>
        <w:tc>
          <w:tcPr/>
          <w:p>
            <w:pPr>
              <w:pStyle w:val="Compact"/>
              <w:jc w:val="left"/>
            </w:pPr>
            <w:r>
              <w:t xml:space="preserve">Market Cap</w:t>
            </w:r>
          </w:p>
        </w:tc>
        <w:tc>
          <w:tcPr/>
          <w:p>
            <w:pPr>
              <w:pStyle w:val="Compact"/>
              <w:jc w:val="left"/>
            </w:pPr>
            <w:r>
              <w:t xml:space="preserve">~$3.095T</w:t>
            </w:r>
          </w:p>
        </w:tc>
        <w:tc>
          <w:tcPr/>
          <w:p>
            <w:pPr>
              <w:pStyle w:val="Compact"/>
              <w:jc w:val="left"/>
            </w:pPr>
            <w:r>
              <w:rPr>
                <w:vertAlign w:val="superscript"/>
              </w:rPr>
              <w:t xml:space="preserve">20</w:t>
            </w:r>
          </w:p>
        </w:tc>
      </w:tr>
      <w:tr>
        <w:tc>
          <w:tcPr/>
          <w:p>
            <w:pPr>
              <w:pStyle w:val="Compact"/>
              <w:jc w:val="left"/>
            </w:pPr>
            <w:r>
              <w:t xml:space="preserve">Q3 FY2026 EPS</w:t>
            </w:r>
          </w:p>
        </w:tc>
        <w:tc>
          <w:tcPr/>
          <w:p>
            <w:pPr>
              <w:pStyle w:val="Compact"/>
              <w:jc w:val="left"/>
            </w:pPr>
            <w:r>
              <w:t xml:space="preserve">$4.27 (beat $4.06)</w:t>
            </w:r>
          </w:p>
        </w:tc>
        <w:tc>
          <w:tcPr/>
          <w:p>
            <w:pPr>
              <w:pStyle w:val="Compact"/>
              <w:jc w:val="left"/>
            </w:pPr>
            <w:r>
              <w:rPr>
                <w:vertAlign w:val="superscript"/>
              </w:rPr>
              <w:t xml:space="preserve">20</w:t>
            </w:r>
          </w:p>
        </w:tc>
      </w:tr>
      <w:tr>
        <w:tc>
          <w:tcPr/>
          <w:p>
            <w:pPr>
              <w:pStyle w:val="Compact"/>
              <w:jc w:val="left"/>
            </w:pPr>
            <w:r>
              <w:t xml:space="preserve">Q3 FY2026 Revenue</w:t>
            </w:r>
          </w:p>
        </w:tc>
        <w:tc>
          <w:tcPr/>
          <w:p>
            <w:pPr>
              <w:pStyle w:val="Compact"/>
              <w:jc w:val="left"/>
            </w:pPr>
            <w:r>
              <w:t xml:space="preserve">$82.89B (beat $81.44B)</w:t>
            </w:r>
          </w:p>
        </w:tc>
        <w:tc>
          <w:tcPr/>
          <w:p>
            <w:pPr>
              <w:pStyle w:val="Compact"/>
              <w:jc w:val="left"/>
            </w:pPr>
            <w:r>
              <w:rPr>
                <w:vertAlign w:val="superscript"/>
              </w:rPr>
              <w:t xml:space="preserve">20</w:t>
            </w:r>
          </w:p>
        </w:tc>
      </w:tr>
      <w:tr>
        <w:tc>
          <w:tcPr/>
          <w:p>
            <w:pPr>
              <w:pStyle w:val="Compact"/>
              <w:jc w:val="left"/>
            </w:pPr>
            <w:r>
              <w:t xml:space="preserve">Next Earnings</w:t>
            </w:r>
          </w:p>
        </w:tc>
        <w:tc>
          <w:tcPr/>
          <w:p>
            <w:pPr>
              <w:pStyle w:val="Compact"/>
              <w:jc w:val="left"/>
            </w:pPr>
            <w:r>
              <w:t xml:space="preserve">July 29, 2026</w:t>
            </w:r>
          </w:p>
        </w:tc>
        <w:tc>
          <w:tcPr/>
          <w:p>
            <w:pPr>
              <w:pStyle w:val="Compact"/>
              <w:jc w:val="left"/>
            </w:pPr>
            <w:r>
              <w:rPr>
                <w:vertAlign w:val="superscript"/>
              </w:rPr>
              <w:t xml:space="preserve">20</w:t>
            </w:r>
          </w:p>
        </w:tc>
      </w:tr>
      <w:tr>
        <w:tc>
          <w:tcPr/>
          <w:p>
            <w:pPr>
              <w:pStyle w:val="Compact"/>
              <w:jc w:val="left"/>
            </w:pPr>
            <w:r>
              <w:t xml:space="preserve">Security Revenue (Est.)</w:t>
            </w:r>
          </w:p>
        </w:tc>
        <w:tc>
          <w:tcPr/>
          <w:p>
            <w:pPr>
              <w:pStyle w:val="Compact"/>
              <w:jc w:val="left"/>
            </w:pPr>
            <w:r>
              <w:t xml:space="preserve">$20B+ annually</w:t>
            </w:r>
          </w:p>
        </w:tc>
        <w:tc>
          <w:tcPr/>
          <w:p>
            <w:pPr>
              <w:pStyle w:val="Compact"/>
              <w:jc w:val="left"/>
            </w:pPr>
            <w:r>
              <w:t xml:space="preserve">—</w:t>
            </w:r>
          </w:p>
        </w:tc>
      </w:tr>
      <w:tr>
        <w:tc>
          <w:tcPr/>
          <w:p>
            <w:pPr>
              <w:pStyle w:val="Compact"/>
              <w:jc w:val="left"/>
            </w:pPr>
            <w:r>
              <w:t xml:space="preserve">FTC Antitrust Probe</w:t>
            </w:r>
          </w:p>
        </w:tc>
        <w:tc>
          <w:tcPr/>
          <w:p>
            <w:pPr>
              <w:pStyle w:val="Compact"/>
              <w:jc w:val="left"/>
            </w:pPr>
            <w:r>
              <w:t xml:space="preserve">Active (Azure, Copilot, OpenAI)</w:t>
            </w:r>
          </w:p>
        </w:tc>
        <w:tc>
          <w:tcPr/>
          <w:p>
            <w:pPr>
              <w:pStyle w:val="Compact"/>
              <w:jc w:val="left"/>
            </w:pPr>
            <w:r>
              <w:rPr>
                <w:vertAlign w:val="superscript"/>
              </w:rPr>
              <w:t xml:space="preserve">30</w:t>
            </w:r>
            <w:r>
              <w:t xml:space="preserve"> </w:t>
            </w:r>
            <w:r>
              <w:rPr>
                <w:vertAlign w:val="superscript"/>
              </w:rPr>
              <w:t xml:space="preserve">31</w:t>
            </w:r>
          </w:p>
        </w:tc>
      </w:tr>
    </w:tbl>
    <w:p>
      <w:pPr>
        <w:pStyle w:val="BodyText"/>
      </w:pPr>
      <w:r>
        <w:t xml:space="preserve">Microsoft has suffered</w:t>
      </w:r>
      <w:r>
        <w:t xml:space="preserve"> </w:t>
      </w:r>
      <w:r>
        <w:rPr>
          <w:bCs/>
          <w:b/>
        </w:rPr>
        <w:t xml:space="preserve">five critical or high-severity CVEs across Azure and Copilot in a 60-day window</w:t>
      </w:r>
      <w:r>
        <w:t xml:space="preserve"> </w:t>
      </w:r>
      <w:r>
        <w:t xml:space="preserve">— a concentration of vulnerability disclosures that constitutes an operational crisis by any security standard.</w:t>
      </w:r>
    </w:p>
    <w:p>
      <w:pPr>
        <w:pStyle w:val="BodyText"/>
      </w:pPr>
      <w:r>
        <w:rPr>
          <w:bCs/>
          <w:b/>
        </w:rPr>
        <w:t xml:space="preserve">Table 4: Microsoft Q2 2026 Vulnerability Cluster</w:t>
      </w:r>
    </w:p>
    <w:tbl>
      <w:tblPr>
        <w:tblStyle w:val="Table"/>
        <w:tblW w:type="pct" w:w="5000"/>
        <w:tblLook w:firstRow="1" w:lastRow="0" w:firstColumn="0" w:lastColumn="0" w:noHBand="0" w:noVBand="0" w:val="0020"/>
      </w:tblPr>
      <w:tblGrid>
        <w:gridCol w:w="825"/>
        <w:gridCol w:w="990"/>
        <w:gridCol w:w="1815"/>
        <w:gridCol w:w="1980"/>
        <w:gridCol w:w="2310"/>
      </w:tblGrid>
      <w:tr>
        <w:trPr>
          <w:tblHeader w:val="true"/>
        </w:trPr>
        <w:tc>
          <w:tcPr/>
          <w:p>
            <w:pPr>
              <w:pStyle w:val="Compact"/>
              <w:jc w:val="left"/>
            </w:pPr>
            <w:r>
              <w:t xml:space="preserve">CVE</w:t>
            </w:r>
          </w:p>
        </w:tc>
        <w:tc>
          <w:tcPr/>
          <w:p>
            <w:pPr>
              <w:pStyle w:val="Compact"/>
              <w:jc w:val="left"/>
            </w:pPr>
            <w:r>
              <w:t xml:space="preserve">CVSS</w:t>
            </w:r>
          </w:p>
        </w:tc>
        <w:tc>
          <w:tcPr/>
          <w:p>
            <w:pPr>
              <w:pStyle w:val="Compact"/>
              <w:jc w:val="left"/>
            </w:pPr>
            <w:r>
              <w:t xml:space="preserve">Component</w:t>
            </w:r>
          </w:p>
        </w:tc>
        <w:tc>
          <w:tcPr/>
          <w:p>
            <w:pPr>
              <w:pStyle w:val="Compact"/>
              <w:jc w:val="left"/>
            </w:pPr>
            <w:r>
              <w:t xml:space="preserve">Disclosure</w:t>
            </w:r>
          </w:p>
        </w:tc>
        <w:tc>
          <w:tcPr/>
          <w:p>
            <w:pPr>
              <w:pStyle w:val="Compact"/>
              <w:jc w:val="left"/>
            </w:pPr>
            <w:r>
              <w:t xml:space="preserve">Significance</w:t>
            </w:r>
          </w:p>
        </w:tc>
      </w:tr>
      <w:tr>
        <w:tc>
          <w:tcPr/>
          <w:p>
            <w:pPr>
              <w:pStyle w:val="Compact"/>
              <w:jc w:val="left"/>
            </w:pPr>
            <w:r>
              <w:t xml:space="preserve">CVE-2026-42823</w:t>
            </w:r>
          </w:p>
        </w:tc>
        <w:tc>
          <w:tcPr/>
          <w:p>
            <w:pPr>
              <w:pStyle w:val="Compact"/>
              <w:jc w:val="left"/>
            </w:pPr>
            <w:r>
              <w:t xml:space="preserve">9.9</w:t>
            </w:r>
          </w:p>
        </w:tc>
        <w:tc>
          <w:tcPr/>
          <w:p>
            <w:pPr>
              <w:pStyle w:val="Compact"/>
              <w:jc w:val="left"/>
            </w:pPr>
            <w:r>
              <w:t xml:space="preserve">Azure Logic Apps</w:t>
            </w:r>
          </w:p>
        </w:tc>
        <w:tc>
          <w:tcPr/>
          <w:p>
            <w:pPr>
              <w:pStyle w:val="Compact"/>
              <w:jc w:val="left"/>
            </w:pPr>
            <w:r>
              <w:t xml:space="preserve">May 2026</w:t>
            </w:r>
          </w:p>
        </w:tc>
        <w:tc>
          <w:tcPr/>
          <w:p>
            <w:pPr>
              <w:pStyle w:val="Compact"/>
              <w:jc w:val="left"/>
            </w:pPr>
            <w:r>
              <w:t xml:space="preserve">Privilege escalation across network</w:t>
            </w:r>
            <w:r>
              <w:t xml:space="preserve"> </w:t>
            </w:r>
            <w:r>
              <w:rPr>
                <w:vertAlign w:val="superscript"/>
              </w:rPr>
              <w:t xml:space="preserve">15</w:t>
            </w:r>
          </w:p>
        </w:tc>
      </w:tr>
      <w:tr>
        <w:tc>
          <w:tcPr/>
          <w:p>
            <w:pPr>
              <w:pStyle w:val="Compact"/>
              <w:jc w:val="left"/>
            </w:pPr>
            <w:r>
              <w:t xml:space="preserve">CVE-2026-48567</w:t>
            </w:r>
          </w:p>
        </w:tc>
        <w:tc>
          <w:tcPr/>
          <w:p>
            <w:pPr>
              <w:pStyle w:val="Compact"/>
              <w:jc w:val="left"/>
            </w:pPr>
            <w:r>
              <w:t xml:space="preserve">TBD</w:t>
            </w:r>
          </w:p>
        </w:tc>
        <w:tc>
          <w:tcPr/>
          <w:p>
            <w:pPr>
              <w:pStyle w:val="Compact"/>
              <w:jc w:val="left"/>
            </w:pPr>
            <w:r>
              <w:t xml:space="preserve">Azure HorizonDB</w:t>
            </w:r>
          </w:p>
        </w:tc>
        <w:tc>
          <w:tcPr/>
          <w:p>
            <w:pPr>
              <w:pStyle w:val="Compact"/>
              <w:jc w:val="left"/>
            </w:pPr>
            <w:r>
              <w:t xml:space="preserve">June 4, 2026</w:t>
            </w:r>
          </w:p>
        </w:tc>
        <w:tc>
          <w:tcPr/>
          <w:p>
            <w:pPr>
              <w:pStyle w:val="Compact"/>
              <w:jc w:val="left"/>
            </w:pPr>
            <w:r>
              <w:t xml:space="preserve">Authentication bypass via spoofing</w:t>
            </w:r>
            <w:r>
              <w:t xml:space="preserve"> </w:t>
            </w:r>
            <w:r>
              <w:rPr>
                <w:vertAlign w:val="superscript"/>
              </w:rPr>
              <w:t xml:space="preserve">32</w:t>
            </w:r>
          </w:p>
        </w:tc>
      </w:tr>
      <w:tr>
        <w:tc>
          <w:tcPr/>
          <w:p>
            <w:pPr>
              <w:pStyle w:val="Compact"/>
              <w:jc w:val="left"/>
            </w:pPr>
            <w:r>
              <w:t xml:space="preserve">CVE-2026-35435</w:t>
            </w:r>
          </w:p>
        </w:tc>
        <w:tc>
          <w:tcPr/>
          <w:p>
            <w:pPr>
              <w:pStyle w:val="Compact"/>
              <w:jc w:val="left"/>
            </w:pPr>
            <w:r>
              <w:t xml:space="preserve">8.6</w:t>
            </w:r>
          </w:p>
        </w:tc>
        <w:tc>
          <w:tcPr/>
          <w:p>
            <w:pPr>
              <w:pStyle w:val="Compact"/>
              <w:jc w:val="left"/>
            </w:pPr>
            <w:r>
              <w:t xml:space="preserve">Azure AI Foundry</w:t>
            </w:r>
          </w:p>
        </w:tc>
        <w:tc>
          <w:tcPr/>
          <w:p>
            <w:pPr>
              <w:pStyle w:val="Compact"/>
              <w:jc w:val="left"/>
            </w:pPr>
            <w:r>
              <w:t xml:space="preserve">May 2026</w:t>
            </w:r>
          </w:p>
        </w:tc>
        <w:tc>
          <w:tcPr/>
          <w:p>
            <w:pPr>
              <w:pStyle w:val="Compact"/>
              <w:jc w:val="left"/>
            </w:pPr>
            <w:r>
              <w:t xml:space="preserve">AI agent runtime;</w:t>
            </w:r>
            <w:r>
              <w:t xml:space="preserve"> </w:t>
            </w:r>
            <w:r>
              <w:t xml:space="preserve">“</w:t>
            </w:r>
            <w:r>
              <w:t xml:space="preserve">Exploitation More Likely</w:t>
            </w:r>
            <w:r>
              <w:t xml:space="preserve">”</w:t>
            </w:r>
            <w:r>
              <w:t xml:space="preserve"> </w:t>
            </w:r>
            <w:r>
              <w:rPr>
                <w:vertAlign w:val="superscript"/>
              </w:rPr>
              <w:t xml:space="preserve">33</w:t>
            </w:r>
          </w:p>
        </w:tc>
      </w:tr>
      <w:tr>
        <w:tc>
          <w:tcPr/>
          <w:p>
            <w:pPr>
              <w:pStyle w:val="Compact"/>
              <w:jc w:val="left"/>
            </w:pPr>
            <w:r>
              <w:t xml:space="preserve">CVE-2026-26164</w:t>
            </w:r>
          </w:p>
        </w:tc>
        <w:tc>
          <w:tcPr/>
          <w:p>
            <w:pPr>
              <w:pStyle w:val="Compact"/>
              <w:jc w:val="left"/>
            </w:pPr>
            <w:r>
              <w:t xml:space="preserve">7.5</w:t>
            </w:r>
          </w:p>
        </w:tc>
        <w:tc>
          <w:tcPr/>
          <w:p>
            <w:pPr>
              <w:pStyle w:val="Compact"/>
              <w:jc w:val="left"/>
            </w:pPr>
            <w:r>
              <w:t xml:space="preserve">M365 Copilot</w:t>
            </w:r>
          </w:p>
        </w:tc>
        <w:tc>
          <w:tcPr/>
          <w:p>
            <w:pPr>
              <w:pStyle w:val="Compact"/>
              <w:jc w:val="left"/>
            </w:pPr>
            <w:r>
              <w:t xml:space="preserve">May 2026</w:t>
            </w:r>
          </w:p>
        </w:tc>
        <w:tc>
          <w:tcPr/>
          <w:p>
            <w:pPr>
              <w:pStyle w:val="Compact"/>
              <w:jc w:val="left"/>
            </w:pPr>
            <w:r>
              <w:t xml:space="preserve">Information disclosure, no user interaction</w:t>
            </w:r>
            <w:r>
              <w:t xml:space="preserve"> </w:t>
            </w:r>
            <w:r>
              <w:rPr>
                <w:vertAlign w:val="superscript"/>
              </w:rPr>
              <w:t xml:space="preserve">19</w:t>
            </w:r>
          </w:p>
        </w:tc>
      </w:tr>
      <w:tr>
        <w:tc>
          <w:tcPr/>
          <w:p>
            <w:pPr>
              <w:pStyle w:val="Compact"/>
              <w:jc w:val="left"/>
            </w:pPr>
            <w:r>
              <w:t xml:space="preserve">CVE-2026-33111</w:t>
            </w:r>
          </w:p>
        </w:tc>
        <w:tc>
          <w:tcPr/>
          <w:p>
            <w:pPr>
              <w:pStyle w:val="Compact"/>
              <w:jc w:val="left"/>
            </w:pPr>
            <w:r>
              <w:t xml:space="preserve">7.5</w:t>
            </w:r>
          </w:p>
        </w:tc>
        <w:tc>
          <w:tcPr/>
          <w:p>
            <w:pPr>
              <w:pStyle w:val="Compact"/>
              <w:jc w:val="left"/>
            </w:pPr>
            <w:r>
              <w:t xml:space="preserve">Edge Copilot Chat</w:t>
            </w:r>
          </w:p>
        </w:tc>
        <w:tc>
          <w:tcPr/>
          <w:p>
            <w:pPr>
              <w:pStyle w:val="Compact"/>
              <w:jc w:val="left"/>
            </w:pPr>
            <w:r>
              <w:t xml:space="preserve">May 2026</w:t>
            </w:r>
          </w:p>
        </w:tc>
        <w:tc>
          <w:tcPr/>
          <w:p>
            <w:pPr>
              <w:pStyle w:val="Compact"/>
              <w:jc w:val="left"/>
            </w:pPr>
            <w:r>
              <w:t xml:space="preserve">Command injection in Copilot Chat</w:t>
            </w:r>
            <w:r>
              <w:t xml:space="preserve"> </w:t>
            </w:r>
            <w:r>
              <w:rPr>
                <w:vertAlign w:val="superscript"/>
              </w:rPr>
              <w:t xml:space="preserve">22</w:t>
            </w:r>
          </w:p>
        </w:tc>
      </w:tr>
    </w:tbl>
    <w:p>
      <w:pPr>
        <w:pStyle w:val="BodyText"/>
      </w:pPr>
      <w:r>
        <w:t xml:space="preserve">The crown jewel is</w:t>
      </w:r>
      <w:r>
        <w:t xml:space="preserve"> </w:t>
      </w:r>
      <w:r>
        <w:rPr>
          <w:bCs/>
          <w:b/>
        </w:rPr>
        <w:t xml:space="preserve">CVE-2026-42823</w:t>
      </w:r>
      <w:r>
        <w:t xml:space="preserve"> </w:t>
      </w:r>
      <w:r>
        <w:t xml:space="preserve">at CVSS 9.9 — a privilege escalation vulnerability in Azure Logic Apps disclosed May 2026 that allows an authorized attacker to elevate privileges across the network boundary</w:t>
      </w:r>
      <w:r>
        <w:t xml:space="preserve"> </w:t>
      </w:r>
      <w:r>
        <w:rPr>
          <w:vertAlign w:val="superscript"/>
        </w:rPr>
        <w:t xml:space="preserve">15</w:t>
      </w:r>
      <w:r>
        <w:t xml:space="preserve">. This is as close to a maximum-severity cloud vulnerability as the scoring system allows. But the more strategically valuable narrative is</w:t>
      </w:r>
      <w:r>
        <w:t xml:space="preserve"> </w:t>
      </w:r>
      <w:r>
        <w:rPr>
          <w:bCs/>
          <w:b/>
        </w:rPr>
        <w:t xml:space="preserve">CVE-2026-35435</w:t>
      </w:r>
      <w:r>
        <w:t xml:space="preserve"> </w:t>
      </w:r>
      <w:r>
        <w:t xml:space="preserve">(CVSS 8.6), which affects Azure AI Foundry’s agent runtime and carries Microsoft’s own</w:t>
      </w:r>
      <w:r>
        <w:t xml:space="preserve"> </w:t>
      </w:r>
      <w:r>
        <w:rPr>
          <w:bCs/>
          <w:b/>
        </w:rPr>
        <w:t xml:space="preserve">“</w:t>
      </w:r>
      <w:r>
        <w:rPr>
          <w:bCs/>
          <w:b/>
        </w:rPr>
        <w:t xml:space="preserve">Exploitation More Likely</w:t>
      </w:r>
      <w:r>
        <w:rPr>
          <w:bCs/>
          <w:b/>
        </w:rPr>
        <w:t xml:space="preserve">”</w:t>
      </w:r>
      <w:r>
        <w:t xml:space="preserve"> </w:t>
      </w:r>
      <w:r>
        <w:t xml:space="preserve">assessment</w:t>
      </w:r>
      <w:r>
        <w:t xml:space="preserve"> </w:t>
      </w:r>
      <w:r>
        <w:rPr>
          <w:vertAlign w:val="superscript"/>
        </w:rPr>
        <w:t xml:space="preserve">33</w:t>
      </w:r>
      <w:r>
        <w:t xml:space="preserve">. Microsoft is telling the world that its AI infrastructure is actively being targeted — while simultaneously marketing AI governance solutions to enterprises.</w:t>
      </w:r>
    </w:p>
    <w:p>
      <w:pPr>
        <w:pStyle w:val="BodyText"/>
      </w:pPr>
      <w:r>
        <w:t xml:space="preserve">The FTC antitrust probe is the wildcard. The investigation targets Azure cloud dominance, Copilot bundling, OpenAI ties, and enterprise licensing practices</w:t>
      </w:r>
      <w:r>
        <w:t xml:space="preserve"> </w:t>
      </w:r>
      <w:r>
        <w:rPr>
          <w:vertAlign w:val="superscript"/>
        </w:rPr>
        <w:t xml:space="preserve">30</w:t>
      </w:r>
      <w:r>
        <w:t xml:space="preserve"> </w:t>
      </w:r>
      <w:r>
        <w:rPr>
          <w:vertAlign w:val="superscript"/>
        </w:rPr>
        <w:t xml:space="preserve">31</w:t>
      </w:r>
      <w:r>
        <w:t xml:space="preserve">. Any enforcement announcement in late June or early July would create a headline firestorm and an opening to position SOV3 as the independent alternative to a compromised Big Tech security stack.</w:t>
      </w:r>
    </w:p>
    <w:p>
      <w:pPr>
        <w:pStyle w:val="BodyText"/>
      </w:pPr>
      <w:r>
        <w:rPr>
          <w:bCs/>
          <w:b/>
        </w:rPr>
        <w:t xml:space="preserve">Narrative Line:</w:t>
      </w:r>
      <w:r>
        <w:t xml:space="preserve"> </w:t>
      </w:r>
      <w:r>
        <w:rPr>
          <w:iCs/>
          <w:i/>
        </w:rPr>
        <w:t xml:space="preserve">“</w:t>
      </w:r>
      <w:r>
        <w:rPr>
          <w:iCs/>
          <w:i/>
        </w:rPr>
        <w:t xml:space="preserve">Microsoft is building AI faster than it can secure it. Five critical Azure and Copilot vulnerabilities in 60 days — including a 9.9 CVSS privilege escalation and an AI agent runtime flagged</w:t>
      </w:r>
      <w:r>
        <w:rPr>
          <w:iCs/>
          <w:i/>
        </w:rPr>
        <w:t xml:space="preserve"> </w:t>
      </w:r>
      <w:r>
        <w:rPr>
          <w:iCs/>
          <w:i/>
        </w:rPr>
        <w:t xml:space="preserve">‘</w:t>
      </w:r>
      <w:r>
        <w:rPr>
          <w:iCs/>
          <w:i/>
        </w:rPr>
        <w:t xml:space="preserve">Exploitation More Likely.</w:t>
      </w:r>
      <w:r>
        <w:rPr>
          <w:iCs/>
          <w:i/>
        </w:rPr>
        <w:t xml:space="preserve">’</w:t>
      </w:r>
      <w:r>
        <w:rPr>
          <w:iCs/>
          <w:i/>
        </w:rPr>
        <w:t xml:space="preserve"> </w:t>
      </w:r>
      <w:r>
        <w:rPr>
          <w:iCs/>
          <w:i/>
        </w:rPr>
        <w:t xml:space="preserve">The cloud that wants to govern your AI can’t govern its own security.</w:t>
      </w:r>
      <w:r>
        <w:rPr>
          <w:iCs/>
          <w:i/>
        </w:rPr>
        <w:t xml:space="preserve">”</w:t>
      </w:r>
    </w:p>
    <w:p>
      <w:r>
        <w:pict>
          <v:rect style="width:0;height:1.5pt" o:hralign="center" o:hrstd="t" o:hr="t"/>
        </w:pict>
      </w:r>
    </w:p>
    <w:bookmarkEnd w:id="28"/>
    <w:bookmarkStart w:id="29" w:name="optimal-strike-timeline-june-15-july-4"/>
    <w:p>
      <w:pPr>
        <w:pStyle w:val="Heading3"/>
      </w:pPr>
      <w:r>
        <w:t xml:space="preserve">2.4 Optimal Strike Timeline: June 15 — July 4</w:t>
      </w:r>
    </w:p>
    <w:p>
      <w:pPr>
        <w:pStyle w:val="FirstParagraph"/>
      </w:pPr>
      <w:r>
        <w:t xml:space="preserve">The following table maps every stock-moving event across the competitive landscape to a specific SOV3 narrative strike. The goal is to maximize reputational damage during the 19-day window preceding launch by aligning content drops with moments when competitors are most vulnerable to negative press.</w:t>
      </w:r>
    </w:p>
    <w:p>
      <w:pPr>
        <w:pStyle w:val="BodyText"/>
      </w:pPr>
      <w:r>
        <w:rPr>
          <w:bCs/>
          <w:b/>
        </w:rPr>
        <w:t xml:space="preserve">Table 5: SOV3 Strike Calendar — June 15 to July 4, 2026</w:t>
      </w:r>
    </w:p>
    <w:tbl>
      <w:tblPr>
        <w:tblStyle w:val="Table"/>
        <w:tblW w:type="pct" w:w="5000"/>
        <w:tblLook w:firstRow="1" w:lastRow="0" w:firstColumn="0" w:lastColumn="0" w:noHBand="0" w:noVBand="0" w:val="0020"/>
      </w:tblPr>
      <w:tblGrid>
        <w:gridCol w:w="896"/>
        <w:gridCol w:w="2540"/>
        <w:gridCol w:w="3287"/>
        <w:gridCol w:w="1195"/>
      </w:tblGrid>
      <w:tr>
        <w:trPr>
          <w:tblHeader w:val="true"/>
        </w:trPr>
        <w:tc>
          <w:tcPr/>
          <w:p>
            <w:pPr>
              <w:pStyle w:val="Compact"/>
              <w:jc w:val="left"/>
            </w:pPr>
            <w:r>
              <w:t xml:space="preserve">Date</w:t>
            </w:r>
          </w:p>
        </w:tc>
        <w:tc>
          <w:tcPr/>
          <w:p>
            <w:pPr>
              <w:pStyle w:val="Compact"/>
              <w:jc w:val="left"/>
            </w:pPr>
            <w:r>
              <w:t xml:space="preserve">Competitor Event</w:t>
            </w:r>
          </w:p>
        </w:tc>
        <w:tc>
          <w:tcPr/>
          <w:p>
            <w:pPr>
              <w:pStyle w:val="Compact"/>
              <w:jc w:val="left"/>
            </w:pPr>
            <w:r>
              <w:t xml:space="preserve">SOV3 Narrative Strike</w:t>
            </w:r>
          </w:p>
        </w:tc>
        <w:tc>
          <w:tcPr/>
          <w:p>
            <w:pPr>
              <w:pStyle w:val="Compact"/>
              <w:jc w:val="left"/>
            </w:pPr>
            <w:r>
              <w:t xml:space="preserve">Target</w:t>
            </w:r>
          </w:p>
        </w:tc>
      </w:tr>
      <w:tr>
        <w:tc>
          <w:tcPr/>
          <w:p>
            <w:pPr>
              <w:pStyle w:val="Compact"/>
              <w:jc w:val="left"/>
            </w:pPr>
            <w:r>
              <w:rPr>
                <w:bCs/>
                <w:b/>
              </w:rPr>
              <w:t xml:space="preserve">Jun 9</w:t>
            </w:r>
          </w:p>
        </w:tc>
        <w:tc>
          <w:tcPr/>
          <w:p>
            <w:pPr>
              <w:pStyle w:val="Compact"/>
              <w:jc w:val="left"/>
            </w:pPr>
            <w:r>
              <w:t xml:space="preserve">Cloudflare Investor Day</w:t>
            </w:r>
          </w:p>
        </w:tc>
        <w:tc>
          <w:tcPr/>
          <w:p>
            <w:pPr>
              <w:pStyle w:val="Compact"/>
              <w:jc w:val="left"/>
            </w:pPr>
            <w:r>
              <w:t xml:space="preserve">Amplify layoff narrative if AI pivot disappoints;</w:t>
            </w:r>
            <w:r>
              <w:t xml:space="preserve"> </w:t>
            </w:r>
            <w:r>
              <w:t xml:space="preserve">“</w:t>
            </w:r>
            <w:r>
              <w:t xml:space="preserve">Firing 20% to chase AI is desperation</w:t>
            </w:r>
            <w:r>
              <w:t xml:space="preserve">”</w:t>
            </w:r>
            <w:r>
              <w:t xml:space="preserve"> </w:t>
            </w:r>
            <w:r>
              <w:rPr>
                <w:vertAlign w:val="superscript"/>
              </w:rPr>
              <w:t xml:space="preserve">34</w:t>
            </w:r>
          </w:p>
        </w:tc>
        <w:tc>
          <w:tcPr/>
          <w:p>
            <w:pPr>
              <w:pStyle w:val="Compact"/>
              <w:jc w:val="left"/>
            </w:pPr>
            <w:r>
              <w:t xml:space="preserve">NET</w:t>
            </w:r>
          </w:p>
        </w:tc>
      </w:tr>
      <w:tr>
        <w:tc>
          <w:tcPr/>
          <w:p>
            <w:pPr>
              <w:pStyle w:val="Compact"/>
              <w:jc w:val="left"/>
            </w:pPr>
            <w:r>
              <w:rPr>
                <w:bCs/>
                <w:b/>
              </w:rPr>
              <w:t xml:space="preserve">Jun 10</w:t>
            </w:r>
          </w:p>
        </w:tc>
        <w:tc>
          <w:tcPr/>
          <w:p>
            <w:pPr>
              <w:pStyle w:val="Compact"/>
              <w:jc w:val="left"/>
            </w:pPr>
            <w:r>
              <w:t xml:space="preserve">CISA KEV deadline (PANW CVE-2026-0257)</w:t>
            </w:r>
          </w:p>
        </w:tc>
        <w:tc>
          <w:tcPr/>
          <w:p>
            <w:pPr>
              <w:pStyle w:val="Compact"/>
              <w:jc w:val="left"/>
            </w:pPr>
            <w:r>
              <w:t xml:space="preserve">Push exploitation stories;</w:t>
            </w:r>
            <w:r>
              <w:t xml:space="preserve"> </w:t>
            </w:r>
            <w:r>
              <w:t xml:space="preserve">“</w:t>
            </w:r>
            <w:r>
              <w:t xml:space="preserve">GlobalProtect protects attackers, not agencies</w:t>
            </w:r>
            <w:r>
              <w:t xml:space="preserve">”</w:t>
            </w:r>
            <w:r>
              <w:t xml:space="preserve"> </w:t>
            </w:r>
            <w:r>
              <w:rPr>
                <w:vertAlign w:val="superscript"/>
              </w:rPr>
              <w:t xml:space="preserve">21</w:t>
            </w:r>
            <w:r>
              <w:t xml:space="preserve"> </w:t>
            </w:r>
            <w:r>
              <w:rPr>
                <w:vertAlign w:val="superscript"/>
              </w:rPr>
              <w:t xml:space="preserve">23</w:t>
            </w:r>
          </w:p>
        </w:tc>
        <w:tc>
          <w:tcPr/>
          <w:p>
            <w:pPr>
              <w:pStyle w:val="Compact"/>
              <w:jc w:val="left"/>
            </w:pPr>
            <w:r>
              <w:t xml:space="preserve">PANW</w:t>
            </w:r>
          </w:p>
        </w:tc>
      </w:tr>
      <w:tr>
        <w:tc>
          <w:tcPr/>
          <w:p>
            <w:pPr>
              <w:pStyle w:val="Compact"/>
              <w:jc w:val="left"/>
            </w:pPr>
            <w:r>
              <w:rPr>
                <w:bCs/>
                <w:b/>
              </w:rPr>
              <w:t xml:space="preserve">Jun 15–16</w:t>
            </w:r>
          </w:p>
        </w:tc>
        <w:tc>
          <w:tcPr/>
          <w:p>
            <w:pPr>
              <w:pStyle w:val="Compact"/>
              <w:jc w:val="left"/>
            </w:pPr>
            <w:r>
              <w:t xml:space="preserve">Post-CRWD earnings profit-taking window</w:t>
            </w:r>
          </w:p>
        </w:tc>
        <w:tc>
          <w:tcPr/>
          <w:p>
            <w:pPr>
              <w:pStyle w:val="Compact"/>
              <w:jc w:val="left"/>
            </w:pPr>
            <w:r>
              <w:t xml:space="preserve">Launch CVE-2026-40050 narrative:</w:t>
            </w:r>
            <w:r>
              <w:t xml:space="preserve"> </w:t>
            </w:r>
            <w:r>
              <w:t xml:space="preserve">“</w:t>
            </w:r>
            <w:r>
              <w:t xml:space="preserve">CrowdStrike’s own logs are insecure</w:t>
            </w:r>
            <w:r>
              <w:t xml:space="preserve">”</w:t>
            </w:r>
            <w:r>
              <w:t xml:space="preserve"> </w:t>
            </w:r>
            <w:r>
              <w:rPr>
                <w:vertAlign w:val="superscript"/>
              </w:rPr>
              <w:t xml:space="preserve">1</w:t>
            </w:r>
            <w:r>
              <w:t xml:space="preserve"> </w:t>
            </w:r>
            <w:r>
              <w:rPr>
                <w:vertAlign w:val="superscript"/>
              </w:rPr>
              <w:t xml:space="preserve">14</w:t>
            </w:r>
          </w:p>
        </w:tc>
        <w:tc>
          <w:tcPr/>
          <w:p>
            <w:pPr>
              <w:pStyle w:val="Compact"/>
              <w:jc w:val="left"/>
            </w:pPr>
            <w:r>
              <w:t xml:space="preserve">CRWD</w:t>
            </w:r>
          </w:p>
        </w:tc>
      </w:tr>
      <w:tr>
        <w:tc>
          <w:tcPr/>
          <w:p>
            <w:pPr>
              <w:pStyle w:val="Compact"/>
              <w:jc w:val="left"/>
            </w:pPr>
            <w:r>
              <w:rPr>
                <w:bCs/>
                <w:b/>
              </w:rPr>
              <w:t xml:space="preserve">Jun 16–17</w:t>
            </w:r>
          </w:p>
        </w:tc>
        <w:tc>
          <w:tcPr/>
          <w:p>
            <w:pPr>
              <w:pStyle w:val="Compact"/>
              <w:jc w:val="left"/>
            </w:pPr>
            <w:r>
              <w:t xml:space="preserve">Ongoing PANW exploitation fallout</w:t>
            </w:r>
          </w:p>
        </w:tc>
        <w:tc>
          <w:tcPr/>
          <w:p>
            <w:pPr>
              <w:pStyle w:val="Compact"/>
              <w:jc w:val="left"/>
            </w:pPr>
            <w:r>
              <w:t xml:space="preserve">Amplify VPN bypass stories; tie to $430M insider selling</w:t>
            </w:r>
            <w:r>
              <w:t xml:space="preserve"> </w:t>
            </w:r>
            <w:r>
              <w:rPr>
                <w:vertAlign w:val="superscript"/>
              </w:rPr>
              <w:t xml:space="preserve">16</w:t>
            </w:r>
            <w:r>
              <w:t xml:space="preserve"> </w:t>
            </w:r>
            <w:r>
              <w:rPr>
                <w:vertAlign w:val="superscript"/>
              </w:rPr>
              <w:t xml:space="preserve">17</w:t>
            </w:r>
            <w:r>
              <w:t xml:space="preserve"> </w:t>
            </w:r>
            <w:r>
              <w:rPr>
                <w:vertAlign w:val="superscript"/>
              </w:rPr>
              <w:t xml:space="preserve">11</w:t>
            </w:r>
          </w:p>
        </w:tc>
        <w:tc>
          <w:tcPr/>
          <w:p>
            <w:pPr>
              <w:pStyle w:val="Compact"/>
              <w:jc w:val="left"/>
            </w:pPr>
            <w:r>
              <w:t xml:space="preserve">PANW</w:t>
            </w:r>
          </w:p>
        </w:tc>
      </w:tr>
      <w:tr>
        <w:tc>
          <w:tcPr/>
          <w:p>
            <w:pPr>
              <w:pStyle w:val="Compact"/>
              <w:jc w:val="left"/>
            </w:pPr>
            <w:r>
              <w:rPr>
                <w:bCs/>
                <w:b/>
              </w:rPr>
              <w:t xml:space="preserve">Jun 18–19</w:t>
            </w:r>
          </w:p>
        </w:tc>
        <w:tc>
          <w:tcPr/>
          <w:p>
            <w:pPr>
              <w:pStyle w:val="Compact"/>
              <w:jc w:val="left"/>
            </w:pPr>
            <w:r>
              <w:t xml:space="preserve">MSFT FTC probe headline risk</w:t>
            </w:r>
          </w:p>
        </w:tc>
        <w:tc>
          <w:tcPr/>
          <w:p>
            <w:pPr>
              <w:pStyle w:val="Compact"/>
              <w:jc w:val="left"/>
            </w:pPr>
            <w:r>
              <w:t xml:space="preserve">Publish</w:t>
            </w:r>
            <w:r>
              <w:t xml:space="preserve"> </w:t>
            </w:r>
            <w:r>
              <w:t xml:space="preserve">“</w:t>
            </w:r>
            <w:r>
              <w:t xml:space="preserve">Azure’s Summer of Insecurity</w:t>
            </w:r>
            <w:r>
              <w:t xml:space="preserve">”</w:t>
            </w:r>
            <w:r>
              <w:t xml:space="preserve"> </w:t>
            </w:r>
            <w:r>
              <w:t xml:space="preserve">vulnerability cluster analysis</w:t>
            </w:r>
            <w:r>
              <w:t xml:space="preserve"> </w:t>
            </w:r>
            <w:r>
              <w:rPr>
                <w:vertAlign w:val="superscript"/>
              </w:rPr>
              <w:t xml:space="preserve">15</w:t>
            </w:r>
            <w:r>
              <w:t xml:space="preserve"> </w:t>
            </w:r>
            <w:r>
              <w:rPr>
                <w:vertAlign w:val="superscript"/>
              </w:rPr>
              <w:t xml:space="preserve">33</w:t>
            </w:r>
          </w:p>
        </w:tc>
        <w:tc>
          <w:tcPr/>
          <w:p>
            <w:pPr>
              <w:pStyle w:val="Compact"/>
              <w:jc w:val="left"/>
            </w:pPr>
            <w:r>
              <w:t xml:space="preserve">MSFT</w:t>
            </w:r>
          </w:p>
        </w:tc>
      </w:tr>
      <w:tr>
        <w:tc>
          <w:tcPr/>
          <w:p>
            <w:pPr>
              <w:pStyle w:val="Compact"/>
              <w:jc w:val="left"/>
            </w:pPr>
            <w:r>
              <w:rPr>
                <w:bCs/>
                <w:b/>
              </w:rPr>
              <w:t xml:space="preserve">Jun 20–23</w:t>
            </w:r>
          </w:p>
        </w:tc>
        <w:tc>
          <w:tcPr/>
          <w:p>
            <w:pPr>
              <w:pStyle w:val="Compact"/>
              <w:jc w:val="left"/>
            </w:pPr>
            <w:r>
              <w:t xml:space="preserve">CRWD insider selling continuation</w:t>
            </w:r>
          </w:p>
        </w:tc>
        <w:tc>
          <w:tcPr/>
          <w:p>
            <w:pPr>
              <w:pStyle w:val="Compact"/>
              <w:jc w:val="left"/>
            </w:pPr>
            <w:r>
              <w:t xml:space="preserve">Pair Form 4 filings with security narrative:</w:t>
            </w:r>
            <w:r>
              <w:t xml:space="preserve"> </w:t>
            </w:r>
            <w:r>
              <w:t xml:space="preserve">“</w:t>
            </w:r>
            <w:r>
              <w:t xml:space="preserve">Selling while exposing</w:t>
            </w:r>
            <w:r>
              <w:t xml:space="preserve">”</w:t>
            </w:r>
            <w:r>
              <w:t xml:space="preserve"> </w:t>
            </w:r>
            <w:r>
              <w:rPr>
                <w:vertAlign w:val="superscript"/>
              </w:rPr>
              <w:t xml:space="preserve">28</w:t>
            </w:r>
            <w:r>
              <w:t xml:space="preserve"> </w:t>
            </w:r>
            <w:r>
              <w:rPr>
                <w:vertAlign w:val="superscript"/>
              </w:rPr>
              <w:t xml:space="preserve">2</w:t>
            </w:r>
          </w:p>
        </w:tc>
        <w:tc>
          <w:tcPr/>
          <w:p>
            <w:pPr>
              <w:pStyle w:val="Compact"/>
              <w:jc w:val="left"/>
            </w:pPr>
            <w:r>
              <w:t xml:space="preserve">CRWD</w:t>
            </w:r>
          </w:p>
        </w:tc>
      </w:tr>
      <w:tr>
        <w:tc>
          <w:tcPr/>
          <w:p>
            <w:pPr>
              <w:pStyle w:val="Compact"/>
              <w:jc w:val="left"/>
            </w:pPr>
            <w:r>
              <w:rPr>
                <w:bCs/>
                <w:b/>
              </w:rPr>
              <w:t xml:space="preserve">Jun 23–25</w:t>
            </w:r>
          </w:p>
        </w:tc>
        <w:tc>
          <w:tcPr/>
          <w:p>
            <w:pPr>
              <w:pStyle w:val="Compact"/>
              <w:jc w:val="left"/>
            </w:pPr>
            <w:r>
              <w:t xml:space="preserve">ZS post-earnings drift</w:t>
            </w:r>
          </w:p>
        </w:tc>
        <w:tc>
          <w:tcPr/>
          <w:p>
            <w:pPr>
              <w:pStyle w:val="Compact"/>
              <w:jc w:val="left"/>
            </w:pPr>
            <w:r>
              <w:t xml:space="preserve">Highlight -17% collapse; zero insider buying vs. $69.4M selling</w:t>
            </w:r>
            <w:r>
              <w:t xml:space="preserve"> </w:t>
            </w:r>
            <w:r>
              <w:rPr>
                <w:vertAlign w:val="superscript"/>
              </w:rPr>
              <w:t xml:space="preserve">35</w:t>
            </w:r>
            <w:r>
              <w:t xml:space="preserve"> </w:t>
            </w:r>
            <w:r>
              <w:rPr>
                <w:vertAlign w:val="superscript"/>
              </w:rPr>
              <w:t xml:space="preserve">36</w:t>
            </w:r>
          </w:p>
        </w:tc>
        <w:tc>
          <w:tcPr/>
          <w:p>
            <w:pPr>
              <w:pStyle w:val="Compact"/>
              <w:jc w:val="left"/>
            </w:pPr>
            <w:r>
              <w:t xml:space="preserve">ZS</w:t>
            </w:r>
          </w:p>
        </w:tc>
      </w:tr>
      <w:tr>
        <w:tc>
          <w:tcPr/>
          <w:p>
            <w:pPr>
              <w:pStyle w:val="Compact"/>
              <w:jc w:val="left"/>
            </w:pPr>
            <w:r>
              <w:rPr>
                <w:bCs/>
                <w:b/>
              </w:rPr>
              <w:t xml:space="preserve">Jun 25–27</w:t>
            </w:r>
          </w:p>
        </w:tc>
        <w:tc>
          <w:tcPr/>
          <w:p>
            <w:pPr>
              <w:pStyle w:val="Compact"/>
              <w:jc w:val="left"/>
            </w:pPr>
            <w:r>
              <w:t xml:space="preserve">Azure vulnerability follow-up</w:t>
            </w:r>
          </w:p>
        </w:tc>
        <w:tc>
          <w:tcPr/>
          <w:p>
            <w:pPr>
              <w:pStyle w:val="Compact"/>
              <w:jc w:val="left"/>
            </w:pPr>
            <w:r>
              <w:t xml:space="preserve">Deep-dive on CVE-2026-42823 (9.9) and CVE-2026-35435 (AI Foundry)</w:t>
            </w:r>
            <w:r>
              <w:t xml:space="preserve"> </w:t>
            </w:r>
            <w:r>
              <w:rPr>
                <w:vertAlign w:val="superscript"/>
              </w:rPr>
              <w:t xml:space="preserve">15</w:t>
            </w:r>
            <w:r>
              <w:t xml:space="preserve"> </w:t>
            </w:r>
            <w:r>
              <w:rPr>
                <w:vertAlign w:val="superscript"/>
              </w:rPr>
              <w:t xml:space="preserve">33</w:t>
            </w:r>
          </w:p>
        </w:tc>
        <w:tc>
          <w:tcPr/>
          <w:p>
            <w:pPr>
              <w:pStyle w:val="Compact"/>
              <w:jc w:val="left"/>
            </w:pPr>
            <w:r>
              <w:t xml:space="preserve">MSFT</w:t>
            </w:r>
          </w:p>
        </w:tc>
      </w:tr>
      <w:tr>
        <w:tc>
          <w:tcPr/>
          <w:p>
            <w:pPr>
              <w:pStyle w:val="Compact"/>
              <w:jc w:val="left"/>
            </w:pPr>
            <w:r>
              <w:rPr>
                <w:bCs/>
                <w:b/>
              </w:rPr>
              <w:t xml:space="preserve">Jun 30–Jul 1</w:t>
            </w:r>
          </w:p>
        </w:tc>
        <w:tc>
          <w:tcPr/>
          <w:p>
            <w:pPr>
              <w:pStyle w:val="Compact"/>
              <w:jc w:val="left"/>
            </w:pPr>
            <w:r>
              <w:t xml:space="preserve">Quarter-end rebalancing volatility</w:t>
            </w:r>
          </w:p>
        </w:tc>
        <w:tc>
          <w:tcPr/>
          <w:p>
            <w:pPr>
              <w:pStyle w:val="Compact"/>
              <w:jc w:val="left"/>
            </w:pPr>
            <w:r>
              <w:t xml:space="preserve">Coordinate all-channel push; hedge funds trim overweight cybersecurity</w:t>
            </w:r>
            <w:r>
              <w:t xml:space="preserve"> </w:t>
            </w:r>
            <w:r>
              <w:rPr>
                <w:vertAlign w:val="superscript"/>
              </w:rPr>
              <w:t xml:space="preserve">9</w:t>
            </w:r>
            <w:r>
              <w:t xml:space="preserve"> </w:t>
            </w:r>
            <w:r>
              <w:rPr>
                <w:vertAlign w:val="superscript"/>
              </w:rPr>
              <w:t xml:space="preserve">13</w:t>
            </w:r>
          </w:p>
        </w:tc>
        <w:tc>
          <w:tcPr/>
          <w:p>
            <w:pPr>
              <w:pStyle w:val="Compact"/>
              <w:jc w:val="left"/>
            </w:pPr>
            <w:r>
              <w:t xml:space="preserve">All</w:t>
            </w:r>
          </w:p>
        </w:tc>
      </w:tr>
      <w:tr>
        <w:tc>
          <w:tcPr/>
          <w:p>
            <w:pPr>
              <w:pStyle w:val="Compact"/>
              <w:jc w:val="left"/>
            </w:pPr>
            <w:r>
              <w:rPr>
                <w:bCs/>
                <w:b/>
              </w:rPr>
              <w:t xml:space="preserve">Jul 2</w:t>
            </w:r>
          </w:p>
        </w:tc>
        <w:tc>
          <w:tcPr/>
          <w:p>
            <w:pPr>
              <w:pStyle w:val="Compact"/>
              <w:jc w:val="left"/>
            </w:pPr>
            <w:r>
              <w:t xml:space="preserve">CRWD 4-for-1 stock split effective</w:t>
            </w:r>
          </w:p>
        </w:tc>
        <w:tc>
          <w:tcPr/>
          <w:p>
            <w:pPr>
              <w:pStyle w:val="Compact"/>
              <w:jc w:val="left"/>
            </w:pPr>
            <w:r>
              <w:t xml:space="preserve">Maximum volume strike:</w:t>
            </w:r>
            <w:r>
              <w:t xml:space="preserve"> </w:t>
            </w:r>
            <w:r>
              <w:t xml:space="preserve">“</w:t>
            </w:r>
            <w:r>
              <w:t xml:space="preserve">Splitting stock, not fixing security</w:t>
            </w:r>
            <w:r>
              <w:t xml:space="preserve">”</w:t>
            </w:r>
            <w:r>
              <w:t xml:space="preserve"> </w:t>
            </w:r>
            <w:r>
              <w:rPr>
                <w:vertAlign w:val="superscript"/>
              </w:rPr>
              <w:t xml:space="preserve">12</w:t>
            </w:r>
          </w:p>
        </w:tc>
        <w:tc>
          <w:tcPr/>
          <w:p>
            <w:pPr>
              <w:pStyle w:val="Compact"/>
              <w:jc w:val="left"/>
            </w:pPr>
            <w:r>
              <w:t xml:space="preserve">CRWD</w:t>
            </w:r>
          </w:p>
        </w:tc>
      </w:tr>
      <w:tr>
        <w:tc>
          <w:tcPr/>
          <w:p>
            <w:pPr>
              <w:pStyle w:val="Compact"/>
              <w:jc w:val="left"/>
            </w:pPr>
            <w:r>
              <w:rPr>
                <w:bCs/>
                <w:b/>
              </w:rPr>
              <w:t xml:space="preserve">Jul 3</w:t>
            </w:r>
          </w:p>
        </w:tc>
        <w:tc>
          <w:tcPr/>
          <w:p>
            <w:pPr>
              <w:pStyle w:val="Compact"/>
              <w:jc w:val="left"/>
            </w:pPr>
            <w:r>
              <w:t xml:space="preserve">Pre-holiday low liquidity</w:t>
            </w:r>
          </w:p>
        </w:tc>
        <w:tc>
          <w:tcPr/>
          <w:p>
            <w:pPr>
              <w:pStyle w:val="Compact"/>
              <w:jc w:val="left"/>
            </w:pPr>
            <w:r>
              <w:t xml:space="preserve">Saturate social channels; holiday-weekend narrative lock-in</w:t>
            </w:r>
          </w:p>
        </w:tc>
        <w:tc>
          <w:tcPr/>
          <w:p>
            <w:pPr>
              <w:pStyle w:val="Compact"/>
              <w:jc w:val="left"/>
            </w:pPr>
            <w:r>
              <w:t xml:space="preserve">All</w:t>
            </w:r>
          </w:p>
        </w:tc>
      </w:tr>
      <w:tr>
        <w:tc>
          <w:tcPr/>
          <w:p>
            <w:pPr>
              <w:pStyle w:val="Compact"/>
              <w:jc w:val="left"/>
            </w:pPr>
            <w:r>
              <w:rPr>
                <w:bCs/>
                <w:b/>
              </w:rPr>
              <w:t xml:space="preserve">Jul 4</w:t>
            </w:r>
          </w:p>
        </w:tc>
        <w:tc>
          <w:tcPr/>
          <w:p>
            <w:pPr>
              <w:pStyle w:val="Compact"/>
              <w:jc w:val="left"/>
            </w:pPr>
            <w:r>
              <w:rPr>
                <w:bCs/>
                <w:b/>
              </w:rPr>
              <w:t xml:space="preserve">SOV3 LAUNCH</w:t>
            </w:r>
          </w:p>
        </w:tc>
        <w:tc>
          <w:tcPr/>
          <w:p>
            <w:pPr>
              <w:pStyle w:val="Compact"/>
              <w:jc w:val="left"/>
            </w:pPr>
            <w:r>
              <w:t xml:space="preserve">—</w:t>
            </w:r>
          </w:p>
        </w:tc>
        <w:tc>
          <w:tcPr/>
          <w:p>
            <w:pPr>
              <w:pStyle w:val="Compact"/>
              <w:jc w:val="left"/>
            </w:pPr>
            <w:r>
              <w:t xml:space="preserve">—</w:t>
            </w:r>
          </w:p>
        </w:tc>
      </w:tr>
    </w:tbl>
    <w:p>
      <w:pPr>
        <w:pStyle w:val="BodyText"/>
      </w:pPr>
      <w:r>
        <w:rPr>
          <w:bCs/>
          <w:b/>
        </w:rPr>
        <w:t xml:space="preserve">Phase Breakdown:</w:t>
      </w:r>
    </w:p>
    <w:p>
      <w:pPr>
        <w:numPr>
          <w:ilvl w:val="0"/>
          <w:numId w:val="1002"/>
        </w:numPr>
      </w:pPr>
      <w:r>
        <w:rPr>
          <w:bCs/>
          <w:b/>
        </w:rPr>
        <w:t xml:space="preserve">Phase 1 (Jun 9–13):</w:t>
      </w:r>
      <w:r>
        <w:rPr>
          <w:bCs/>
          <w:b/>
        </w:rPr>
        <w:t xml:space="preserve"> </w:t>
      </w:r>
      <w:r>
        <w:rPr>
          <w:bCs/>
          <w:b/>
        </w:rPr>
        <w:t xml:space="preserve">“</w:t>
      </w:r>
      <w:r>
        <w:rPr>
          <w:bCs/>
          <w:b/>
        </w:rPr>
        <w:t xml:space="preserve">The Cracks Appear</w:t>
      </w:r>
      <w:r>
        <w:rPr>
          <w:bCs/>
          <w:b/>
        </w:rPr>
        <w:t xml:space="preserve">”</w:t>
      </w:r>
      <w:r>
        <w:t xml:space="preserve"> </w:t>
      </w:r>
      <w:r>
        <w:t xml:space="preserve">— The CISA deadline on June 10 provides a natural news peg for PANW exploitation stories. Cloudflare’s Investor Day on June 9 offers a secondary target if the AI pivot messaging falters. Goal: establish that incumbents are struggling with execution and security fundamentals.</w:t>
      </w:r>
    </w:p>
    <w:p>
      <w:pPr>
        <w:numPr>
          <w:ilvl w:val="0"/>
          <w:numId w:val="1002"/>
        </w:numPr>
      </w:pPr>
      <w:r>
        <w:rPr>
          <w:bCs/>
          <w:b/>
        </w:rPr>
        <w:t xml:space="preserve">Phase 2 (Jun 16–20):</w:t>
      </w:r>
      <w:r>
        <w:rPr>
          <w:bCs/>
          <w:b/>
        </w:rPr>
        <w:t xml:space="preserve"> </w:t>
      </w:r>
      <w:r>
        <w:rPr>
          <w:bCs/>
          <w:b/>
        </w:rPr>
        <w:t xml:space="preserve">“</w:t>
      </w:r>
      <w:r>
        <w:rPr>
          <w:bCs/>
          <w:b/>
        </w:rPr>
        <w:t xml:space="preserve">The Golden Vulnerability</w:t>
      </w:r>
      <w:r>
        <w:rPr>
          <w:bCs/>
          <w:b/>
        </w:rPr>
        <w:t xml:space="preserve">”</w:t>
      </w:r>
      <w:r>
        <w:t xml:space="preserve"> </w:t>
      </w:r>
      <w:r>
        <w:t xml:space="preserve">— CrowdStrike’s CVE-2026-40050 becomes the primary narrative weapon. Pair the technical disclosure with the ongoing insider selling data to create a story of executives cashing out while leaving customers exposed. The post-earnings profit-taking window adds technical selling pressure that amplifies negative sentiment.</w:t>
      </w:r>
    </w:p>
    <w:p>
      <w:pPr>
        <w:numPr>
          <w:ilvl w:val="0"/>
          <w:numId w:val="1002"/>
        </w:numPr>
      </w:pPr>
      <w:r>
        <w:rPr>
          <w:bCs/>
          <w:b/>
        </w:rPr>
        <w:t xml:space="preserve">Phase 3 (Jun 23–27):</w:t>
      </w:r>
      <w:r>
        <w:rPr>
          <w:bCs/>
          <w:b/>
        </w:rPr>
        <w:t xml:space="preserve"> </w:t>
      </w:r>
      <w:r>
        <w:rPr>
          <w:bCs/>
          <w:b/>
        </w:rPr>
        <w:t xml:space="preserve">“</w:t>
      </w:r>
      <w:r>
        <w:rPr>
          <w:bCs/>
          <w:b/>
        </w:rPr>
        <w:t xml:space="preserve">Azure’s Summer of Insecurity</w:t>
      </w:r>
      <w:r>
        <w:rPr>
          <w:bCs/>
          <w:b/>
        </w:rPr>
        <w:t xml:space="preserve">”</w:t>
      </w:r>
      <w:r>
        <w:t xml:space="preserve"> </w:t>
      </w:r>
      <w:r>
        <w:t xml:space="preserve">— Microsoft’s vulnerability cluster is compiled into a comprehensive research piece. The CVE-2026-42823 (9.9) and CVE-2026-35435 (AI Foundry,</w:t>
      </w:r>
      <w:r>
        <w:t xml:space="preserve"> </w:t>
      </w:r>
      <w:r>
        <w:t xml:space="preserve">“</w:t>
      </w:r>
      <w:r>
        <w:t xml:space="preserve">Exploitation More Likely</w:t>
      </w:r>
      <w:r>
        <w:t xml:space="preserve">”</w:t>
      </w:r>
      <w:r>
        <w:t xml:space="preserve">) are the twin pillars. Contrast Microsoft’s</w:t>
      </w:r>
      <w:r>
        <w:t xml:space="preserve"> </w:t>
      </w:r>
      <w:r>
        <w:t xml:space="preserve">“</w:t>
      </w:r>
      <w:r>
        <w:t xml:space="preserve">AI everywhere</w:t>
      </w:r>
      <w:r>
        <w:t xml:space="preserve">”</w:t>
      </w:r>
      <w:r>
        <w:t xml:space="preserve"> </w:t>
      </w:r>
      <w:r>
        <w:t xml:space="preserve">marketing with its governance failures to position SOV3 as the security-first alternative.</w:t>
      </w:r>
    </w:p>
    <w:p>
      <w:pPr>
        <w:numPr>
          <w:ilvl w:val="0"/>
          <w:numId w:val="1002"/>
        </w:numPr>
      </w:pPr>
      <w:r>
        <w:rPr>
          <w:bCs/>
          <w:b/>
        </w:rPr>
        <w:t xml:space="preserve">Phase 4 (Jun 30–Jul 3):</w:t>
      </w:r>
      <w:r>
        <w:rPr>
          <w:bCs/>
          <w:b/>
        </w:rPr>
        <w:t xml:space="preserve"> </w:t>
      </w:r>
      <w:r>
        <w:rPr>
          <w:bCs/>
          <w:b/>
        </w:rPr>
        <w:t xml:space="preserve">“</w:t>
      </w:r>
      <w:r>
        <w:rPr>
          <w:bCs/>
          <w:b/>
        </w:rPr>
        <w:t xml:space="preserve">Split, Not Fix</w:t>
      </w:r>
      <w:r>
        <w:rPr>
          <w:bCs/>
          <w:b/>
        </w:rPr>
        <w:t xml:space="preserve">”</w:t>
      </w:r>
      <w:r>
        <w:t xml:space="preserve"> </w:t>
      </w:r>
      <w:r>
        <w:t xml:space="preserve">— All channels converge on CrowdStrike’s July 2 stock split. The</w:t>
      </w:r>
      <w:r>
        <w:t xml:space="preserve"> </w:t>
      </w:r>
      <w:r>
        <w:t xml:space="preserve">“</w:t>
      </w:r>
      <w:r>
        <w:t xml:space="preserve">paper tiger</w:t>
      </w:r>
      <w:r>
        <w:t xml:space="preserve">”</w:t>
      </w:r>
      <w:r>
        <w:t xml:space="preserve"> </w:t>
      </w:r>
      <w:r>
        <w:t xml:space="preserve">narrative — that the split is a distraction from fundamental security failures — is deployed at maximum volume across social, PR, blog, and paid channels. Quarter-end rebalancing creates natural volatility that magnifies the narrative impact.</w:t>
      </w:r>
    </w:p>
    <w:p>
      <w:r>
        <w:pict>
          <v:rect style="width:0;height:1.5pt" o:hralign="center" o:hrstd="t" o:hr="t"/>
        </w:pict>
      </w:r>
    </w:p>
    <w:bookmarkEnd w:id="29"/>
    <w:bookmarkStart w:id="30" w:name="chapter-2-key-takeaways"/>
    <w:p>
      <w:pPr>
        <w:pStyle w:val="Heading3"/>
      </w:pPr>
      <w:r>
        <w:t xml:space="preserve">Chapter 2 Key Takeaways</w:t>
      </w:r>
    </w:p>
    <w:p>
      <w:pPr>
        <w:numPr>
          <w:ilvl w:val="0"/>
          <w:numId w:val="1003"/>
        </w:numPr>
      </w:pPr>
      <w:r>
        <w:rPr>
          <w:bCs/>
          <w:b/>
        </w:rPr>
        <w:t xml:space="preserve">CrowdStrike is a technical accident waiting to happen.</w:t>
      </w:r>
      <w:r>
        <w:t xml:space="preserve"> </w:t>
      </w:r>
      <w:r>
        <w:t xml:space="preserve">A 149x forward P/E, $30M+ in insider selling over two weeks, and a 9.8 CVSS vulnerability in its own product stack create a three-way convergence of valuation risk, insider distrust, and security failure. The July 2 stock split is the perfect narrative foil.</w:t>
      </w:r>
    </w:p>
    <w:p>
      <w:pPr>
        <w:numPr>
          <w:ilvl w:val="0"/>
          <w:numId w:val="1003"/>
        </w:numPr>
      </w:pPr>
      <w:r>
        <w:rPr>
          <w:bCs/>
          <w:b/>
        </w:rPr>
        <w:t xml:space="preserve">Palo Alto Networks is trapped in a federal compliance vise.</w:t>
      </w:r>
      <w:r>
        <w:t xml:space="preserve"> </w:t>
      </w:r>
      <w:r>
        <w:t xml:space="preserve">The June 10 CISA KEV deadline for CVE-2026-0257 — an actively exploited VPN bypass with public PoC code — is a five-alarm fire. The 43:1 insider selling ratio ($430.6M sold vs. $10M bought) suggests the C-suite sees the writing on the wall.</w:t>
      </w:r>
    </w:p>
    <w:p>
      <w:pPr>
        <w:numPr>
          <w:ilvl w:val="0"/>
          <w:numId w:val="1003"/>
        </w:numPr>
      </w:pPr>
      <w:r>
        <w:rPr>
          <w:bCs/>
          <w:b/>
        </w:rPr>
        <w:t xml:space="preserve">Microsoft’s vulnerability cluster is unprecedented.</w:t>
      </w:r>
      <w:r>
        <w:t xml:space="preserve"> </w:t>
      </w:r>
      <w:r>
        <w:t xml:space="preserve">Five critical or high-severity CVEs across Azure and Copilot in 60 days, including a 9.9 privilege escalation and an AI agent runtime flagged</w:t>
      </w:r>
      <w:r>
        <w:t xml:space="preserve"> </w:t>
      </w:r>
      <w:r>
        <w:t xml:space="preserve">“</w:t>
      </w:r>
      <w:r>
        <w:t xml:space="preserve">Exploitation More Likely,</w:t>
      </w:r>
      <w:r>
        <w:t xml:space="preserve">”</w:t>
      </w:r>
      <w:r>
        <w:t xml:space="preserve"> </w:t>
      </w:r>
      <w:r>
        <w:t xml:space="preserve">undermines the company’s credibility as an AI governance leader. The FTC probe adds regulatory ammunition.</w:t>
      </w:r>
    </w:p>
    <w:p>
      <w:pPr>
        <w:numPr>
          <w:ilvl w:val="0"/>
          <w:numId w:val="1003"/>
        </w:numPr>
      </w:pPr>
      <w:r>
        <w:rPr>
          <w:bCs/>
          <w:b/>
        </w:rPr>
        <w:t xml:space="preserve">The strike window is June 15–July 4 by design.</w:t>
      </w:r>
      <w:r>
        <w:t xml:space="preserve"> </w:t>
      </w:r>
      <w:r>
        <w:t xml:space="preserve">Each phase targets a specific competitor during a known stock-moving event, creating a cumulative narrative arc that peaks on July 2–3 — 48 hours before SOV3 launch — when competitor stocks are under maximum pressure and retail investors are most impressionable.</w:t>
      </w:r>
    </w:p>
    <w:p>
      <w:pPr>
        <w:numPr>
          <w:ilvl w:val="0"/>
          <w:numId w:val="1003"/>
        </w:numPr>
      </w:pPr>
      <w:r>
        <w:rPr>
          <w:bCs/>
          <w:b/>
        </w:rPr>
        <w:t xml:space="preserve">Insider selling is the universal tell.</w:t>
      </w:r>
      <w:r>
        <w:t xml:space="preserve"> </w:t>
      </w:r>
      <w:r>
        <w:t xml:space="preserve">Across CRWD ($30M+ in 2 weeks), PANW ($430.6M net over 12 months), and ZS ($69.4M with zero buying), the people who know these companies best are selling at record pace. This is not a coincidence. It is actionable intelligence.</w:t>
      </w:r>
    </w:p>
    <w:p>
      <w:r>
        <w:pict>
          <v:rect style="width:0;height:1.5pt" o:hralign="center" o:hrstd="t" o:hr="t"/>
        </w:pict>
      </w:r>
    </w:p>
    <w:bookmarkEnd w:id="30"/>
    <w:bookmarkEnd w:id="31"/>
    <w:bookmarkStart w:id="37" w:name="verified-technical-vulnerabilities"/>
    <w:p>
      <w:pPr>
        <w:pStyle w:val="Heading2"/>
      </w:pPr>
      <w:r>
        <w:t xml:space="preserve">3. Verified Technical Vulnerabilities</w:t>
      </w:r>
    </w:p>
    <w:p>
      <w:pPr>
        <w:pStyle w:val="FirstParagraph"/>
      </w:pPr>
      <w:r>
        <w:rPr>
          <w:iCs/>
          <w:i/>
        </w:rPr>
        <w:t xml:space="preserve">Classification: SOV3 Competitive Intelligence — Technical Vulnerability Assessment</w:t>
      </w:r>
      <w:r>
        <w:t xml:space="preserve"> </w:t>
      </w:r>
      <w:r>
        <w:rPr>
          <w:iCs/>
          <w:i/>
        </w:rPr>
        <w:t xml:space="preserve">Sources: NIST NVD, MITRE CVE, CISA KEV, Vendor Security Advisories, CrowdStrike, Microsoft MSRC</w:t>
      </w:r>
      <w:r>
        <w:t xml:space="preserve"> </w:t>
      </w:r>
      <w:r>
        <w:rPr>
          <w:iCs/>
          <w:i/>
        </w:rPr>
        <w:t xml:space="preserve">Methodology: Public-source intelligence (OSINT) only. No active exploitation. All CVEs verified against authoritative sources.</w:t>
      </w:r>
    </w:p>
    <w:p>
      <w:r>
        <w:pict>
          <v:rect style="width:0;height:1.5pt" o:hralign="center" o:hrstd="t" o:hr="t"/>
        </w:pict>
      </w:r>
    </w:p>
    <w:bookmarkStart w:id="32" w:name="Xdba9ea274c2756ef5e7070ffd20733cbdade17e"/>
    <w:p>
      <w:pPr>
        <w:pStyle w:val="Heading3"/>
      </w:pPr>
      <w:r>
        <w:t xml:space="preserve">3.1 CVE-2026-25253: The OpenClaw Catastrophe (CONFIRMED)</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rPr>
                <w:bCs/>
                <w:b/>
              </w:rPr>
              <w:t xml:space="preserve">Verification Status: CONFIRMED REAL in NIST NVD.</w:t>
            </w:r>
            <w:r>
              <w:rPr>
                <w:vertAlign w:val="superscript"/>
              </w:rPr>
              <w:t xml:space="preserve">9</w:t>
            </w:r>
          </w:p>
        </w:tc>
        <w:tc>
          <w:tcPr/>
          <w:p>
            <w:pPr>
              <w:pStyle w:val="Compact"/>
              <w:jc w:val="left"/>
            </w:pPr>
            <w:r>
              <w:t xml:space="preserve">Attribute</w:t>
            </w:r>
          </w:p>
        </w:tc>
      </w:tr>
      <w:tr>
        <w:tc>
          <w:tcPr/>
          <w:p>
            <w:pPr>
              <w:pStyle w:val="Compact"/>
              <w:jc w:val="left"/>
            </w:pPr>
            <w:r>
              <w:rPr>
                <w:bCs/>
                <w:b/>
              </w:rPr>
              <w:t xml:space="preserve">CVE ID</w:t>
            </w:r>
          </w:p>
        </w:tc>
        <w:tc>
          <w:tcPr/>
          <w:p>
            <w:pPr>
              <w:pStyle w:val="Compact"/>
              <w:jc w:val="left"/>
            </w:pPr>
            <w:r>
              <w:t xml:space="preserve">CVE-2026-25253</w:t>
            </w:r>
          </w:p>
        </w:tc>
      </w:tr>
      <w:tr>
        <w:tc>
          <w:tcPr/>
          <w:p>
            <w:pPr>
              <w:pStyle w:val="Compact"/>
              <w:jc w:val="left"/>
            </w:pPr>
            <w:r>
              <w:rPr>
                <w:bCs/>
                <w:b/>
              </w:rPr>
              <w:t xml:space="preserve">NVD Entry</w:t>
            </w:r>
          </w:p>
        </w:tc>
        <w:tc>
          <w:tcPr/>
          <w:p>
            <w:pPr>
              <w:pStyle w:val="Compact"/>
              <w:jc w:val="left"/>
            </w:pPr>
            <w:r>
              <w:t xml:space="preserve">https://nvd.nist.gov/vuln/detail/CVE-2026-25253</w:t>
            </w:r>
          </w:p>
        </w:tc>
      </w:tr>
      <w:tr>
        <w:tc>
          <w:tcPr/>
          <w:p>
            <w:pPr>
              <w:pStyle w:val="Compact"/>
              <w:jc w:val="left"/>
            </w:pPr>
            <w:r>
              <w:rPr>
                <w:bCs/>
                <w:b/>
              </w:rPr>
              <w:t xml:space="preserve">Published</w:t>
            </w:r>
          </w:p>
        </w:tc>
        <w:tc>
          <w:tcPr/>
          <w:p>
            <w:pPr>
              <w:pStyle w:val="Compact"/>
              <w:jc w:val="left"/>
            </w:pPr>
            <w:r>
              <w:t xml:space="preserve">2026-02-01</w:t>
            </w:r>
          </w:p>
        </w:tc>
      </w:tr>
      <w:tr>
        <w:tc>
          <w:tcPr/>
          <w:p>
            <w:pPr>
              <w:pStyle w:val="Compact"/>
              <w:jc w:val="left"/>
            </w:pPr>
            <w:r>
              <w:rPr>
                <w:bCs/>
                <w:b/>
              </w:rPr>
              <w:t xml:space="preserve">Last Modified</w:t>
            </w:r>
          </w:p>
        </w:tc>
        <w:tc>
          <w:tcPr/>
          <w:p>
            <w:pPr>
              <w:pStyle w:val="Compact"/>
              <w:jc w:val="left"/>
            </w:pPr>
            <w:r>
              <w:t xml:space="preserve">2026-02-13</w:t>
            </w:r>
          </w:p>
        </w:tc>
      </w:tr>
      <w:tr>
        <w:tc>
          <w:tcPr/>
          <w:p>
            <w:pPr>
              <w:pStyle w:val="Compact"/>
              <w:jc w:val="left"/>
            </w:pPr>
            <w:r>
              <w:rPr>
                <w:bCs/>
                <w:b/>
              </w:rPr>
              <w:t xml:space="preserve">MITRE CVSS v3.1</w:t>
            </w:r>
          </w:p>
        </w:tc>
        <w:tc>
          <w:tcPr/>
          <w:p>
            <w:pPr>
              <w:pStyle w:val="Compact"/>
              <w:jc w:val="left"/>
            </w:pPr>
            <w:r>
              <w:t xml:space="preserve">8.8 (HIGH) —</w:t>
            </w:r>
            <w:r>
              <w:t xml:space="preserve"> </w:t>
            </w:r>
            <w:r>
              <w:rPr>
                <w:iCs/>
                <w:i/>
              </w:rPr>
              <w:t xml:space="preserve">corrected from claimed 10.0</w:t>
            </w:r>
          </w:p>
        </w:tc>
      </w:tr>
      <w:tr>
        <w:tc>
          <w:tcPr/>
          <w:p>
            <w:pPr>
              <w:pStyle w:val="Compact"/>
              <w:jc w:val="left"/>
            </w:pPr>
            <w:r>
              <w:rPr>
                <w:bCs/>
                <w:b/>
              </w:rPr>
              <w:t xml:space="preserve">CWE</w:t>
            </w:r>
          </w:p>
        </w:tc>
        <w:tc>
          <w:tcPr/>
          <w:p>
            <w:pPr>
              <w:pStyle w:val="Compact"/>
              <w:jc w:val="left"/>
            </w:pPr>
            <w:r>
              <w:t xml:space="preserve">CWE-669: Incorrect Resource Transfer Between Spheres</w:t>
            </w:r>
          </w:p>
        </w:tc>
      </w:tr>
      <w:tr>
        <w:tc>
          <w:tcPr/>
          <w:p>
            <w:pPr>
              <w:pStyle w:val="Compact"/>
              <w:jc w:val="left"/>
            </w:pPr>
            <w:r>
              <w:rPr>
                <w:bCs/>
                <w:b/>
              </w:rPr>
              <w:t xml:space="preserve">Affected Product</w:t>
            </w:r>
          </w:p>
        </w:tc>
        <w:tc>
          <w:tcPr/>
          <w:p>
            <w:pPr>
              <w:pStyle w:val="Compact"/>
              <w:jc w:val="left"/>
            </w:pPr>
            <w:r>
              <w:t xml:space="preserve">OpenClaw (aka clawdbot, Moltbot) before version 2026.1.29</w:t>
            </w:r>
          </w:p>
        </w:tc>
      </w:tr>
    </w:tbl>
    <w:p>
      <w:pPr>
        <w:pStyle w:val="BodyText"/>
      </w:pPr>
      <w:r>
        <w:t xml:space="preserve">The most popular open-source AI agent framework on GitHub — with 346,000+ stars and 3.2 million active users</w:t>
      </w:r>
      <w:r>
        <w:rPr>
          <w:vertAlign w:val="superscript"/>
        </w:rPr>
        <w:t xml:space="preserve">24</w:t>
      </w:r>
      <w:r>
        <w:t xml:space="preserve">— shipped a one-click remote code execution vulnerability that an attacker can trigger with nothing more than a malicious link. CVE-2026-25253 represents everything wrong with the</w:t>
      </w:r>
      <w:r>
        <w:t xml:space="preserve"> </w:t>
      </w:r>
      <w:r>
        <w:t xml:space="preserve">“</w:t>
      </w:r>
      <w:r>
        <w:t xml:space="preserve">move fast and agentize things</w:t>
      </w:r>
      <w:r>
        <w:t xml:space="preserve">”</w:t>
      </w:r>
      <w:r>
        <w:t xml:space="preserve"> </w:t>
      </w:r>
      <w:r>
        <w:t xml:space="preserve">engineering culture that dominates AI development in 2026.</w:t>
      </w:r>
    </w:p>
    <w:p>
      <w:pPr>
        <w:pStyle w:val="BodyText"/>
      </w:pPr>
      <w:r>
        <w:rPr>
          <w:bCs/>
          <w:b/>
        </w:rPr>
        <w:t xml:space="preserve">The Attack Chain (Five Steps to Full System Compromise):</w:t>
      </w:r>
    </w:p>
    <w:p>
      <w:pPr>
        <w:numPr>
          <w:ilvl w:val="0"/>
          <w:numId w:val="1004"/>
        </w:numPr>
        <w:pStyle w:val="Compact"/>
      </w:pPr>
      <w:r>
        <w:rPr>
          <w:bCs/>
          <w:b/>
        </w:rPr>
        <w:t xml:space="preserve">Reconnaissance:</w:t>
      </w:r>
      <w:r>
        <w:t xml:space="preserve"> </w:t>
      </w:r>
      <w:r>
        <w:t xml:space="preserve">Attacker identifies an OpenClaw instance (780+ confirmed exposed on the public internet via Shodan scan, February 2026; broader estimates place public instances at 135,000+</w:t>
      </w:r>
      <w:r>
        <w:rPr>
          <w:vertAlign w:val="superscript"/>
        </w:rPr>
        <w:t xml:space="preserve">3</w:t>
      </w:r>
      <w:r>
        <w:t xml:space="preserve">).</w:t>
      </w:r>
    </w:p>
    <w:p>
      <w:pPr>
        <w:numPr>
          <w:ilvl w:val="0"/>
          <w:numId w:val="1004"/>
        </w:numPr>
        <w:pStyle w:val="Compact"/>
      </w:pPr>
      <w:r>
        <w:rPr>
          <w:bCs/>
          <w:b/>
        </w:rPr>
        <w:t xml:space="preserve">Link Crafting:</w:t>
      </w:r>
      <w:r>
        <w:t xml:space="preserve"> </w:t>
      </w:r>
      <w:r>
        <w:t xml:space="preserve">Attacker builds a URL containing an attacker-controlled</w:t>
      </w:r>
      <w:r>
        <w:t xml:space="preserve"> </w:t>
      </w:r>
      <w:r>
        <w:rPr>
          <w:rStyle w:val="VerbatimChar"/>
        </w:rPr>
        <w:t xml:space="preserve">gatewayUrl</w:t>
      </w:r>
      <w:r>
        <w:t xml:space="preserve"> </w:t>
      </w:r>
      <w:r>
        <w:t xml:space="preserve">parameter in the query string.</w:t>
      </w:r>
    </w:p>
    <w:p>
      <w:pPr>
        <w:numPr>
          <w:ilvl w:val="0"/>
          <w:numId w:val="1004"/>
        </w:numPr>
        <w:pStyle w:val="Compact"/>
      </w:pPr>
      <w:r>
        <w:rPr>
          <w:bCs/>
          <w:b/>
        </w:rPr>
        <w:t xml:space="preserve">WebSocket Hijacking:</w:t>
      </w:r>
      <w:r>
        <w:t xml:space="preserve"> </w:t>
      </w:r>
      <w:r>
        <w:t xml:space="preserve">Victim clicks the link. OpenClaw’s control UI (</w:t>
      </w:r>
      <w:r>
        <w:rPr>
          <w:rStyle w:val="VerbatimChar"/>
        </w:rPr>
        <w:t xml:space="preserve">openclaw-mastersourcecontrol-ui</w:t>
      </w:r>
      <w:r>
        <w:t xml:space="preserve">) automatically establishes a WebSocket connection to the attacker-controlled server on port 18789 — without prompting, without validating, without any authentication check.</w:t>
      </w:r>
      <w:r>
        <w:rPr>
          <w:vertAlign w:val="superscript"/>
        </w:rPr>
        <w:t xml:space="preserve">9</w:t>
      </w:r>
      <w:r>
        <w:t xml:space="preserve">4.</w:t>
      </w:r>
      <w:r>
        <w:t xml:space="preserve"> </w:t>
      </w:r>
      <w:r>
        <w:rPr>
          <w:bCs/>
          <w:b/>
        </w:rPr>
        <w:t xml:space="preserve">Token Exfiltration (</w:t>
      </w:r>
      <w:r>
        <w:rPr>
          <w:bCs/>
          <w:b/>
        </w:rPr>
        <w:t xml:space="preserve">“</w:t>
      </w:r>
      <w:r>
        <w:rPr>
          <w:bCs/>
          <w:b/>
        </w:rPr>
        <w:t xml:space="preserve">ClawBleed</w:t>
      </w:r>
      <w:r>
        <w:rPr>
          <w:bCs/>
          <w:b/>
        </w:rPr>
        <w:t xml:space="preserve">”</w:t>
      </w:r>
      <w:r>
        <w:rPr>
          <w:bCs/>
          <w:b/>
        </w:rPr>
        <w:t xml:space="preserve">):</w:t>
      </w:r>
      <w:r>
        <w:t xml:space="preserve"> </w:t>
      </w:r>
      <w:r>
        <w:t xml:space="preserve">The client transmits its session token in plaintext to the attacker’s server. This token leakage — colloquially termed</w:t>
      </w:r>
      <w:r>
        <w:t xml:space="preserve"> </w:t>
      </w:r>
      <w:r>
        <w:t xml:space="preserve">“</w:t>
      </w:r>
      <w:r>
        <w:t xml:space="preserve">ClawBleed</w:t>
      </w:r>
      <w:r>
        <w:t xml:space="preserve">”</w:t>
      </w:r>
      <w:r>
        <w:t xml:space="preserve"> </w:t>
      </w:r>
      <w:r>
        <w:t xml:space="preserve">— grants the attacker authenticated access to OpenClaw’s Gateway API as the victim.</w:t>
      </w:r>
      <w:r>
        <w:rPr>
          <w:vertAlign w:val="superscript"/>
        </w:rPr>
        <w:t xml:space="preserve">9</w:t>
      </w:r>
      <w:r>
        <w:t xml:space="preserve">5.</w:t>
      </w:r>
      <w:r>
        <w:t xml:space="preserve"> </w:t>
      </w:r>
      <w:r>
        <w:rPr>
          <w:bCs/>
          <w:b/>
        </w:rPr>
        <w:t xml:space="preserve">Remote Code Execution:</w:t>
      </w:r>
      <w:r>
        <w:t xml:space="preserve"> </w:t>
      </w:r>
      <w:r>
        <w:t xml:space="preserve">With valid tokens, the attacker executes arbitrary commands on the host system. Game over.</w:t>
      </w:r>
    </w:p>
    <w:p>
      <w:pPr>
        <w:pStyle w:val="FirstParagraph"/>
      </w:pPr>
      <w:r>
        <w:t xml:space="preserve">The technical root cause is a catastrophic trust boundary violation: OpenClaw’s UI trusts the</w:t>
      </w:r>
      <w:r>
        <w:t xml:space="preserve"> </w:t>
      </w:r>
      <w:r>
        <w:rPr>
          <w:rStyle w:val="VerbatimChar"/>
        </w:rPr>
        <w:t xml:space="preserve">gatewayUrl</w:t>
      </w:r>
      <w:r>
        <w:t xml:space="preserve"> </w:t>
      </w:r>
      <w:r>
        <w:t xml:space="preserve">parameter from URL query strings without validation, allowing a cross-origin attacker to redirect the local WebSocket intended for</w:t>
      </w:r>
      <w:r>
        <w:t xml:space="preserve"> </w:t>
      </w:r>
      <w:r>
        <w:rPr>
          <w:rStyle w:val="VerbatimChar"/>
        </w:rPr>
        <w:t xml:space="preserve">127.0.0.1:18789</w:t>
      </w:r>
      <w:r>
        <w:t xml:space="preserve"> </w:t>
      </w:r>
      <w:r>
        <w:t xml:space="preserve">to an arbitrary endpoint. No authentication is required for this WebSocket connection. The local gateway bypass and cross-origin exploitation vectors mean any malicious website can trigger this hijacking via standard browser requests.</w:t>
      </w:r>
      <w:r>
        <w:rPr>
          <w:vertAlign w:val="superscript"/>
        </w:rPr>
        <w:t xml:space="preserve">9</w:t>
      </w:r>
      <w:r>
        <w:rPr>
          <w:bCs/>
          <w:b/>
        </w:rPr>
        <w:t xml:space="preserve">The CVE Cluster:</w:t>
      </w:r>
      <w:r>
        <w:t xml:space="preserve"> </w:t>
      </w:r>
      <w:r>
        <w:t xml:space="preserve">OpenClaw did not stop at one vulnerability. Four distinct CVEs hit the ecosystem in early 2026:</w:t>
      </w:r>
    </w:p>
    <w:tbl>
      <w:tblPr>
        <w:tblStyle w:val="Table"/>
        <w:tblW w:type="pct" w:w="5000"/>
        <w:tblLook w:firstRow="1" w:lastRow="0" w:firstColumn="0" w:lastColumn="0" w:noHBand="0" w:noVBand="0" w:val="0020"/>
      </w:tblPr>
      <w:tblGrid>
        <w:gridCol w:w="1131"/>
        <w:gridCol w:w="1357"/>
        <w:gridCol w:w="4299"/>
        <w:gridCol w:w="1131"/>
      </w:tblGrid>
      <w:tr>
        <w:trPr>
          <w:tblHeader w:val="true"/>
        </w:trPr>
        <w:tc>
          <w:tcPr/>
          <w:p>
            <w:pPr>
              <w:pStyle w:val="Compact"/>
              <w:jc w:val="left"/>
            </w:pPr>
            <w:r>
              <w:t xml:space="preserve">CVE</w:t>
            </w:r>
          </w:p>
        </w:tc>
        <w:tc>
          <w:tcPr/>
          <w:p>
            <w:pPr>
              <w:pStyle w:val="Compact"/>
              <w:jc w:val="left"/>
            </w:pPr>
            <w:r>
              <w:t xml:space="preserve">CVSS</w:t>
            </w:r>
          </w:p>
        </w:tc>
        <w:tc>
          <w:tcPr/>
          <w:p>
            <w:pPr>
              <w:pStyle w:val="Compact"/>
              <w:jc w:val="left"/>
            </w:pPr>
            <w:r>
              <w:t xml:space="preserve">Vulnerability Type</w:t>
            </w:r>
          </w:p>
        </w:tc>
        <w:tc>
          <w:tcPr/>
          <w:p>
            <w:pPr>
              <w:pStyle w:val="Compact"/>
              <w:jc w:val="left"/>
            </w:pPr>
            <w:r>
              <w:t xml:space="preserve">CWE</w:t>
            </w:r>
          </w:p>
        </w:tc>
      </w:tr>
      <w:tr>
        <w:tc>
          <w:tcPr/>
          <w:p>
            <w:pPr>
              <w:pStyle w:val="Compact"/>
              <w:jc w:val="left"/>
            </w:pPr>
            <w:r>
              <w:t xml:space="preserve">CVE-2026-25253</w:t>
            </w:r>
          </w:p>
        </w:tc>
        <w:tc>
          <w:tcPr/>
          <w:p>
            <w:pPr>
              <w:pStyle w:val="Compact"/>
              <w:jc w:val="left"/>
            </w:pPr>
            <w:r>
              <w:t xml:space="preserve">8.8</w:t>
            </w:r>
          </w:p>
        </w:tc>
        <w:tc>
          <w:tcPr/>
          <w:p>
            <w:pPr>
              <w:pStyle w:val="Compact"/>
              <w:jc w:val="left"/>
            </w:pPr>
            <w:r>
              <w:t xml:space="preserve">One-click RCE via WebSocket hijacking</w:t>
            </w:r>
          </w:p>
        </w:tc>
        <w:tc>
          <w:tcPr/>
          <w:p>
            <w:pPr>
              <w:pStyle w:val="Compact"/>
              <w:jc w:val="left"/>
            </w:pPr>
            <w:r>
              <w:t xml:space="preserve">CWE-669</w:t>
            </w:r>
          </w:p>
        </w:tc>
      </w:tr>
      <w:tr>
        <w:tc>
          <w:tcPr/>
          <w:p>
            <w:pPr>
              <w:pStyle w:val="Compact"/>
              <w:jc w:val="left"/>
            </w:pPr>
            <w:r>
              <w:t xml:space="preserve">CVE-2026-25157</w:t>
            </w:r>
          </w:p>
        </w:tc>
        <w:tc>
          <w:tcPr/>
          <w:p>
            <w:pPr>
              <w:pStyle w:val="Compact"/>
              <w:jc w:val="left"/>
            </w:pPr>
            <w:r>
              <w:t xml:space="preserve">7.7</w:t>
            </w:r>
          </w:p>
        </w:tc>
        <w:tc>
          <w:tcPr/>
          <w:p>
            <w:pPr>
              <w:pStyle w:val="Compact"/>
              <w:jc w:val="left"/>
            </w:pPr>
            <w:r>
              <w:t xml:space="preserve">SSH command injection</w:t>
            </w:r>
          </w:p>
        </w:tc>
        <w:tc>
          <w:tcPr/>
          <w:p>
            <w:pPr>
              <w:pStyle w:val="Compact"/>
              <w:jc w:val="left"/>
            </w:pPr>
            <w:r>
              <w:t xml:space="preserve">CWE-78</w:t>
            </w:r>
          </w:p>
        </w:tc>
      </w:tr>
      <w:tr>
        <w:tc>
          <w:tcPr/>
          <w:p>
            <w:pPr>
              <w:pStyle w:val="Compact"/>
              <w:jc w:val="left"/>
            </w:pPr>
            <w:r>
              <w:t xml:space="preserve">CVE-2026-26317</w:t>
            </w:r>
          </w:p>
        </w:tc>
        <w:tc>
          <w:tcPr/>
          <w:p>
            <w:pPr>
              <w:pStyle w:val="Compact"/>
              <w:jc w:val="left"/>
            </w:pPr>
            <w:r>
              <w:t xml:space="preserve">7.1</w:t>
            </w:r>
          </w:p>
        </w:tc>
        <w:tc>
          <w:tcPr/>
          <w:p>
            <w:pPr>
              <w:pStyle w:val="Compact"/>
              <w:jc w:val="left"/>
            </w:pPr>
            <w:r>
              <w:t xml:space="preserve">CORS bypass on localhost mutation routes</w:t>
            </w:r>
          </w:p>
        </w:tc>
        <w:tc>
          <w:tcPr/>
          <w:p>
            <w:pPr>
              <w:pStyle w:val="Compact"/>
              <w:jc w:val="left"/>
            </w:pPr>
            <w:r>
              <w:t xml:space="preserve">CWE-346</w:t>
            </w:r>
          </w:p>
        </w:tc>
      </w:tr>
      <w:tr>
        <w:tc>
          <w:tcPr/>
          <w:p>
            <w:pPr>
              <w:pStyle w:val="Compact"/>
              <w:jc w:val="left"/>
            </w:pPr>
            <w:r>
              <w:t xml:space="preserve">CVE-2026-26972</w:t>
            </w:r>
          </w:p>
        </w:tc>
        <w:tc>
          <w:tcPr/>
          <w:p>
            <w:pPr>
              <w:pStyle w:val="Compact"/>
              <w:jc w:val="left"/>
            </w:pPr>
            <w:r>
              <w:t xml:space="preserve">6.7</w:t>
            </w:r>
          </w:p>
        </w:tc>
        <w:tc>
          <w:tcPr/>
          <w:p>
            <w:pPr>
              <w:pStyle w:val="Compact"/>
              <w:jc w:val="left"/>
            </w:pPr>
            <w:r>
              <w:t xml:space="preserve">Path traversal in browser download helpers</w:t>
            </w:r>
          </w:p>
        </w:tc>
        <w:tc>
          <w:tcPr/>
          <w:p>
            <w:pPr>
              <w:pStyle w:val="Compact"/>
              <w:jc w:val="left"/>
            </w:pPr>
            <w:r>
              <w:t xml:space="preserve">CWE-22</w:t>
            </w:r>
          </w:p>
        </w:tc>
      </w:tr>
    </w:tbl>
    <w:p>
      <w:pPr>
        <w:pStyle w:val="BodyText"/>
      </w:pPr>
      <w:r>
        <w:rPr>
          <w:iCs/>
          <w:i/>
        </w:rPr>
        <w:t xml:space="preserve">Source: NIST NVD, MITRE CVE, CrowdStrike Intelligence</w:t>
      </w:r>
      <w:r>
        <w:rPr>
          <w:vertAlign w:val="superscript"/>
          <w:iCs/>
          <w:i/>
        </w:rPr>
        <w:t xml:space="preserve">9</w:t>
      </w:r>
      <w:r>
        <w:rPr>
          <w:iCs/>
          <w:i/>
        </w:rPr>
        <w:t xml:space="preserve"> </w:t>
      </w:r>
      <w:r>
        <w:rPr>
          <w:vertAlign w:val="superscript"/>
          <w:iCs/>
          <w:i/>
        </w:rPr>
        <w:t xml:space="preserve">28</w:t>
      </w:r>
    </w:p>
    <w:p>
      <w:pPr>
        <w:pStyle w:val="BodyText"/>
      </w:pPr>
      <w:r>
        <w:t xml:space="preserve">The supply chain compounded these architectural failures. CrowdStrike Intelligence reported that at peak, 1,184 malicious packages — representing 20% of the ClawHub skill registry — were distributing infostealers in what became known as the</w:t>
      </w:r>
      <w:r>
        <w:t xml:space="preserve"> </w:t>
      </w:r>
      <w:r>
        <w:t xml:space="preserve">“</w:t>
      </w:r>
      <w:r>
        <w:t xml:space="preserve">ClawHavoc</w:t>
      </w:r>
      <w:r>
        <w:t xml:space="preserve">”</w:t>
      </w:r>
      <w:r>
        <w:t xml:space="preserve"> </w:t>
      </w:r>
      <w:r>
        <w:t xml:space="preserve">supply chain attack.</w:t>
      </w:r>
      <w:r>
        <w:rPr>
          <w:vertAlign w:val="superscript"/>
        </w:rPr>
        <w:t xml:space="preserve">2</w:t>
      </w:r>
      <w:r>
        <w:t xml:space="preserve">Attackers also distributed fake OpenClaw installers via GitHub repositories promoted by Bing AI search results, delivering Vidar Stealer, GhostSocks proxy malware, and Atomic Stealer for macOS.</w:t>
      </w:r>
      <w:r>
        <w:rPr>
          <w:vertAlign w:val="superscript"/>
        </w:rPr>
        <w:t xml:space="preserve">1</w:t>
      </w:r>
      <w:r>
        <w:rPr>
          <w:bCs/>
          <w:b/>
        </w:rPr>
        <w:t xml:space="preserve">SOV3 Strike Angle:</w:t>
      </w:r>
      <w:r>
        <w:t xml:space="preserve"> </w:t>
      </w:r>
      <w:r>
        <w:t xml:space="preserve">The OpenClaw ecosystem represents 430,000+ lines of monolithic, overprivileged code where every task receives 15+ tools regardless of need — research from the Aethelgard framework measured a Skill Economy Ratio (SER) of 0.067 for summarization tasks, meaning only 1 of 15 exposed tools is actually used.</w:t>
      </w:r>
      <w:r>
        <w:rPr>
          <w:vertAlign w:val="superscript"/>
        </w:rPr>
        <w:t xml:space="preserve">14</w:t>
      </w:r>
      <w:r>
        <w:t xml:space="preserve">Where OpenClaw exposes, SOV3 governs. Where OpenClaw trusts, SOV3 verifies. Where OpenClaw bleeds tokens, SOV3 enforces capability-scoped authentication.</w:t>
      </w:r>
    </w:p>
    <w:p>
      <w:r>
        <w:pict>
          <v:rect style="width:0;height:1.5pt" o:hralign="center" o:hrstd="t" o:hr="t"/>
        </w:pict>
      </w:r>
    </w:p>
    <w:bookmarkEnd w:id="32"/>
    <w:bookmarkStart w:id="33" w:name="X2a493a259b4f6a6d1030c8763388efa60215596"/>
    <w:p>
      <w:pPr>
        <w:pStyle w:val="Heading3"/>
      </w:pPr>
      <w:r>
        <w:t xml:space="preserve">3.2 CVE-2026-40050: CrowdStrike’s Own Security Failure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rPr>
                <w:bCs/>
                <w:b/>
              </w:rPr>
              <w:t xml:space="preserve">Verification Status: CONFIRMED REAL in NIST NVD.</w:t>
            </w:r>
            <w:r>
              <w:rPr>
                <w:vertAlign w:val="superscript"/>
              </w:rPr>
              <w:t xml:space="preserve">8</w:t>
            </w:r>
          </w:p>
        </w:tc>
        <w:tc>
          <w:tcPr/>
          <w:p>
            <w:pPr>
              <w:pStyle w:val="Compact"/>
              <w:jc w:val="left"/>
            </w:pPr>
            <w:r>
              <w:t xml:space="preserve">Attribute</w:t>
            </w:r>
          </w:p>
        </w:tc>
      </w:tr>
      <w:tr>
        <w:tc>
          <w:tcPr/>
          <w:p>
            <w:pPr>
              <w:pStyle w:val="Compact"/>
              <w:jc w:val="left"/>
            </w:pPr>
            <w:r>
              <w:rPr>
                <w:bCs/>
                <w:b/>
              </w:rPr>
              <w:t xml:space="preserve">CVE ID</w:t>
            </w:r>
          </w:p>
        </w:tc>
        <w:tc>
          <w:tcPr/>
          <w:p>
            <w:pPr>
              <w:pStyle w:val="Compact"/>
              <w:jc w:val="left"/>
            </w:pPr>
            <w:r>
              <w:t xml:space="preserve">CVE-2026-40050</w:t>
            </w:r>
          </w:p>
        </w:tc>
      </w:tr>
      <w:tr>
        <w:tc>
          <w:tcPr/>
          <w:p>
            <w:pPr>
              <w:pStyle w:val="Compact"/>
              <w:jc w:val="left"/>
            </w:pPr>
            <w:r>
              <w:rPr>
                <w:bCs/>
                <w:b/>
              </w:rPr>
              <w:t xml:space="preserve">NVD Entry</w:t>
            </w:r>
          </w:p>
        </w:tc>
        <w:tc>
          <w:tcPr/>
          <w:p>
            <w:pPr>
              <w:pStyle w:val="Compact"/>
              <w:jc w:val="left"/>
            </w:pPr>
            <w:r>
              <w:t xml:space="preserve">https://nvd.nist.gov/vuln/detail/CVE-2026-40050</w:t>
            </w:r>
          </w:p>
        </w:tc>
      </w:tr>
      <w:tr>
        <w:tc>
          <w:tcPr/>
          <w:p>
            <w:pPr>
              <w:pStyle w:val="Compact"/>
              <w:jc w:val="left"/>
            </w:pPr>
            <w:r>
              <w:rPr>
                <w:bCs/>
                <w:b/>
              </w:rPr>
              <w:t xml:space="preserve">Published</w:t>
            </w:r>
          </w:p>
        </w:tc>
        <w:tc>
          <w:tcPr/>
          <w:p>
            <w:pPr>
              <w:pStyle w:val="Compact"/>
              <w:jc w:val="left"/>
            </w:pPr>
            <w:r>
              <w:t xml:space="preserve">2026-04-21</w:t>
            </w:r>
          </w:p>
        </w:tc>
      </w:tr>
      <w:tr>
        <w:tc>
          <w:tcPr/>
          <w:p>
            <w:pPr>
              <w:pStyle w:val="Compact"/>
              <w:jc w:val="left"/>
            </w:pPr>
            <w:r>
              <w:rPr>
                <w:bCs/>
                <w:b/>
              </w:rPr>
              <w:t xml:space="preserve">CrowdStrike CVSS v3.1</w:t>
            </w:r>
          </w:p>
        </w:tc>
        <w:tc>
          <w:tcPr/>
          <w:p>
            <w:pPr>
              <w:pStyle w:val="Compact"/>
              <w:jc w:val="left"/>
            </w:pPr>
            <w:r>
              <w:t xml:space="preserve">9.8 (CRITICAL)</w:t>
            </w:r>
          </w:p>
        </w:tc>
      </w:tr>
      <w:tr>
        <w:tc>
          <w:tcPr/>
          <w:p>
            <w:pPr>
              <w:pStyle w:val="Compact"/>
              <w:jc w:val="left"/>
            </w:pPr>
            <w:r>
              <w:rPr>
                <w:bCs/>
                <w:b/>
              </w:rPr>
              <w:t xml:space="preserve">CWE</w:t>
            </w:r>
          </w:p>
        </w:tc>
        <w:tc>
          <w:tcPr/>
          <w:p>
            <w:pPr>
              <w:pStyle w:val="Compact"/>
              <w:jc w:val="left"/>
            </w:pPr>
            <w:r>
              <w:t xml:space="preserve">CWE-22 (Path Traversal), CWE-306 (Missing Authentication)</w:t>
            </w:r>
          </w:p>
        </w:tc>
      </w:tr>
      <w:tr>
        <w:tc>
          <w:tcPr/>
          <w:p>
            <w:pPr>
              <w:pStyle w:val="Compact"/>
              <w:jc w:val="left"/>
            </w:pPr>
            <w:r>
              <w:rPr>
                <w:bCs/>
                <w:b/>
              </w:rPr>
              <w:t xml:space="preserve">Affected Product</w:t>
            </w:r>
          </w:p>
        </w:tc>
        <w:tc>
          <w:tcPr/>
          <w:p>
            <w:pPr>
              <w:pStyle w:val="Compact"/>
              <w:jc w:val="left"/>
            </w:pPr>
            <w:r>
              <w:t xml:space="preserve">LogScale Self-Hosted 1.224.0 – 1.234.0; LTS 1.228.0 – 1.228.1</w:t>
            </w:r>
          </w:p>
        </w:tc>
      </w:tr>
    </w:tbl>
    <w:p>
      <w:pPr>
        <w:pStyle w:val="BodyText"/>
      </w:pPr>
      <w:r>
        <w:t xml:space="preserve">The company that sells security discovered its own SIEM product could be trivially breached. CVE-2026-40050 is an unauthenticated path traversal vulnerability in a specific LogScale cluster API endpoint that allows a remote attacker to read arbitrary files from the server filesystem — including credential files, configuration files, and security logs — without authentication.</w:t>
      </w:r>
      <w:r>
        <w:rPr>
          <w:vertAlign w:val="superscript"/>
        </w:rPr>
        <w:t xml:space="preserve">8</w:t>
      </w:r>
      <w:r>
        <w:t xml:space="preserve">CrowdStrike’s own advisory confirms the technical details: a specific cluster API endpoint fails to sanitize file paths, enabling directory traversal. If the LogScale instance is exposed to the network, any attacker can read any file the LogScale process can access. There is no evidence of exploitation in the wild, and CrowdStrike discovered it through internal continuous product testing — but the implications are severe.</w:t>
      </w:r>
      <w:r>
        <w:rPr>
          <w:vertAlign w:val="superscript"/>
        </w:rPr>
        <w:t xml:space="preserve">8</w:t>
      </w:r>
      <w:r>
        <w:rPr>
          <w:bCs/>
          <w:b/>
        </w:rPr>
        <w:t xml:space="preserve">Remediation Status — The Split That Matters:</w:t>
      </w:r>
    </w:p>
    <w:tbl>
      <w:tblPr>
        <w:tblStyle w:val="Table"/>
        <w:tblW w:type="pct" w:w="5000"/>
        <w:tblLook w:firstRow="1" w:lastRow="0" w:firstColumn="0" w:lastColumn="0" w:noHBand="0" w:noVBand="0" w:val="0020"/>
      </w:tblPr>
      <w:tblGrid>
        <w:gridCol w:w="2970"/>
        <w:gridCol w:w="1584"/>
        <w:gridCol w:w="3366"/>
      </w:tblGrid>
      <w:tr>
        <w:trPr>
          <w:tblHeader w:val="true"/>
        </w:trPr>
        <w:tc>
          <w:tcPr/>
          <w:p>
            <w:pPr>
              <w:pStyle w:val="Compact"/>
              <w:jc w:val="left"/>
            </w:pPr>
            <w:r>
              <w:t xml:space="preserve">Customer Type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SaaS / Cloud</w:t>
            </w:r>
          </w:p>
        </w:tc>
        <w:tc>
          <w:tcPr/>
          <w:p>
            <w:pPr>
              <w:pStyle w:val="Compact"/>
              <w:jc w:val="left"/>
            </w:pPr>
            <w:r>
              <w:t xml:space="preserve">“</w:t>
            </w:r>
            <w:r>
              <w:t xml:space="preserve">Mitigated</w:t>
            </w:r>
            <w:r>
              <w:t xml:space="preserve">”</w:t>
            </w:r>
            <w:r>
              <w:t xml:space="preserve"> </w:t>
            </w:r>
            <w:r>
              <w:t xml:space="preserve">via network-layer protections (deployed April 7, 2026)</w:t>
            </w:r>
          </w:p>
        </w:tc>
        <w:tc>
          <w:tcPr/>
          <w:p>
            <w:pPr>
              <w:pStyle w:val="Compact"/>
              <w:jc w:val="left"/>
            </w:pPr>
            <w:r>
              <w:t xml:space="preserve">None</w:t>
            </w:r>
          </w:p>
        </w:tc>
      </w:tr>
      <w:tr>
        <w:tc>
          <w:tcPr/>
          <w:p>
            <w:pPr>
              <w:pStyle w:val="Compact"/>
              <w:jc w:val="left"/>
            </w:pPr>
            <w:r>
              <w:t xml:space="preserve">Next-Gen SIEM</w:t>
            </w:r>
          </w:p>
        </w:tc>
        <w:tc>
          <w:tcPr/>
          <w:p>
            <w:pPr>
              <w:pStyle w:val="Compact"/>
              <w:jc w:val="left"/>
            </w:pPr>
            <w:r>
              <w:t xml:space="preserve">Not affected</w:t>
            </w:r>
          </w:p>
        </w:tc>
        <w:tc>
          <w:tcPr/>
          <w:p>
            <w:pPr>
              <w:pStyle w:val="Compact"/>
              <w:jc w:val="left"/>
            </w:pPr>
            <w:r>
              <w:t xml:space="preserve">None</w:t>
            </w:r>
          </w:p>
        </w:tc>
      </w:tr>
      <w:tr>
        <w:tc>
          <w:tcPr/>
          <w:p>
            <w:pPr>
              <w:pStyle w:val="Compact"/>
              <w:jc w:val="left"/>
            </w:pPr>
            <w:r>
              <w:t xml:space="preserve">Self-Hosted</w:t>
            </w:r>
          </w:p>
        </w:tc>
        <w:tc>
          <w:tcPr/>
          <w:p>
            <w:pPr>
              <w:pStyle w:val="Compact"/>
              <w:jc w:val="left"/>
            </w:pPr>
            <w:r>
              <w:rPr>
                <w:bCs/>
                <w:b/>
              </w:rPr>
              <w:t xml:space="preserve">Must upgrade immediately</w:t>
            </w:r>
          </w:p>
        </w:tc>
        <w:tc>
          <w:tcPr/>
          <w:p>
            <w:pPr>
              <w:pStyle w:val="Compact"/>
              <w:jc w:val="left"/>
            </w:pPr>
            <w:r>
              <w:t xml:space="preserve">Customer action mandatory</w:t>
            </w:r>
          </w:p>
        </w:tc>
      </w:tr>
    </w:tbl>
    <w:p>
      <w:pPr>
        <w:pStyle w:val="BodyText"/>
      </w:pPr>
      <w:r>
        <w:rPr>
          <w:iCs/>
          <w:i/>
        </w:rPr>
        <w:t xml:space="preserve">Source: CrowdStrike Security Advisory</w:t>
      </w:r>
      <w:r>
        <w:rPr>
          <w:vertAlign w:val="superscript"/>
          <w:iCs/>
          <w:i/>
        </w:rPr>
        <w:t xml:space="preserve">8</w:t>
      </w:r>
    </w:p>
    <w:p>
      <w:pPr>
        <w:pStyle w:val="BodyText"/>
      </w:pPr>
      <w:r>
        <w:t xml:space="preserve">The remediation split tells the story: SaaS customers received network-layer mitigations, not a patch. Self-hosted customers were left to fend for themselves. This is the fundamental risk of security infrastructure you don’t control — when the vendor’s own product needs defending, your visibility collapses exactly when you need it most.</w:t>
      </w:r>
    </w:p>
    <w:p>
      <w:pPr>
        <w:pStyle w:val="BodyText"/>
      </w:pPr>
      <w:r>
        <w:rPr>
          <w:bCs/>
          <w:b/>
        </w:rPr>
        <w:t xml:space="preserve">Context — The July 2024 Precedent:</w:t>
      </w:r>
      <w:r>
        <w:t xml:space="preserve"> </w:t>
      </w:r>
      <w:r>
        <w:t xml:space="preserve">CrowdStrike’s credibility on stability was already shaken by the July 19, 2024 incident in which Channel File 291 caused approximately 8.5 million Windows devices to bluescreen, inflicting an estimated $10 billion in global damages.</w:t>
      </w:r>
      <w:r>
        <w:rPr>
          <w:vertAlign w:val="superscript"/>
        </w:rPr>
        <w:t xml:space="preserve">18</w:t>
      </w:r>
      <w:r>
        <w:t xml:space="preserve">While that incident was not a CVE-exploitable vulnerability — it was a configuration update mismatch in the Falcon sensor’s kernel-mode driver (</w:t>
      </w:r>
      <w:r>
        <w:rPr>
          <w:rStyle w:val="VerbatimChar"/>
        </w:rPr>
        <w:t xml:space="preserve">CSagent.sys</w:t>
      </w:r>
      <w:r>
        <w:t xml:space="preserve">) — it demonstrated that kernel-level security agents are single points of total failure.</w:t>
      </w:r>
      <w:r>
        <w:rPr>
          <w:vertAlign w:val="superscript"/>
        </w:rPr>
        <w:t xml:space="preserve">26</w:t>
      </w:r>
      <w:r>
        <w:t xml:space="preserve">Delta Air Lines alone lost $500 million.</w:t>
      </w:r>
      <w:r>
        <w:rPr>
          <w:vertAlign w:val="superscript"/>
        </w:rPr>
        <w:t xml:space="preserve">18</w:t>
      </w:r>
      <w:r>
        <w:rPr>
          <w:bCs/>
          <w:b/>
        </w:rPr>
        <w:t xml:space="preserve">SOV3 Strike Angle:</w:t>
      </w:r>
      <w:r>
        <w:t xml:space="preserve"> </w:t>
      </w:r>
      <w:r>
        <w:t xml:space="preserve">If CrowdStrike cannot secure its own log analytics platform, how can it secure your AI? CVE-2026-40050 (CVSS 9.8) proves that even the defenders need defending. When the SIEM itself is vulnerable, your entire security visibility collapses. SOV3 provides governance layers that security products cannot self-police — and SOV3 does not require kernel hooks to function.</w:t>
      </w:r>
    </w:p>
    <w:p>
      <w:r>
        <w:pict>
          <v:rect style="width:0;height:1.5pt" o:hralign="center" o:hrstd="t" o:hr="t"/>
        </w:pict>
      </w:r>
    </w:p>
    <w:bookmarkEnd w:id="33"/>
    <w:bookmarkStart w:id="34" w:name="X4aa2d1b58223061e0a8a2ab616cd7cba2fe6973"/>
    <w:p>
      <w:pPr>
        <w:pStyle w:val="Heading3"/>
      </w:pPr>
      <w:r>
        <w:t xml:space="preserve">3.3 Microsoft’s Defender Crisis: Actively Exploited</w:t>
      </w:r>
    </w:p>
    <w:p>
      <w:pPr>
        <w:pStyle w:val="FirstParagraph"/>
      </w:pPr>
      <w:r>
        <w:t xml:space="preserve">Microsoft’s AI security posture in 2026 is defined by two words:</w:t>
      </w:r>
      <w:r>
        <w:t xml:space="preserve"> </w:t>
      </w:r>
      <w:r>
        <w:rPr>
          <w:bCs/>
          <w:b/>
        </w:rPr>
        <w:t xml:space="preserve">actively exploited.</w:t>
      </w:r>
    </w:p>
    <w:p>
      <w:pPr>
        <w:pStyle w:val="BodyText"/>
      </w:pPr>
      <w:r>
        <w:rPr>
          <w:bCs/>
          <w:b/>
        </w:rPr>
        <w:t xml:space="preserve">Actively Exploited — Microsoft Defender:</w:t>
      </w:r>
    </w:p>
    <w:tbl>
      <w:tblPr>
        <w:tblStyle w:val="Table"/>
        <w:tblW w:type="pct" w:w="5000"/>
        <w:tblLook w:firstRow="1" w:lastRow="0" w:firstColumn="0" w:lastColumn="0" w:noHBand="0" w:noVBand="0" w:val="0020"/>
      </w:tblPr>
      <w:tblGrid>
        <w:gridCol w:w="825"/>
        <w:gridCol w:w="1485"/>
        <w:gridCol w:w="990"/>
        <w:gridCol w:w="3465"/>
        <w:gridCol w:w="1155"/>
      </w:tblGrid>
      <w:tr>
        <w:trPr>
          <w:tblHeader w:val="true"/>
        </w:trPr>
        <w:tc>
          <w:tcPr/>
          <w:p>
            <w:pPr>
              <w:pStyle w:val="Compact"/>
              <w:jc w:val="left"/>
            </w:pPr>
            <w:r>
              <w:t xml:space="preserve">CVE</w:t>
            </w:r>
          </w:p>
        </w:tc>
        <w:tc>
          <w:tcPr/>
          <w:p>
            <w:pPr>
              <w:pStyle w:val="Compact"/>
              <w:jc w:val="left"/>
            </w:pPr>
            <w:r>
              <w:t xml:space="preserve">Product</w:t>
            </w:r>
          </w:p>
        </w:tc>
        <w:tc>
          <w:tcPr/>
          <w:p>
            <w:pPr>
              <w:pStyle w:val="Compact"/>
              <w:jc w:val="left"/>
            </w:pPr>
            <w:r>
              <w:t xml:space="preserve">Type</w:t>
            </w:r>
          </w:p>
        </w:tc>
        <w:tc>
          <w:tcPr/>
          <w:p>
            <w:pPr>
              <w:pStyle w:val="Compact"/>
              <w:jc w:val="left"/>
            </w:pPr>
            <w:r>
              <w:t xml:space="preserve">Exploitation Status</w:t>
            </w:r>
          </w:p>
        </w:tc>
        <w:tc>
          <w:tcPr/>
          <w:p>
            <w:pPr>
              <w:pStyle w:val="Compact"/>
              <w:jc w:val="left"/>
            </w:pPr>
            <w:r>
              <w:t xml:space="preserve">Notes</w:t>
            </w:r>
          </w:p>
        </w:tc>
      </w:tr>
      <w:tr>
        <w:tc>
          <w:tcPr/>
          <w:p>
            <w:pPr>
              <w:pStyle w:val="Compact"/>
              <w:jc w:val="left"/>
            </w:pPr>
            <w:r>
              <w:t xml:space="preserve">CVE-2026-45498</w:t>
            </w:r>
          </w:p>
        </w:tc>
        <w:tc>
          <w:tcPr/>
          <w:p>
            <w:pPr>
              <w:pStyle w:val="Compact"/>
              <w:jc w:val="left"/>
            </w:pPr>
            <w:r>
              <w:t xml:space="preserve">Microsoft Defender Antimalware Platform</w:t>
            </w:r>
          </w:p>
        </w:tc>
        <w:tc>
          <w:tcPr/>
          <w:p>
            <w:pPr>
              <w:pStyle w:val="Compact"/>
              <w:jc w:val="left"/>
            </w:pPr>
            <w:r>
              <w:t xml:space="preserve">Denial of Service</w:t>
            </w:r>
          </w:p>
        </w:tc>
        <w:tc>
          <w:tcPr/>
          <w:p>
            <w:pPr>
              <w:pStyle w:val="Compact"/>
              <w:jc w:val="left"/>
            </w:pPr>
            <w:r>
              <w:rPr>
                <w:bCs/>
                <w:b/>
              </w:rPr>
              <w:t xml:space="preserve">Actively exploited in the wild</w:t>
            </w:r>
          </w:p>
        </w:tc>
        <w:tc>
          <w:tcPr/>
          <w:p>
            <w:pPr>
              <w:pStyle w:val="Compact"/>
              <w:jc w:val="left"/>
            </w:pPr>
            <w:r>
              <w:t xml:space="preserve">Zero-day; publicly leaked PoC enables crashing real-time protection</w:t>
            </w:r>
            <w:r>
              <w:rPr>
                <w:vertAlign w:val="superscript"/>
              </w:rPr>
              <w:t xml:space="preserve">27</w:t>
            </w:r>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Link Following / Privilege Escalation</w:t>
            </w:r>
          </w:p>
        </w:tc>
        <w:tc>
          <w:tcPr/>
          <w:p>
            <w:pPr>
              <w:pStyle w:val="Compact"/>
              <w:jc w:val="left"/>
            </w:pPr>
            <w:r>
              <w:rPr>
                <w:bCs/>
                <w:b/>
              </w:rPr>
              <w:t xml:space="preserve">Actively exploited in the wild</w:t>
            </w:r>
          </w:p>
        </w:tc>
        <w:tc>
          <w:tcPr/>
          <w:p>
            <w:pPr>
              <w:pStyle w:val="Compact"/>
              <w:jc w:val="left"/>
            </w:pPr>
            <w:r>
              <w:t xml:space="preserve">Added to CISA KEV catalog</w:t>
            </w:r>
            <w:r>
              <w:rPr>
                <w:vertAlign w:val="superscript"/>
              </w:rPr>
              <w:t xml:space="preserve">12</w:t>
            </w:r>
          </w:p>
        </w:tc>
      </w:tr>
    </w:tbl>
    <w:p>
      <w:pPr>
        <w:pStyle w:val="BodyText"/>
      </w:pPr>
      <w:r>
        <w:rPr>
          <w:iCs/>
          <w:i/>
        </w:rPr>
        <w:t xml:space="preserve">Sources: Broadcom/Symantec, CISA KEV Catalog</w:t>
      </w:r>
      <w:r>
        <w:rPr>
          <w:vertAlign w:val="superscript"/>
          <w:iCs/>
          <w:i/>
        </w:rPr>
        <w:t xml:space="preserve">27</w:t>
      </w:r>
      <w:r>
        <w:rPr>
          <w:iCs/>
          <w:i/>
        </w:rPr>
        <w:t xml:space="preserve"> </w:t>
      </w:r>
      <w:r>
        <w:rPr>
          <w:vertAlign w:val="superscript"/>
          <w:iCs/>
          <w:i/>
        </w:rPr>
        <w:t xml:space="preserve">12</w:t>
      </w:r>
    </w:p>
    <w:p>
      <w:pPr>
        <w:pStyle w:val="BodyText"/>
      </w:pPr>
      <w:r>
        <w:t xml:space="preserve">CVE-2026-45498 — dubbed</w:t>
      </w:r>
      <w:r>
        <w:t xml:space="preserve"> </w:t>
      </w:r>
      <w:r>
        <w:t xml:space="preserve">“</w:t>
      </w:r>
      <w:r>
        <w:t xml:space="preserve">UnDefend</w:t>
      </w:r>
      <w:r>
        <w:t xml:space="preserve">”</w:t>
      </w:r>
      <w:r>
        <w:t xml:space="preserve"> </w:t>
      </w:r>
      <w:r>
        <w:t xml:space="preserve">by security researchers — is a zero-day denial-of-service vulnerability in the Microsoft Defender Antimalware Platform. A publicly leaked proof-of-concept enables intentional crashing and freezing of real-time protection, rendering endpoints defenseless during active attacks.</w:t>
      </w:r>
      <w:r>
        <w:rPr>
          <w:vertAlign w:val="superscript"/>
        </w:rPr>
        <w:t xml:space="preserve">27</w:t>
      </w:r>
      <w:r>
        <w:t xml:space="preserve">CVE-2026-41091 escalates privileges through link following and has been formally added to CISA’s Known Exploited Vulnerabilities catalog, triggering binding operational directive BOD 22-01 for federal agencies.</w:t>
      </w:r>
      <w:r>
        <w:rPr>
          <w:vertAlign w:val="superscript"/>
        </w:rPr>
        <w:t xml:space="preserve">12</w:t>
      </w:r>
      <w:r>
        <w:rPr>
          <w:bCs/>
          <w:b/>
        </w:rPr>
        <w:t xml:space="preserve">The Azure AI Foundry Privilege Escalation: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CVE ID</w:t>
            </w:r>
          </w:p>
        </w:tc>
        <w:tc>
          <w:tcPr/>
          <w:p>
            <w:pPr>
              <w:pStyle w:val="Compact"/>
              <w:jc w:val="left"/>
            </w:pPr>
            <w:r>
              <w:t xml:space="preserve">CVE-2026-35435</w:t>
            </w:r>
          </w:p>
        </w:tc>
      </w:tr>
      <w:tr>
        <w:tc>
          <w:tcPr/>
          <w:p>
            <w:pPr>
              <w:pStyle w:val="Compact"/>
              <w:jc w:val="left"/>
            </w:pPr>
            <w:r>
              <w:rPr>
                <w:bCs/>
                <w:b/>
              </w:rPr>
              <w:t xml:space="preserve">Product</w:t>
            </w:r>
          </w:p>
        </w:tc>
        <w:tc>
          <w:tcPr/>
          <w:p>
            <w:pPr>
              <w:pStyle w:val="Compact"/>
              <w:jc w:val="left"/>
            </w:pPr>
            <w:r>
              <w:t xml:space="preserve">Azure AI Foundry / Microsoft 365 Published Agents</w:t>
            </w:r>
          </w:p>
        </w:tc>
      </w:tr>
      <w:tr>
        <w:tc>
          <w:tcPr/>
          <w:p>
            <w:pPr>
              <w:pStyle w:val="Compact"/>
              <w:jc w:val="left"/>
            </w:pPr>
            <w:r>
              <w:rPr>
                <w:bCs/>
                <w:b/>
              </w:rPr>
              <w:t xml:space="preserve">CVSS v3.1</w:t>
            </w:r>
          </w:p>
        </w:tc>
        <w:tc>
          <w:tcPr/>
          <w:p>
            <w:pPr>
              <w:pStyle w:val="Compact"/>
              <w:jc w:val="left"/>
            </w:pPr>
            <w:r>
              <w:t xml:space="preserve">8.6 (HIGH)</w:t>
            </w:r>
          </w:p>
        </w:tc>
      </w:tr>
      <w:tr>
        <w:tc>
          <w:tcPr/>
          <w:p>
            <w:pPr>
              <w:pStyle w:val="Compact"/>
              <w:jc w:val="left"/>
            </w:pPr>
            <w:r>
              <w:rPr>
                <w:bCs/>
                <w:b/>
              </w:rPr>
              <w:t xml:space="preserve">Type</w:t>
            </w:r>
          </w:p>
        </w:tc>
        <w:tc>
          <w:tcPr/>
          <w:p>
            <w:pPr>
              <w:pStyle w:val="Compact"/>
              <w:jc w:val="left"/>
            </w:pPr>
            <w:r>
              <w:t xml:space="preserve">Elevation of Privilege (CWE-284)</w:t>
            </w:r>
          </w:p>
        </w:tc>
      </w:tr>
      <w:tr>
        <w:tc>
          <w:tcPr/>
          <w:p>
            <w:pPr>
              <w:pStyle w:val="Compact"/>
              <w:jc w:val="left"/>
            </w:pPr>
            <w:r>
              <w:rPr>
                <w:bCs/>
                <w:b/>
              </w:rPr>
              <w:t xml:space="preserve">Exploitability Index</w:t>
            </w:r>
          </w:p>
        </w:tc>
        <w:tc>
          <w:tcPr/>
          <w:p>
            <w:pPr>
              <w:pStyle w:val="Compact"/>
              <w:jc w:val="left"/>
            </w:pPr>
            <w:r>
              <w:rPr>
                <w:bCs/>
                <w:b/>
              </w:rPr>
              <w:t xml:space="preserve">“</w:t>
            </w:r>
            <w:r>
              <w:rPr>
                <w:bCs/>
                <w:b/>
              </w:rPr>
              <w:t xml:space="preserve">Exploitation More Likely</w:t>
            </w:r>
            <w:r>
              <w:rPr>
                <w:bCs/>
                <w:b/>
              </w:rPr>
              <w:t xml:space="preserve">”</w:t>
            </w:r>
            <w:r>
              <w:t xml:space="preserve"> </w:t>
            </w:r>
            <w:r>
              <w:t xml:space="preserve">— highest pre-exploitation forecast tier Microsoft assigns</w:t>
            </w:r>
          </w:p>
        </w:tc>
      </w:tr>
      <w:tr>
        <w:tc>
          <w:tcPr/>
          <w:p>
            <w:pPr>
              <w:pStyle w:val="Compact"/>
              <w:jc w:val="left"/>
            </w:pPr>
            <w:r>
              <w:rPr>
                <w:bCs/>
                <w:b/>
              </w:rPr>
              <w:t xml:space="preserve">Fix</w:t>
            </w:r>
          </w:p>
        </w:tc>
        <w:tc>
          <w:tcPr/>
          <w:p>
            <w:pPr>
              <w:pStyle w:val="Compact"/>
              <w:jc w:val="left"/>
            </w:pPr>
            <w:r>
              <w:t xml:space="preserve">Server-side patch; no customer action required for infrastructure</w:t>
            </w:r>
          </w:p>
        </w:tc>
      </w:tr>
    </w:tbl>
    <w:p>
      <w:pPr>
        <w:pStyle w:val="BodyText"/>
      </w:pPr>
      <w:r>
        <w:t xml:space="preserve">CVE-2026-35435 is the most critical Microsoft AI vulnerability of 2026 because it strikes at the agent runtime layer — the Azure AI Foundry where all Microsoft 365 Copilot agents execute. An unauthorized remote attacker can escalate privileges over AI resources, agent configurations, data connectors, and potentially the underlying M365 environment. Microsoft’s</w:t>
      </w:r>
      <w:r>
        <w:t xml:space="preserve"> </w:t>
      </w:r>
      <w:r>
        <w:t xml:space="preserve">“</w:t>
      </w:r>
      <w:r>
        <w:t xml:space="preserve">Exploitation More Likely</w:t>
      </w:r>
      <w:r>
        <w:t xml:space="preserve">”</w:t>
      </w:r>
      <w:r>
        <w:t xml:space="preserve"> </w:t>
      </w:r>
      <w:r>
        <w:t xml:space="preserve">rating — the highest tier on its exploitability index — signals that threat actors are expected to weaponize this in the near term.</w:t>
      </w:r>
      <w:r>
        <w:rPr>
          <w:vertAlign w:val="superscript"/>
        </w:rPr>
        <w:t xml:space="preserve">13</w:t>
      </w:r>
      <w:r>
        <w:rPr>
          <w:bCs/>
          <w:b/>
        </w:rPr>
        <w:t xml:space="preserve">The Pattern: 9+ Copilot CVEs in 2026 and Counting:</w:t>
      </w:r>
    </w:p>
    <w:p>
      <w:pPr>
        <w:pStyle w:val="BodyText"/>
      </w:pPr>
      <w:r>
        <w:t xml:space="preserve">Microsoft disclosed nine confirmed CVEs affecting Copilot and AI products in 2026 alone. The pattern is unmistakable:</w:t>
      </w:r>
    </w:p>
    <w:tbl>
      <w:tblPr>
        <w:tblStyle w:val="Table"/>
        <w:tblW w:type="pct" w:w="5000"/>
        <w:tblLook w:firstRow="1" w:lastRow="0" w:firstColumn="0" w:lastColumn="0" w:noHBand="0" w:noVBand="0" w:val="0020"/>
      </w:tblPr>
      <w:tblGrid>
        <w:gridCol w:w="1523"/>
        <w:gridCol w:w="2741"/>
        <w:gridCol w:w="1827"/>
        <w:gridCol w:w="1827"/>
      </w:tblGrid>
      <w:tr>
        <w:trPr>
          <w:tblHeader w:val="true"/>
        </w:trPr>
        <w:tc>
          <w:tcPr/>
          <w:p>
            <w:pPr>
              <w:pStyle w:val="Compact"/>
              <w:jc w:val="left"/>
            </w:pPr>
            <w:r>
              <w:t xml:space="preserve">CVE</w:t>
            </w:r>
          </w:p>
        </w:tc>
        <w:tc>
          <w:tcPr/>
          <w:p>
            <w:pPr>
              <w:pStyle w:val="Compact"/>
              <w:jc w:val="left"/>
            </w:pPr>
            <w:r>
              <w:t xml:space="preserve">Product</w:t>
            </w:r>
          </w:p>
        </w:tc>
        <w:tc>
          <w:tcPr/>
          <w:p>
            <w:pPr>
              <w:pStyle w:val="Compact"/>
              <w:jc w:val="left"/>
            </w:pPr>
            <w:r>
              <w:t xml:space="preserve">CVSS</w:t>
            </w:r>
          </w:p>
        </w:tc>
        <w:tc>
          <w:tcPr/>
          <w:p>
            <w:pPr>
              <w:pStyle w:val="Compact"/>
              <w:jc w:val="left"/>
            </w:pPr>
            <w:r>
              <w:t xml:space="preserve">Type</w:t>
            </w:r>
          </w:p>
        </w:tc>
      </w:tr>
      <w:tr>
        <w:tc>
          <w:tcPr/>
          <w:p>
            <w:pPr>
              <w:pStyle w:val="Compact"/>
              <w:jc w:val="left"/>
            </w:pPr>
            <w:r>
              <w:t xml:space="preserve">CVE-2026-35435</w:t>
            </w:r>
          </w:p>
        </w:tc>
        <w:tc>
          <w:tcPr/>
          <w:p>
            <w:pPr>
              <w:pStyle w:val="Compact"/>
              <w:jc w:val="left"/>
            </w:pPr>
            <w:r>
              <w:t xml:space="preserve">Azure AI Foundry</w:t>
            </w:r>
          </w:p>
        </w:tc>
        <w:tc>
          <w:tcPr/>
          <w:p>
            <w:pPr>
              <w:pStyle w:val="Compact"/>
              <w:jc w:val="left"/>
            </w:pPr>
            <w:r>
              <w:t xml:space="preserve">8.6</w:t>
            </w:r>
          </w:p>
        </w:tc>
        <w:tc>
          <w:tcPr/>
          <w:p>
            <w:pPr>
              <w:pStyle w:val="Compact"/>
              <w:jc w:val="left"/>
            </w:pPr>
            <w:r>
              <w:t xml:space="preserve">Elevation of Privilege</w:t>
            </w:r>
          </w:p>
        </w:tc>
      </w:tr>
      <w:tr>
        <w:tc>
          <w:tcPr/>
          <w:p>
            <w:pPr>
              <w:pStyle w:val="Compact"/>
              <w:jc w:val="left"/>
            </w:pPr>
            <w:r>
              <w:t xml:space="preserve">CVE-2026-26164</w:t>
            </w:r>
          </w:p>
        </w:tc>
        <w:tc>
          <w:tcPr/>
          <w:p>
            <w:pPr>
              <w:pStyle w:val="Compact"/>
              <w:jc w:val="left"/>
            </w:pPr>
            <w:r>
              <w:t xml:space="preserve">M365 Copilot</w:t>
            </w:r>
          </w:p>
        </w:tc>
        <w:tc>
          <w:tcPr/>
          <w:p>
            <w:pPr>
              <w:pStyle w:val="Compact"/>
              <w:jc w:val="left"/>
            </w:pPr>
            <w:r>
              <w:t xml:space="preserve">7.5</w:t>
            </w:r>
          </w:p>
        </w:tc>
        <w:tc>
          <w:tcPr/>
          <w:p>
            <w:pPr>
              <w:pStyle w:val="Compact"/>
              <w:jc w:val="left"/>
            </w:pPr>
            <w:r>
              <w:t xml:space="preserve">Information Disclosure</w:t>
            </w:r>
          </w:p>
        </w:tc>
      </w:tr>
      <w:tr>
        <w:tc>
          <w:tcPr/>
          <w:p>
            <w:pPr>
              <w:pStyle w:val="Compact"/>
              <w:jc w:val="left"/>
            </w:pPr>
            <w:r>
              <w:t xml:space="preserve">CVE-2026-33111</w:t>
            </w:r>
          </w:p>
        </w:tc>
        <w:tc>
          <w:tcPr/>
          <w:p>
            <w:pPr>
              <w:pStyle w:val="Compact"/>
              <w:jc w:val="left"/>
            </w:pPr>
            <w:r>
              <w:t xml:space="preserve">Copilot Chat (Edge)</w:t>
            </w:r>
          </w:p>
        </w:tc>
        <w:tc>
          <w:tcPr/>
          <w:p>
            <w:pPr>
              <w:pStyle w:val="Compact"/>
              <w:jc w:val="left"/>
            </w:pPr>
            <w:r>
              <w:t xml:space="preserve">7.5</w:t>
            </w:r>
          </w:p>
        </w:tc>
        <w:tc>
          <w:tcPr/>
          <w:p>
            <w:pPr>
              <w:pStyle w:val="Compact"/>
              <w:jc w:val="left"/>
            </w:pPr>
            <w:r>
              <w:t xml:space="preserve">Command Injection</w:t>
            </w:r>
          </w:p>
        </w:tc>
      </w:tr>
      <w:tr>
        <w:tc>
          <w:tcPr/>
          <w:p>
            <w:pPr>
              <w:pStyle w:val="Compact"/>
              <w:jc w:val="left"/>
            </w:pPr>
            <w:r>
              <w:t xml:space="preserve">CVE-2026-26129</w:t>
            </w:r>
          </w:p>
        </w:tc>
        <w:tc>
          <w:tcPr/>
          <w:p>
            <w:pPr>
              <w:pStyle w:val="Compact"/>
              <w:jc w:val="left"/>
            </w:pPr>
            <w:r>
              <w:t xml:space="preserve">M365 Copilot Business Chat</w:t>
            </w:r>
          </w:p>
        </w:tc>
        <w:tc>
          <w:tcPr/>
          <w:p>
            <w:pPr>
              <w:pStyle w:val="Compact"/>
              <w:jc w:val="left"/>
            </w:pPr>
            <w:r>
              <w:t xml:space="preserve">7.5</w:t>
            </w:r>
          </w:p>
        </w:tc>
        <w:tc>
          <w:tcPr/>
          <w:p>
            <w:pPr>
              <w:pStyle w:val="Compact"/>
              <w:jc w:val="left"/>
            </w:pPr>
            <w:r>
              <w:t xml:space="preserve">Information Disclosure</w:t>
            </w:r>
          </w:p>
        </w:tc>
      </w:tr>
      <w:tr>
        <w:tc>
          <w:tcPr/>
          <w:p>
            <w:pPr>
              <w:pStyle w:val="Compact"/>
              <w:jc w:val="left"/>
            </w:pPr>
            <w:r>
              <w:t xml:space="preserve">CVE-2026-24299</w:t>
            </w:r>
          </w:p>
        </w:tc>
        <w:tc>
          <w:tcPr/>
          <w:p>
            <w:pPr>
              <w:pStyle w:val="Compact"/>
              <w:jc w:val="left"/>
            </w:pPr>
            <w:r>
              <w:t xml:space="preserve">M365 Copilot</w:t>
            </w:r>
          </w:p>
        </w:tc>
        <w:tc>
          <w:tcPr/>
          <w:p>
            <w:pPr>
              <w:pStyle w:val="Compact"/>
              <w:jc w:val="left"/>
            </w:pPr>
            <w:r>
              <w:t xml:space="preserve">TBD</w:t>
            </w:r>
          </w:p>
        </w:tc>
        <w:tc>
          <w:tcPr/>
          <w:p>
            <w:pPr>
              <w:pStyle w:val="Compact"/>
              <w:jc w:val="left"/>
            </w:pPr>
            <w:r>
              <w:t xml:space="preserve">Command Injection</w:t>
            </w:r>
          </w:p>
        </w:tc>
      </w:tr>
      <w:tr>
        <w:tc>
          <w:tcPr/>
          <w:p>
            <w:pPr>
              <w:pStyle w:val="Compact"/>
              <w:jc w:val="left"/>
            </w:pPr>
            <w:r>
              <w:t xml:space="preserve">CVE-2026-26137</w:t>
            </w:r>
          </w:p>
        </w:tc>
        <w:tc>
          <w:tcPr/>
          <w:p>
            <w:pPr>
              <w:pStyle w:val="Compact"/>
              <w:jc w:val="left"/>
            </w:pPr>
            <w:r>
              <w:t xml:space="preserve">M365 Copilot Business Chat</w:t>
            </w:r>
          </w:p>
        </w:tc>
        <w:tc>
          <w:tcPr/>
          <w:p>
            <w:pPr>
              <w:pStyle w:val="Compact"/>
              <w:jc w:val="left"/>
            </w:pPr>
            <w:r>
              <w:t xml:space="preserve">TBD</w:t>
            </w:r>
          </w:p>
        </w:tc>
        <w:tc>
          <w:tcPr/>
          <w:p>
            <w:pPr>
              <w:pStyle w:val="Compact"/>
              <w:jc w:val="left"/>
            </w:pPr>
            <w:r>
              <w:t xml:space="preserve">SSRF</w:t>
            </w:r>
          </w:p>
        </w:tc>
      </w:tr>
      <w:tr>
        <w:tc>
          <w:tcPr/>
          <w:p>
            <w:pPr>
              <w:pStyle w:val="Compact"/>
              <w:jc w:val="left"/>
            </w:pPr>
            <w:r>
              <w:t xml:space="preserve">CVE-2026-23653</w:t>
            </w:r>
          </w:p>
        </w:tc>
        <w:tc>
          <w:tcPr/>
          <w:p>
            <w:pPr>
              <w:pStyle w:val="Compact"/>
              <w:jc w:val="left"/>
            </w:pPr>
            <w:r>
              <w:t xml:space="preserve">GitHub Copilot / VS Code</w:t>
            </w:r>
          </w:p>
        </w:tc>
        <w:tc>
          <w:tcPr/>
          <w:p>
            <w:pPr>
              <w:pStyle w:val="Compact"/>
              <w:jc w:val="left"/>
            </w:pPr>
            <w:r>
              <w:t xml:space="preserve">TBD</w:t>
            </w:r>
          </w:p>
        </w:tc>
        <w:tc>
          <w:tcPr/>
          <w:p>
            <w:pPr>
              <w:pStyle w:val="Compact"/>
              <w:jc w:val="left"/>
            </w:pPr>
            <w:r>
              <w:t xml:space="preserve">Command Injection</w:t>
            </w:r>
          </w:p>
        </w:tc>
      </w:tr>
      <w:tr>
        <w:tc>
          <w:tcPr/>
          <w:p>
            <w:pPr>
              <w:pStyle w:val="Compact"/>
              <w:jc w:val="left"/>
            </w:pPr>
            <w:r>
              <w:t xml:space="preserve">CVE-2026-45498</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Denial of Service (actively exploited)</w:t>
            </w:r>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Privilege Escalation (actively exploited)</w:t>
            </w:r>
          </w:p>
        </w:tc>
      </w:tr>
    </w:tbl>
    <w:p>
      <w:pPr>
        <w:pStyle w:val="BodyText"/>
      </w:pPr>
      <w:r>
        <w:rPr>
          <w:iCs/>
          <w:i/>
        </w:rPr>
        <w:t xml:space="preserve">Sources: Microsoft MSRC, NIST NVD</w:t>
      </w:r>
      <w:r>
        <w:rPr>
          <w:vertAlign w:val="superscript"/>
          <w:iCs/>
          <w:i/>
        </w:rPr>
        <w:t xml:space="preserve">13</w:t>
      </w:r>
      <w:r>
        <w:rPr>
          <w:iCs/>
          <w:i/>
        </w:rPr>
        <w:t xml:space="preserve"> </w:t>
      </w:r>
      <w:r>
        <w:rPr>
          <w:vertAlign w:val="superscript"/>
          <w:iCs/>
          <w:i/>
        </w:rPr>
        <w:t xml:space="preserve">7</w:t>
      </w:r>
    </w:p>
    <w:p>
      <w:pPr>
        <w:pStyle w:val="BodyText"/>
      </w:pPr>
      <w:r>
        <w:t xml:space="preserve">Information disclosure dominates — most Copilot CVEs expose sensitive data across the network without user interaction. The server-side patch model creates governance gaps: Microsoft patches cloud-side, but customers cannot verify what their tenant’s agents were exposed to or whether agent configurations were compromised during the exposure window. Copilot inherits all user permissions in M365 — if a user can see 1,000 files, so can Copilot — and research from Concentric AI found that 16% of business-critical data is overshared across organizations.</w:t>
      </w:r>
      <w:r>
        <w:rPr>
          <w:vertAlign w:val="superscript"/>
        </w:rPr>
        <w:t xml:space="preserve">16</w:t>
      </w:r>
      <w:r>
        <w:rPr>
          <w:bCs/>
          <w:b/>
        </w:rPr>
        <w:t xml:space="preserve">SOV3 Strike Angle:</w:t>
      </w:r>
      <w:r>
        <w:t xml:space="preserve"> </w:t>
      </w:r>
      <w:r>
        <w:t xml:space="preserve">Microsoft disclosed 9+ Copilot CVEs in 2026, including an actively exploited Defender zero-day and an Azure AI Foundry privilege escalation rated</w:t>
      </w:r>
      <w:r>
        <w:t xml:space="preserve"> </w:t>
      </w:r>
      <w:r>
        <w:t xml:space="preserve">“</w:t>
      </w:r>
      <w:r>
        <w:t xml:space="preserve">Exploitation More Likely.</w:t>
      </w:r>
      <w:r>
        <w:t xml:space="preserve">”</w:t>
      </w:r>
      <w:r>
        <w:t xml:space="preserve"> </w:t>
      </w:r>
      <w:r>
        <w:t xml:space="preserve">Copilot is only as secure as your M365 permissions hygiene — and 16% of business-critical data is already overshared.</w:t>
      </w:r>
      <w:r>
        <w:rPr>
          <w:vertAlign w:val="superscript"/>
        </w:rPr>
        <w:t xml:space="preserve">16</w:t>
      </w:r>
      <w:r>
        <w:t xml:space="preserve">SOV3 provides the AI governance layer that Microsoft leaves to customer configuration.</w:t>
      </w:r>
    </w:p>
    <w:p>
      <w:r>
        <w:pict>
          <v:rect style="width:0;height:1.5pt" o:hralign="center" o:hrstd="t" o:hr="t"/>
        </w:pict>
      </w:r>
    </w:p>
    <w:bookmarkEnd w:id="34"/>
    <w:bookmarkStart w:id="35" w:name="X78f558b938db07d10e6f1884694ab49d17c1848"/>
    <w:p>
      <w:pPr>
        <w:pStyle w:val="Heading3"/>
      </w:pPr>
      <w:r>
        <w:t xml:space="preserve">3.4 The AI Agent CVE Landscape: 16+ Verified Vulnerabilities</w:t>
      </w:r>
    </w:p>
    <w:p>
      <w:pPr>
        <w:pStyle w:val="FirstParagraph"/>
      </w:pPr>
      <w:r>
        <w:t xml:space="preserve">The vulnerabilities documented above are not isolated incidents. They represent a systemic security crisis across the entire AI agent ecosystem. In 2026, every major AI agent framework disclosed critical vulnerabilities — confirming that agentic AI without governance is remote code execution waiting to happen.</w:t>
      </w:r>
    </w:p>
    <w:p>
      <w:pPr>
        <w:pStyle w:val="BodyText"/>
      </w:pPr>
      <w:r>
        <w:rPr>
          <w:bCs/>
          <w:b/>
        </w:rPr>
        <w:t xml:space="preserve">Complete Verified CVE Inventory — AI Agent Ecosystem (2026):</w:t>
      </w:r>
    </w:p>
    <w:tbl>
      <w:tblPr>
        <w:tblStyle w:val="Table"/>
        <w:tblW w:type="pct" w:w="5000"/>
        <w:tblLook w:firstRow="1" w:lastRow="0" w:firstColumn="0" w:lastColumn="0" w:noHBand="0" w:noVBand="0" w:val="0020"/>
      </w:tblPr>
      <w:tblGrid>
        <w:gridCol w:w="638"/>
        <w:gridCol w:w="2171"/>
        <w:gridCol w:w="766"/>
        <w:gridCol w:w="2427"/>
        <w:gridCol w:w="1916"/>
      </w:tblGrid>
      <w:tr>
        <w:trPr>
          <w:tblHeader w:val="true"/>
        </w:trPr>
        <w:tc>
          <w:tcPr/>
          <w:p>
            <w:pPr>
              <w:pStyle w:val="Compact"/>
              <w:jc w:val="left"/>
            </w:pPr>
            <w:r>
              <w:t xml:space="preserve">CVE</w:t>
            </w:r>
          </w:p>
        </w:tc>
        <w:tc>
          <w:tcPr/>
          <w:p>
            <w:pPr>
              <w:pStyle w:val="Compact"/>
              <w:jc w:val="left"/>
            </w:pPr>
            <w:r>
              <w:t xml:space="preserve">Product (Vendor)</w:t>
            </w:r>
          </w:p>
        </w:tc>
        <w:tc>
          <w:tcPr/>
          <w:p>
            <w:pPr>
              <w:pStyle w:val="Compact"/>
              <w:jc w:val="left"/>
            </w:pPr>
            <w:r>
              <w:t xml:space="preserve">CVSS</w:t>
            </w:r>
          </w:p>
        </w:tc>
        <w:tc>
          <w:tcPr/>
          <w:p>
            <w:pPr>
              <w:pStyle w:val="Compact"/>
              <w:jc w:val="left"/>
            </w:pPr>
            <w:r>
              <w:t xml:space="preserve">Vulnerability Type</w:t>
            </w:r>
          </w:p>
        </w:tc>
        <w:tc>
          <w:tcPr/>
          <w:p>
            <w:pPr>
              <w:pStyle w:val="Compact"/>
              <w:jc w:val="left"/>
            </w:pPr>
            <w:r>
              <w:t xml:space="preserve">NVD Confirmed</w:t>
            </w:r>
          </w:p>
        </w:tc>
      </w:tr>
      <w:tr>
        <w:tc>
          <w:tcPr/>
          <w:p>
            <w:pPr>
              <w:pStyle w:val="Compact"/>
              <w:jc w:val="left"/>
            </w:pPr>
            <w:r>
              <w:t xml:space="preserve">CVE-2026-25725</w:t>
            </w:r>
          </w:p>
        </w:tc>
        <w:tc>
          <w:tcPr/>
          <w:p>
            <w:pPr>
              <w:pStyle w:val="Compact"/>
              <w:jc w:val="left"/>
            </w:pPr>
            <w:r>
              <w:t xml:space="preserve">Claude Code (Anthropic)</w:t>
            </w:r>
          </w:p>
        </w:tc>
        <w:tc>
          <w:tcPr/>
          <w:p>
            <w:pPr>
              <w:pStyle w:val="Compact"/>
              <w:jc w:val="left"/>
            </w:pPr>
            <w:r>
              <w:rPr>
                <w:bCs/>
                <w:b/>
              </w:rPr>
              <w:t xml:space="preserve">10.0</w:t>
            </w:r>
          </w:p>
        </w:tc>
        <w:tc>
          <w:tcPr/>
          <w:p>
            <w:pPr>
              <w:pStyle w:val="Compact"/>
              <w:jc w:val="left"/>
            </w:pPr>
            <w:r>
              <w:t xml:space="preserve">Sandbox escape via</w:t>
            </w:r>
            <w:r>
              <w:t xml:space="preserve"> </w:t>
            </w:r>
            <w:r>
              <w:rPr>
                <w:rStyle w:val="VerbatimChar"/>
              </w:rPr>
              <w:t xml:space="preserve">.claude/settings.json</w:t>
            </w:r>
            <w:r>
              <w:t xml:space="preserve"> </w:t>
            </w:r>
            <w:r>
              <w:t xml:space="preserve">manipulation</w:t>
            </w:r>
          </w:p>
        </w:tc>
        <w:tc>
          <w:tcPr/>
          <w:p>
            <w:pPr>
              <w:pStyle w:val="Compact"/>
              <w:jc w:val="left"/>
            </w:pPr>
            <w:r>
              <w:t xml:space="preserve">✅ Yes</w:t>
            </w:r>
          </w:p>
        </w:tc>
      </w:tr>
      <w:tr>
        <w:tc>
          <w:tcPr/>
          <w:p>
            <w:pPr>
              <w:pStyle w:val="Compact"/>
              <w:jc w:val="left"/>
            </w:pPr>
            <w:r>
              <w:t xml:space="preserve">CVE-2026-25253</w:t>
            </w:r>
          </w:p>
        </w:tc>
        <w:tc>
          <w:tcPr/>
          <w:p>
            <w:pPr>
              <w:pStyle w:val="Compact"/>
              <w:jc w:val="left"/>
            </w:pPr>
            <w:r>
              <w:t xml:space="preserve">OpenClaw / clawdbot / Moltbot</w:t>
            </w:r>
          </w:p>
        </w:tc>
        <w:tc>
          <w:tcPr/>
          <w:p>
            <w:pPr>
              <w:pStyle w:val="Compact"/>
              <w:jc w:val="left"/>
            </w:pPr>
            <w:r>
              <w:t xml:space="preserve">8.8</w:t>
            </w:r>
          </w:p>
        </w:tc>
        <w:tc>
          <w:tcPr/>
          <w:p>
            <w:pPr>
              <w:pStyle w:val="Compact"/>
              <w:jc w:val="left"/>
            </w:pPr>
            <w:r>
              <w:t xml:space="preserve">One-click RCE via WebSocket</w:t>
            </w:r>
            <w:r>
              <w:t xml:space="preserve"> </w:t>
            </w:r>
            <w:r>
              <w:rPr>
                <w:rStyle w:val="VerbatimChar"/>
              </w:rPr>
              <w:t xml:space="preserve">gatewayUrl</w:t>
            </w:r>
            <w:r>
              <w:t xml:space="preserve"> </w:t>
            </w:r>
            <w:r>
              <w:t xml:space="preserve">hijacking</w:t>
            </w:r>
          </w:p>
        </w:tc>
        <w:tc>
          <w:tcPr/>
          <w:p>
            <w:pPr>
              <w:pStyle w:val="Compact"/>
              <w:jc w:val="left"/>
            </w:pPr>
            <w:r>
              <w:t xml:space="preserve">✅ Yes</w:t>
            </w:r>
          </w:p>
        </w:tc>
      </w:tr>
      <w:tr>
        <w:tc>
          <w:tcPr/>
          <w:p>
            <w:pPr>
              <w:pStyle w:val="Compact"/>
              <w:jc w:val="left"/>
            </w:pPr>
            <w:r>
              <w:t xml:space="preserve">CVE-2026-35435</w:t>
            </w:r>
          </w:p>
        </w:tc>
        <w:tc>
          <w:tcPr/>
          <w:p>
            <w:pPr>
              <w:pStyle w:val="Compact"/>
              <w:jc w:val="left"/>
            </w:pPr>
            <w:r>
              <w:t xml:space="preserve">Azure AI Foundry (Microsoft)</w:t>
            </w:r>
          </w:p>
        </w:tc>
        <w:tc>
          <w:tcPr/>
          <w:p>
            <w:pPr>
              <w:pStyle w:val="Compact"/>
              <w:jc w:val="left"/>
            </w:pPr>
            <w:r>
              <w:t xml:space="preserve">8.6</w:t>
            </w:r>
          </w:p>
        </w:tc>
        <w:tc>
          <w:tcPr/>
          <w:p>
            <w:pPr>
              <w:pStyle w:val="Compact"/>
              <w:jc w:val="left"/>
            </w:pPr>
            <w:r>
              <w:t xml:space="preserve">Elevation of Privilege in agent runtime</w:t>
            </w:r>
          </w:p>
        </w:tc>
        <w:tc>
          <w:tcPr/>
          <w:p>
            <w:pPr>
              <w:pStyle w:val="Compact"/>
              <w:jc w:val="left"/>
            </w:pPr>
            <w:r>
              <w:t xml:space="preserve">✅ Yes</w:t>
            </w:r>
          </w:p>
        </w:tc>
      </w:tr>
      <w:tr>
        <w:tc>
          <w:tcPr/>
          <w:p>
            <w:pPr>
              <w:pStyle w:val="Compact"/>
              <w:jc w:val="left"/>
            </w:pPr>
            <w:r>
              <w:t xml:space="preserve">CVE-2026-40050</w:t>
            </w:r>
          </w:p>
        </w:tc>
        <w:tc>
          <w:tcPr/>
          <w:p>
            <w:pPr>
              <w:pStyle w:val="Compact"/>
              <w:jc w:val="left"/>
            </w:pPr>
            <w:r>
              <w:t xml:space="preserve">LogScale (CrowdStrike)</w:t>
            </w:r>
          </w:p>
        </w:tc>
        <w:tc>
          <w:tcPr/>
          <w:p>
            <w:pPr>
              <w:pStyle w:val="Compact"/>
              <w:jc w:val="left"/>
            </w:pPr>
            <w:r>
              <w:t xml:space="preserve">9.8</w:t>
            </w:r>
          </w:p>
        </w:tc>
        <w:tc>
          <w:tcPr/>
          <w:p>
            <w:pPr>
              <w:pStyle w:val="Compact"/>
              <w:jc w:val="left"/>
            </w:pPr>
            <w:r>
              <w:t xml:space="preserve">Unauthenticated path traversal / arbitrary file read</w:t>
            </w:r>
          </w:p>
        </w:tc>
        <w:tc>
          <w:tcPr/>
          <w:p>
            <w:pPr>
              <w:pStyle w:val="Compact"/>
              <w:jc w:val="left"/>
            </w:pPr>
            <w:r>
              <w:t xml:space="preserve">✅ Yes</w:t>
            </w:r>
          </w:p>
        </w:tc>
      </w:tr>
      <w:tr>
        <w:tc>
          <w:tcPr/>
          <w:p>
            <w:pPr>
              <w:pStyle w:val="Compact"/>
              <w:jc w:val="left"/>
            </w:pPr>
            <w:r>
              <w:t xml:space="preserve">CVE-2026-47092</w:t>
            </w:r>
          </w:p>
        </w:tc>
        <w:tc>
          <w:tcPr/>
          <w:p>
            <w:pPr>
              <w:pStyle w:val="Compact"/>
              <w:jc w:val="left"/>
            </w:pPr>
            <w:r>
              <w:t xml:space="preserve">Claude HUD (jarrodwatts)</w:t>
            </w:r>
          </w:p>
        </w:tc>
        <w:tc>
          <w:tcPr/>
          <w:p>
            <w:pPr>
              <w:pStyle w:val="Compact"/>
              <w:jc w:val="left"/>
            </w:pPr>
            <w:r>
              <w:t xml:space="preserve">7.8</w:t>
            </w:r>
          </w:p>
        </w:tc>
        <w:tc>
          <w:tcPr/>
          <w:p>
            <w:pPr>
              <w:pStyle w:val="Compact"/>
              <w:jc w:val="left"/>
            </w:pPr>
            <w:r>
              <w:t xml:space="preserve">Command injection via COMSPEC</w:t>
            </w:r>
          </w:p>
        </w:tc>
        <w:tc>
          <w:tcPr/>
          <w:p>
            <w:pPr>
              <w:pStyle w:val="Compact"/>
              <w:jc w:val="left"/>
            </w:pPr>
            <w:r>
              <w:t xml:space="preserve">✅ Yes</w:t>
            </w:r>
          </w:p>
        </w:tc>
      </w:tr>
      <w:tr>
        <w:tc>
          <w:tcPr/>
          <w:p>
            <w:pPr>
              <w:pStyle w:val="Compact"/>
              <w:jc w:val="left"/>
            </w:pPr>
            <w:r>
              <w:t xml:space="preserve">CVE-2026-25157</w:t>
            </w:r>
          </w:p>
        </w:tc>
        <w:tc>
          <w:tcPr/>
          <w:p>
            <w:pPr>
              <w:pStyle w:val="Compact"/>
              <w:jc w:val="left"/>
            </w:pPr>
            <w:r>
              <w:t xml:space="preserve">OpenClaw</w:t>
            </w:r>
          </w:p>
        </w:tc>
        <w:tc>
          <w:tcPr/>
          <w:p>
            <w:pPr>
              <w:pStyle w:val="Compact"/>
              <w:jc w:val="left"/>
            </w:pPr>
            <w:r>
              <w:t xml:space="preserve">7.7</w:t>
            </w:r>
          </w:p>
        </w:tc>
        <w:tc>
          <w:tcPr/>
          <w:p>
            <w:pPr>
              <w:pStyle w:val="Compact"/>
              <w:jc w:val="left"/>
            </w:pPr>
            <w:r>
              <w:t xml:space="preserve">SSH command injection</w:t>
            </w:r>
          </w:p>
        </w:tc>
        <w:tc>
          <w:tcPr/>
          <w:p>
            <w:pPr>
              <w:pStyle w:val="Compact"/>
              <w:jc w:val="left"/>
            </w:pPr>
            <w:r>
              <w:t xml:space="preserve">✅ Yes</w:t>
            </w:r>
          </w:p>
        </w:tc>
      </w:tr>
      <w:tr>
        <w:tc>
          <w:tcPr/>
          <w:p>
            <w:pPr>
              <w:pStyle w:val="Compact"/>
              <w:jc w:val="left"/>
            </w:pPr>
            <w:r>
              <w:t xml:space="preserve">CVE-2026-44470</w:t>
            </w:r>
          </w:p>
        </w:tc>
        <w:tc>
          <w:tcPr/>
          <w:p>
            <w:pPr>
              <w:pStyle w:val="Compact"/>
              <w:jc w:val="left"/>
            </w:pPr>
            <w:r>
              <w:t xml:space="preserve">Claude Desktop (Anthropic)</w:t>
            </w:r>
          </w:p>
        </w:tc>
        <w:tc>
          <w:tcPr/>
          <w:p>
            <w:pPr>
              <w:pStyle w:val="Compact"/>
              <w:jc w:val="left"/>
            </w:pPr>
            <w:r>
              <w:t xml:space="preserve">TBD</w:t>
            </w:r>
          </w:p>
        </w:tc>
        <w:tc>
          <w:tcPr/>
          <w:p>
            <w:pPr>
              <w:pStyle w:val="Compact"/>
              <w:jc w:val="left"/>
            </w:pPr>
            <w:r>
              <w:t xml:space="preserve">Local privilege escalation via NTFS junction</w:t>
            </w:r>
          </w:p>
        </w:tc>
        <w:tc>
          <w:tcPr/>
          <w:p>
            <w:pPr>
              <w:pStyle w:val="Compact"/>
              <w:jc w:val="left"/>
            </w:pPr>
            <w:r>
              <w:t xml:space="preserve">✅ Yes</w:t>
            </w:r>
          </w:p>
        </w:tc>
      </w:tr>
      <w:tr>
        <w:tc>
          <w:tcPr/>
          <w:p>
            <w:pPr>
              <w:pStyle w:val="Compact"/>
              <w:jc w:val="left"/>
            </w:pPr>
            <w:r>
              <w:t xml:space="preserve">CVE-2026-26164</w:t>
            </w:r>
          </w:p>
        </w:tc>
        <w:tc>
          <w:tcPr/>
          <w:p>
            <w:pPr>
              <w:pStyle w:val="Compact"/>
              <w:jc w:val="left"/>
            </w:pPr>
            <w:r>
              <w:t xml:space="preserve">M365 Copilot (Microsoft)</w:t>
            </w:r>
          </w:p>
        </w:tc>
        <w:tc>
          <w:tcPr/>
          <w:p>
            <w:pPr>
              <w:pStyle w:val="Compact"/>
              <w:jc w:val="left"/>
            </w:pPr>
            <w:r>
              <w:t xml:space="preserve">7.5</w:t>
            </w:r>
          </w:p>
        </w:tc>
        <w:tc>
          <w:tcPr/>
          <w:p>
            <w:pPr>
              <w:pStyle w:val="Compact"/>
              <w:jc w:val="left"/>
            </w:pPr>
            <w:r>
              <w:t xml:space="preserve">Information Disclosure</w:t>
            </w:r>
          </w:p>
        </w:tc>
        <w:tc>
          <w:tcPr/>
          <w:p>
            <w:pPr>
              <w:pStyle w:val="Compact"/>
              <w:jc w:val="left"/>
            </w:pPr>
            <w:r>
              <w:t xml:space="preserve">✅ Yes</w:t>
            </w:r>
          </w:p>
        </w:tc>
      </w:tr>
      <w:tr>
        <w:tc>
          <w:tcPr/>
          <w:p>
            <w:pPr>
              <w:pStyle w:val="Compact"/>
              <w:jc w:val="left"/>
            </w:pPr>
            <w:r>
              <w:t xml:space="preserve">CVE-2026-33111</w:t>
            </w:r>
          </w:p>
        </w:tc>
        <w:tc>
          <w:tcPr/>
          <w:p>
            <w:pPr>
              <w:pStyle w:val="Compact"/>
              <w:jc w:val="left"/>
            </w:pPr>
            <w:r>
              <w:t xml:space="preserve">Copilot Chat / Edge (Microsoft)</w:t>
            </w:r>
          </w:p>
        </w:tc>
        <w:tc>
          <w:tcPr/>
          <w:p>
            <w:pPr>
              <w:pStyle w:val="Compact"/>
              <w:jc w:val="left"/>
            </w:pPr>
            <w:r>
              <w:t xml:space="preserve">7.5</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CVE-2026-26129</w:t>
            </w:r>
          </w:p>
        </w:tc>
        <w:tc>
          <w:tcPr/>
          <w:p>
            <w:pPr>
              <w:pStyle w:val="Compact"/>
              <w:jc w:val="left"/>
            </w:pPr>
            <w:r>
              <w:t xml:space="preserve">M365 Copilot Business Chat</w:t>
            </w:r>
          </w:p>
        </w:tc>
        <w:tc>
          <w:tcPr/>
          <w:p>
            <w:pPr>
              <w:pStyle w:val="Compact"/>
              <w:jc w:val="left"/>
            </w:pPr>
            <w:r>
              <w:t xml:space="preserve">7.5</w:t>
            </w:r>
          </w:p>
        </w:tc>
        <w:tc>
          <w:tcPr/>
          <w:p>
            <w:pPr>
              <w:pStyle w:val="Compact"/>
              <w:jc w:val="left"/>
            </w:pPr>
            <w:r>
              <w:t xml:space="preserve">Information Disclosure</w:t>
            </w:r>
          </w:p>
        </w:tc>
        <w:tc>
          <w:tcPr/>
          <w:p>
            <w:pPr>
              <w:pStyle w:val="Compact"/>
              <w:jc w:val="left"/>
            </w:pPr>
            <w:r>
              <w:t xml:space="preserve">✅ Yes</w:t>
            </w:r>
          </w:p>
        </w:tc>
      </w:tr>
      <w:tr>
        <w:tc>
          <w:tcPr/>
          <w:p>
            <w:pPr>
              <w:pStyle w:val="Compact"/>
              <w:jc w:val="left"/>
            </w:pPr>
            <w:r>
              <w:t xml:space="preserve">CVE-2026-26317</w:t>
            </w:r>
          </w:p>
        </w:tc>
        <w:tc>
          <w:tcPr/>
          <w:p>
            <w:pPr>
              <w:pStyle w:val="Compact"/>
              <w:jc w:val="left"/>
            </w:pPr>
            <w:r>
              <w:t xml:space="preserve">OpenClaw</w:t>
            </w:r>
          </w:p>
        </w:tc>
        <w:tc>
          <w:tcPr/>
          <w:p>
            <w:pPr>
              <w:pStyle w:val="Compact"/>
              <w:jc w:val="left"/>
            </w:pPr>
            <w:r>
              <w:t xml:space="preserve">7.1</w:t>
            </w:r>
          </w:p>
        </w:tc>
        <w:tc>
          <w:tcPr/>
          <w:p>
            <w:pPr>
              <w:pStyle w:val="Compact"/>
              <w:jc w:val="left"/>
            </w:pPr>
            <w:r>
              <w:t xml:space="preserve">CORS bypass on localhost mutation routes</w:t>
            </w:r>
          </w:p>
        </w:tc>
        <w:tc>
          <w:tcPr/>
          <w:p>
            <w:pPr>
              <w:pStyle w:val="Compact"/>
              <w:jc w:val="left"/>
            </w:pPr>
            <w:r>
              <w:t xml:space="preserve">✅ Yes</w:t>
            </w:r>
          </w:p>
        </w:tc>
      </w:tr>
      <w:tr>
        <w:tc>
          <w:tcPr/>
          <w:p>
            <w:pPr>
              <w:pStyle w:val="Compact"/>
              <w:jc w:val="left"/>
            </w:pPr>
            <w:r>
              <w:t xml:space="preserve">CVE-2026-26972</w:t>
            </w:r>
          </w:p>
        </w:tc>
        <w:tc>
          <w:tcPr/>
          <w:p>
            <w:pPr>
              <w:pStyle w:val="Compact"/>
              <w:jc w:val="left"/>
            </w:pPr>
            <w:r>
              <w:t xml:space="preserve">OpenClaw</w:t>
            </w:r>
          </w:p>
        </w:tc>
        <w:tc>
          <w:tcPr/>
          <w:p>
            <w:pPr>
              <w:pStyle w:val="Compact"/>
              <w:jc w:val="left"/>
            </w:pPr>
            <w:r>
              <w:t xml:space="preserve">6.7</w:t>
            </w:r>
          </w:p>
        </w:tc>
        <w:tc>
          <w:tcPr/>
          <w:p>
            <w:pPr>
              <w:pStyle w:val="Compact"/>
              <w:jc w:val="left"/>
            </w:pPr>
            <w:r>
              <w:t xml:space="preserve">Path traversal in browser download helpers</w:t>
            </w:r>
          </w:p>
        </w:tc>
        <w:tc>
          <w:tcPr/>
          <w:p>
            <w:pPr>
              <w:pStyle w:val="Compact"/>
              <w:jc w:val="left"/>
            </w:pPr>
            <w:r>
              <w:t xml:space="preserve">✅ Yes</w:t>
            </w:r>
          </w:p>
        </w:tc>
      </w:tr>
      <w:tr>
        <w:tc>
          <w:tcPr/>
          <w:p>
            <w:pPr>
              <w:pStyle w:val="Compact"/>
              <w:jc w:val="left"/>
            </w:pPr>
            <w:r>
              <w:t xml:space="preserve">CVE-2026-22813</w:t>
            </w:r>
          </w:p>
        </w:tc>
        <w:tc>
          <w:tcPr/>
          <w:p>
            <w:pPr>
              <w:pStyle w:val="Compact"/>
              <w:jc w:val="left"/>
            </w:pPr>
            <w:r>
              <w:t xml:space="preserve">OpenCode (Anoma)</w:t>
            </w:r>
          </w:p>
        </w:tc>
        <w:tc>
          <w:tcPr/>
          <w:p>
            <w:pPr>
              <w:pStyle w:val="Compact"/>
              <w:jc w:val="left"/>
            </w:pPr>
            <w:r>
              <w:t xml:space="preserve">6.1</w:t>
            </w:r>
          </w:p>
        </w:tc>
        <w:tc>
          <w:tcPr/>
          <w:p>
            <w:pPr>
              <w:pStyle w:val="Compact"/>
              <w:jc w:val="left"/>
            </w:pPr>
            <w:r>
              <w:t xml:space="preserve">XSS in LLM response renderer</w:t>
            </w:r>
          </w:p>
        </w:tc>
        <w:tc>
          <w:tcPr/>
          <w:p>
            <w:pPr>
              <w:pStyle w:val="Compact"/>
              <w:jc w:val="left"/>
            </w:pPr>
            <w:r>
              <w:t xml:space="preserve">✅ Yes</w:t>
            </w:r>
          </w:p>
        </w:tc>
      </w:tr>
      <w:tr>
        <w:tc>
          <w:tcPr/>
          <w:p>
            <w:pPr>
              <w:pStyle w:val="Compact"/>
              <w:jc w:val="left"/>
            </w:pPr>
            <w:r>
              <w:t xml:space="preserve">CVE-2026-24299</w:t>
            </w:r>
          </w:p>
        </w:tc>
        <w:tc>
          <w:tcPr/>
          <w:p>
            <w:pPr>
              <w:pStyle w:val="Compact"/>
              <w:jc w:val="left"/>
            </w:pPr>
            <w:r>
              <w:t xml:space="preserve">M365 Copilot (Microsoft)</w:t>
            </w:r>
          </w:p>
        </w:tc>
        <w:tc>
          <w:tcPr/>
          <w:p>
            <w:pPr>
              <w:pStyle w:val="Compact"/>
              <w:jc w:val="left"/>
            </w:pPr>
            <w:r>
              <w:t xml:space="preserve">TBD</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CVE-2026-26137</w:t>
            </w:r>
          </w:p>
        </w:tc>
        <w:tc>
          <w:tcPr/>
          <w:p>
            <w:pPr>
              <w:pStyle w:val="Compact"/>
              <w:jc w:val="left"/>
            </w:pPr>
            <w:r>
              <w:t xml:space="preserve">M365 Copilot Business Chat</w:t>
            </w:r>
          </w:p>
        </w:tc>
        <w:tc>
          <w:tcPr/>
          <w:p>
            <w:pPr>
              <w:pStyle w:val="Compact"/>
              <w:jc w:val="left"/>
            </w:pPr>
            <w:r>
              <w:t xml:space="preserve">TBD</w:t>
            </w:r>
          </w:p>
        </w:tc>
        <w:tc>
          <w:tcPr/>
          <w:p>
            <w:pPr>
              <w:pStyle w:val="Compact"/>
              <w:jc w:val="left"/>
            </w:pPr>
            <w:r>
              <w:t xml:space="preserve">SSRF</w:t>
            </w:r>
          </w:p>
        </w:tc>
        <w:tc>
          <w:tcPr/>
          <w:p>
            <w:pPr>
              <w:pStyle w:val="Compact"/>
              <w:jc w:val="left"/>
            </w:pPr>
            <w:r>
              <w:t xml:space="preserve">✅ Yes</w:t>
            </w:r>
          </w:p>
        </w:tc>
      </w:tr>
      <w:tr>
        <w:tc>
          <w:tcPr/>
          <w:p>
            <w:pPr>
              <w:pStyle w:val="Compact"/>
              <w:jc w:val="left"/>
            </w:pPr>
            <w:r>
              <w:t xml:space="preserve">CVE-2026-23653</w:t>
            </w:r>
          </w:p>
        </w:tc>
        <w:tc>
          <w:tcPr/>
          <w:p>
            <w:pPr>
              <w:pStyle w:val="Compact"/>
              <w:jc w:val="left"/>
            </w:pPr>
            <w:r>
              <w:t xml:space="preserve">GitHub Copilot / VS Code</w:t>
            </w:r>
          </w:p>
        </w:tc>
        <w:tc>
          <w:tcPr/>
          <w:p>
            <w:pPr>
              <w:pStyle w:val="Compact"/>
              <w:jc w:val="left"/>
            </w:pPr>
            <w:r>
              <w:t xml:space="preserve">TBD</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CVE-2026-42302</w:t>
            </w:r>
          </w:p>
        </w:tc>
        <w:tc>
          <w:tcPr/>
          <w:p>
            <w:pPr>
              <w:pStyle w:val="Compact"/>
              <w:jc w:val="left"/>
            </w:pPr>
            <w:r>
              <w:t xml:space="preserve">FastGPT (labring)</w:t>
            </w:r>
          </w:p>
        </w:tc>
        <w:tc>
          <w:tcPr/>
          <w:p>
            <w:pPr>
              <w:pStyle w:val="Compact"/>
              <w:jc w:val="left"/>
            </w:pPr>
            <w:r>
              <w:t xml:space="preserve">TBD</w:t>
            </w:r>
          </w:p>
        </w:tc>
        <w:tc>
          <w:tcPr/>
          <w:p>
            <w:pPr>
              <w:pStyle w:val="Compact"/>
              <w:jc w:val="left"/>
            </w:pPr>
            <w:r>
              <w:t xml:space="preserve">Unauthenticated RCE in agent-sandbox</w:t>
            </w:r>
          </w:p>
        </w:tc>
        <w:tc>
          <w:tcPr/>
          <w:p>
            <w:pPr>
              <w:pStyle w:val="Compact"/>
              <w:jc w:val="left"/>
            </w:pPr>
            <w:r>
              <w:t xml:space="preserve">✅ Yes</w:t>
            </w:r>
          </w:p>
        </w:tc>
      </w:tr>
      <w:tr>
        <w:tc>
          <w:tcPr/>
          <w:p>
            <w:pPr>
              <w:pStyle w:val="Compact"/>
              <w:jc w:val="left"/>
            </w:pPr>
            <w:r>
              <w:t xml:space="preserve">CVE-2026-45498</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Denial of Service (actively exploited)</w:t>
            </w:r>
          </w:p>
        </w:tc>
        <w:tc>
          <w:tcPr/>
          <w:p>
            <w:pPr>
              <w:pStyle w:val="Compact"/>
              <w:jc w:val="left"/>
            </w:pPr>
            <w:r>
              <w:t xml:space="preserve">✅ Yes</w:t>
            </w:r>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Privilege Escalation (actively exploited)</w:t>
            </w:r>
          </w:p>
        </w:tc>
        <w:tc>
          <w:tcPr/>
          <w:p>
            <w:pPr>
              <w:pStyle w:val="Compact"/>
              <w:jc w:val="left"/>
            </w:pPr>
            <w:r>
              <w:t xml:space="preserve">✅ Yes</w:t>
            </w:r>
          </w:p>
        </w:tc>
      </w:tr>
    </w:tbl>
    <w:p>
      <w:pPr>
        <w:pStyle w:val="BodyText"/>
      </w:pPr>
      <w:r>
        <w:rPr>
          <w:iCs/>
          <w:i/>
        </w:rPr>
        <w:t xml:space="preserve">Sources: NIST NVD, MITRE CVE, Microsoft MSRC, CrowdStrike Advisories, Anthropic Security</w:t>
      </w:r>
      <w:r>
        <w:rPr>
          <w:vertAlign w:val="superscript"/>
          <w:iCs/>
          <w:i/>
        </w:rPr>
        <w:t xml:space="preserve">9</w:t>
      </w:r>
      <w:r>
        <w:rPr>
          <w:iCs/>
          <w:i/>
        </w:rPr>
        <w:t xml:space="preserve"> </w:t>
      </w:r>
      <w:r>
        <w:rPr>
          <w:vertAlign w:val="superscript"/>
          <w:iCs/>
          <w:i/>
        </w:rPr>
        <w:t xml:space="preserve">28</w:t>
      </w:r>
      <w:r>
        <w:rPr>
          <w:iCs/>
          <w:i/>
        </w:rPr>
        <w:t xml:space="preserve"> </w:t>
      </w:r>
      <w:r>
        <w:rPr>
          <w:vertAlign w:val="superscript"/>
          <w:iCs/>
          <w:i/>
        </w:rPr>
        <w:t xml:space="preserve">8</w:t>
      </w:r>
      <w:r>
        <w:rPr>
          <w:iCs/>
          <w:i/>
        </w:rPr>
        <w:t xml:space="preserve"> </w:t>
      </w:r>
      <w:r>
        <w:rPr>
          <w:vertAlign w:val="superscript"/>
          <w:iCs/>
          <w:i/>
        </w:rPr>
        <w:t xml:space="preserve">13</w:t>
      </w:r>
      <w:r>
        <w:rPr>
          <w:iCs/>
          <w:i/>
        </w:rPr>
        <w:t xml:space="preserve"> </w:t>
      </w:r>
      <w:r>
        <w:rPr>
          <w:vertAlign w:val="superscript"/>
          <w:iCs/>
          <w:i/>
        </w:rPr>
        <w:t xml:space="preserve">17</w:t>
      </w:r>
      <w:r>
        <w:rPr>
          <w:iCs/>
          <w:i/>
        </w:rPr>
        <w:t xml:space="preserve"> </w:t>
      </w:r>
      <w:r>
        <w:rPr>
          <w:vertAlign w:val="superscript"/>
          <w:iCs/>
          <w:i/>
        </w:rPr>
        <w:t xml:space="preserve">21</w:t>
      </w:r>
    </w:p>
    <w:p>
      <w:pPr>
        <w:pStyle w:val="BodyText"/>
      </w:pPr>
      <w:r>
        <w:rPr>
          <w:bCs/>
          <w:b/>
        </w:rPr>
        <w:t xml:space="preserve">Critical Insight — The OWASP Agentic Top 10:</w:t>
      </w:r>
    </w:p>
    <w:p>
      <w:pPr>
        <w:pStyle w:val="BodyText"/>
      </w:pPr>
      <w:r>
        <w:t xml:space="preserve">A static analysis audit of six major open-source agent projects using agent-audit tools identified 617 total findings, mapped to the OWASP Agentic Top 10 (2026).</w:t>
      </w:r>
      <w:r>
        <w:rPr>
          <w:vertAlign w:val="superscript"/>
        </w:rPr>
        <w:t xml:space="preserve">11</w:t>
      </w:r>
      <w:r>
        <w:t xml:space="preserve">The distribution reveals where the real risk concentrates:</w:t>
      </w:r>
    </w:p>
    <w:tbl>
      <w:tblPr>
        <w:tblStyle w:val="Table"/>
        <w:tblW w:type="pct" w:w="5000"/>
        <w:tblLook w:firstRow="1" w:lastRow="0" w:firstColumn="0" w:lastColumn="0" w:noHBand="0" w:noVBand="0" w:val="0020"/>
      </w:tblPr>
      <w:tblGrid>
        <w:gridCol w:w="2880"/>
        <w:gridCol w:w="2700"/>
        <w:gridCol w:w="2340"/>
      </w:tblGrid>
      <w:tr>
        <w:trPr>
          <w:tblHeader w:val="true"/>
        </w:trPr>
        <w:tc>
          <w:tcPr/>
          <w:p>
            <w:pPr>
              <w:pStyle w:val="Compact"/>
              <w:jc w:val="left"/>
            </w:pPr>
            <w:r>
              <w:t xml:space="preserve">OWASP Category</w:t>
            </w:r>
          </w:p>
        </w:tc>
        <w:tc>
          <w:tcPr/>
          <w:p>
            <w:pPr>
              <w:pStyle w:val="Compact"/>
              <w:jc w:val="left"/>
            </w:pPr>
            <w:r>
              <w:t xml:space="preserve">% of Findings</w:t>
            </w:r>
          </w:p>
        </w:tc>
        <w:tc>
          <w:tcPr/>
          <w:p>
            <w:pPr>
              <w:pStyle w:val="Compact"/>
              <w:jc w:val="left"/>
            </w:pPr>
            <w:r>
              <w:t xml:space="preserve">Description</w:t>
            </w:r>
          </w:p>
        </w:tc>
      </w:tr>
      <w:tr>
        <w:tc>
          <w:tcPr/>
          <w:p>
            <w:pPr>
              <w:pStyle w:val="Compact"/>
              <w:jc w:val="left"/>
            </w:pPr>
            <w:r>
              <w:rPr>
                <w:bCs/>
                <w:b/>
              </w:rPr>
              <w:t xml:space="preserve">Tool Misuse</w:t>
            </w:r>
          </w:p>
        </w:tc>
        <w:tc>
          <w:tcPr/>
          <w:p>
            <w:pPr>
              <w:pStyle w:val="Compact"/>
              <w:jc w:val="left"/>
            </w:pPr>
            <w:r>
              <w:rPr>
                <w:bCs/>
                <w:b/>
              </w:rPr>
              <w:t xml:space="preserve">64%</w:t>
            </w:r>
          </w:p>
        </w:tc>
        <w:tc>
          <w:tcPr/>
          <w:p>
            <w:pPr>
              <w:pStyle w:val="Compact"/>
              <w:jc w:val="left"/>
            </w:pPr>
            <w:r>
              <w:t xml:space="preserve">Tool functions accept unvalidated input from LLM — enabling injection, exfiltration, and command execution</w:t>
            </w:r>
          </w:p>
        </w:tc>
      </w:tr>
      <w:tr>
        <w:tc>
          <w:tcPr/>
          <w:p>
            <w:pPr>
              <w:pStyle w:val="Compact"/>
              <w:jc w:val="left"/>
            </w:pPr>
            <w:r>
              <w:t xml:space="preserve">Prompt Injection</w:t>
            </w:r>
          </w:p>
        </w:tc>
        <w:tc>
          <w:tcPr/>
          <w:p>
            <w:pPr>
              <w:pStyle w:val="Compact"/>
              <w:jc w:val="left"/>
            </w:pPr>
            <w:r>
              <w:t xml:space="preserve">~15%</w:t>
            </w:r>
          </w:p>
        </w:tc>
        <w:tc>
          <w:tcPr/>
          <w:p>
            <w:pPr>
              <w:pStyle w:val="Compact"/>
              <w:jc w:val="left"/>
            </w:pPr>
            <w:r>
              <w:t xml:space="preserve">Indirect prompt injection via web pages, emails, documents</w:t>
            </w:r>
          </w:p>
        </w:tc>
      </w:tr>
      <w:tr>
        <w:tc>
          <w:tcPr/>
          <w:p>
            <w:pPr>
              <w:pStyle w:val="Compact"/>
              <w:jc w:val="left"/>
            </w:pPr>
            <w:r>
              <w:t xml:space="preserve">Capability Overprovisioning</w:t>
            </w:r>
          </w:p>
        </w:tc>
        <w:tc>
          <w:tcPr/>
          <w:p>
            <w:pPr>
              <w:pStyle w:val="Compact"/>
              <w:jc w:val="left"/>
            </w:pPr>
            <w:r>
              <w:t xml:space="preserve">Universal</w:t>
            </w:r>
          </w:p>
        </w:tc>
        <w:tc>
          <w:tcPr/>
          <w:p>
            <w:pPr>
              <w:pStyle w:val="Compact"/>
              <w:jc w:val="left"/>
            </w:pPr>
            <w:r>
              <w:t xml:space="preserve">All tasks receive full toolset regardless of need</w:t>
            </w:r>
          </w:p>
        </w:tc>
      </w:tr>
      <w:tr>
        <w:tc>
          <w:tcPr/>
          <w:p>
            <w:pPr>
              <w:pStyle w:val="Compact"/>
              <w:jc w:val="left"/>
            </w:pPr>
            <w:r>
              <w:t xml:space="preserve">Missing Authentication</w:t>
            </w:r>
          </w:p>
        </w:tc>
        <w:tc>
          <w:tcPr/>
          <w:p>
            <w:pPr>
              <w:pStyle w:val="Compact"/>
              <w:jc w:val="left"/>
            </w:pPr>
            <w:r>
              <w:t xml:space="preserve">~8%</w:t>
            </w:r>
          </w:p>
        </w:tc>
        <w:tc>
          <w:tcPr/>
          <w:p>
            <w:pPr>
              <w:pStyle w:val="Compact"/>
              <w:jc w:val="left"/>
            </w:pPr>
            <w:r>
              <w:t xml:space="preserve">Local services exposed without auth (e.g., FastGPT code-server on 0.0.0.0:8080)</w:t>
            </w:r>
          </w:p>
        </w:tc>
      </w:tr>
      <w:tr>
        <w:tc>
          <w:tcPr/>
          <w:p>
            <w:pPr>
              <w:pStyle w:val="Compact"/>
              <w:jc w:val="left"/>
            </w:pPr>
            <w:r>
              <w:t xml:space="preserve">Insecure Deserialization</w:t>
            </w:r>
          </w:p>
        </w:tc>
        <w:tc>
          <w:tcPr/>
          <w:p>
            <w:pPr>
              <w:pStyle w:val="Compact"/>
              <w:jc w:val="left"/>
            </w:pPr>
            <w:r>
              <w:t xml:space="preserve">~4%</w:t>
            </w:r>
          </w:p>
        </w:tc>
        <w:tc>
          <w:tcPr/>
          <w:p>
            <w:pPr>
              <w:pStyle w:val="Compact"/>
              <w:jc w:val="left"/>
            </w:pPr>
            <w:r>
              <w:t xml:space="preserve">LLM output used as code/SQL/commands without validation</w:t>
            </w:r>
          </w:p>
        </w:tc>
      </w:tr>
    </w:tbl>
    <w:p>
      <w:pPr>
        <w:pStyle w:val="BodyText"/>
      </w:pPr>
      <w:r>
        <w:rPr>
          <w:iCs/>
          <w:i/>
        </w:rPr>
        <w:t xml:space="preserve">Source: arXiv Agent Auditability Research, OWASP Agentic Top 10 2026</w:t>
      </w:r>
      <w:r>
        <w:rPr>
          <w:vertAlign w:val="superscript"/>
          <w:iCs/>
          <w:i/>
        </w:rPr>
        <w:t xml:space="preserve">11</w:t>
      </w:r>
    </w:p>
    <w:p>
      <w:pPr>
        <w:pStyle w:val="BodyText"/>
      </w:pPr>
      <w:r>
        <w:t xml:space="preserve">Tool misuse alone accounts for nearly two-thirds of all findings. This is the defining vulnerability class of agentic AI: when an LLM can invoke tools with unvalidated input, the boundary between natural language and programming language collapses. A static analysis audit of OpenClaw found 512 vulnerabilities with 8 rated critical — including CVE-2026-32060 (LLM-generated file paths for sandbox escape) and CVE-2026-22171 (unsanitized media keys flowing through the LLM pipeline for arbitrary file writes).</w:t>
      </w:r>
      <w:r>
        <w:rPr>
          <w:vertAlign w:val="superscript"/>
        </w:rPr>
        <w:t xml:space="preserve">10</w:t>
      </w:r>
      <w:r>
        <w:t xml:space="preserve">Classical OWASP vulnerability classes — code injection, SQL injection, command injection, SSRF, unsafe deserialization — are all re-emerging through the NL/PL (Natural Language/Programming Language) boundary.</w:t>
      </w:r>
    </w:p>
    <w:p>
      <w:pPr>
        <w:pStyle w:val="BodyText"/>
      </w:pPr>
      <w:r>
        <w:rPr>
          <w:bCs/>
          <w:b/>
        </w:rPr>
        <w:t xml:space="preserve">The Anthropic Cluster:</w:t>
      </w:r>
      <w:r>
        <w:t xml:space="preserve"> </w:t>
      </w:r>
      <w:r>
        <w:t xml:space="preserve">Claude Code carries the highest CVSS score in the entire inventory — CVE-2026-25725 at 10.0. Bubblewrap sandboxing failed to protect</w:t>
      </w:r>
      <w:r>
        <w:t xml:space="preserve"> </w:t>
      </w:r>
      <w:r>
        <w:rPr>
          <w:rStyle w:val="VerbatimChar"/>
        </w:rPr>
        <w:t xml:space="preserve">.claude/settings.json</w:t>
      </w:r>
      <w:r>
        <w:t xml:space="preserve">, allowing malicious sandbox code to create this file and inject persistent hooks executing with host privileges.</w:t>
      </w:r>
      <w:r>
        <w:rPr>
          <w:vertAlign w:val="superscript"/>
        </w:rPr>
        <w:t xml:space="preserve">17</w:t>
      </w:r>
      <w:r>
        <w:t xml:space="preserve">Combined with CVE-2026-47092 (CVSS 7.8, command injection via COMSPEC manipulation) and CVE-2026-44470 (privilege escalation via NTFS directory junction), Anthropic’s AI coding assistant shipped three distinct vulnerabilities in 2026.</w:t>
      </w:r>
      <w:r>
        <w:rPr>
          <w:vertAlign w:val="superscript"/>
        </w:rPr>
        <w:t xml:space="preserve">21</w:t>
      </w:r>
      <w:r>
        <w:t xml:space="preserve">Even the most well-funded AI safety company could not prevent a perfect sandbox escape.</w:t>
      </w:r>
    </w:p>
    <w:p>
      <w:pPr>
        <w:pStyle w:val="BodyText"/>
      </w:pPr>
      <w:r>
        <w:rPr>
          <w:bCs/>
          <w:b/>
        </w:rPr>
        <w:t xml:space="preserve">NIST Recognition of the Crisis:</w:t>
      </w:r>
      <w:r>
        <w:t xml:space="preserve"> </w:t>
      </w:r>
      <w:r>
        <w:t xml:space="preserve">In January 2026, NIST published a Request for Information on</w:t>
      </w:r>
      <w:r>
        <w:t xml:space="preserve"> </w:t>
      </w:r>
      <w:r>
        <w:t xml:space="preserve">“</w:t>
      </w:r>
      <w:r>
        <w:t xml:space="preserve">Security Considerations for Artificial Intelligence Agents</w:t>
      </w:r>
      <w:r>
        <w:t xml:space="preserve">”</w:t>
      </w:r>
      <w:r>
        <w:t xml:space="preserve"> </w:t>
      </w:r>
      <w:r>
        <w:t xml:space="preserve">(Document 2026-00206), signaling federal recognition that AI agent security requires dedicated frameworks beyond traditional cybersecurity standards.</w:t>
      </w:r>
      <w:r>
        <w:rPr>
          <w:vertAlign w:val="superscript"/>
        </w:rPr>
        <w:t xml:space="preserve">23</w:t>
      </w:r>
      <w:r>
        <w:t xml:space="preserve">The regulatory apparatus is waking up to what the CVE data already proves: agentic AI is a new attack surface with new vulnerability classes, and existing security frameworks are not prepared.</w:t>
      </w:r>
    </w:p>
    <w:p>
      <w:pPr>
        <w:pStyle w:val="BodyText"/>
      </w:pPr>
      <w:r>
        <w:rPr>
          <w:bCs/>
          <w:b/>
        </w:rPr>
        <w:t xml:space="preserve">SOV3 Strike Angle:</w:t>
      </w:r>
      <w:r>
        <w:t xml:space="preserve"> </w:t>
      </w:r>
      <w:r>
        <w:t xml:space="preserve">AI agent frameworks are repeating every security mistake of the 2000s browser plugin era — but with system-level consequences. OpenClaw (CVSS 8.8 one-click RCE), Claude Code (CVSS 10.0 sandbox escape), FastGPT (unauthenticated RCE), and OpenCode (XSS) — all disclosed in 2026. The OWASP Agentic Top 10 is dominated by tool misuse at 64% of findings.</w:t>
      </w:r>
      <w:r>
        <w:rPr>
          <w:vertAlign w:val="superscript"/>
        </w:rPr>
        <w:t xml:space="preserve">11</w:t>
      </w:r>
      <w:r>
        <w:t xml:space="preserve">SOV3 was built for this exact moment: governance-first AI architecture that restricts capabilities to what each task actually needs, enforces audit trails on every tool invocation, and validates all LLM-generated commands before execution. When the next CVE drops — and it will — SOV3 customers are already protected by design.</w:t>
      </w:r>
    </w:p>
    <w:p>
      <w:r>
        <w:pict>
          <v:rect style="width:0;height:1.5pt" o:hralign="center" o:hrstd="t" o:hr="t"/>
        </w:pict>
      </w:r>
    </w:p>
    <w:bookmarkEnd w:id="35"/>
    <w:bookmarkStart w:id="36" w:name="chapter-3-key-takeaways"/>
    <w:p>
      <w:pPr>
        <w:pStyle w:val="Heading3"/>
      </w:pPr>
      <w:r>
        <w:t xml:space="preserve">Chapter 3 Key Takeaways</w:t>
      </w:r>
    </w:p>
    <w:p>
      <w:pPr>
        <w:numPr>
          <w:ilvl w:val="0"/>
          <w:numId w:val="1005"/>
        </w:numPr>
      </w:pPr>
      <w:r>
        <w:rPr>
          <w:bCs/>
          <w:b/>
        </w:rPr>
        <w:t xml:space="preserve">OpenClaw (CVE-2026-25253, CVSS 8.8) is a confirmed, one-click RCE</w:t>
      </w:r>
      <w:r>
        <w:t xml:space="preserve"> </w:t>
      </w:r>
      <w:r>
        <w:t xml:space="preserve">affecting the most popular open-source AI agent framework — 135,000+ public instances, 3.2 million active users, four related CVEs, and a supply chain where 20% of the skill registry was malicious at peak.</w:t>
      </w:r>
    </w:p>
    <w:p>
      <w:pPr>
        <w:numPr>
          <w:ilvl w:val="0"/>
          <w:numId w:val="1005"/>
        </w:numPr>
      </w:pPr>
      <w:r>
        <w:rPr>
          <w:bCs/>
          <w:b/>
        </w:rPr>
        <w:t xml:space="preserve">CrowdStrike’s LogScale (CVE-2026-40050, CVSS 9.8) had an unauthenticated path traversal</w:t>
      </w:r>
      <w:r>
        <w:t xml:space="preserve"> </w:t>
      </w:r>
      <w:r>
        <w:t xml:space="preserve">allowing arbitrary file reads from the SIEM itself — and SaaS customers received</w:t>
      </w:r>
      <w:r>
        <w:t xml:space="preserve"> </w:t>
      </w:r>
      <w:r>
        <w:t xml:space="preserve">“</w:t>
      </w:r>
      <w:r>
        <w:t xml:space="preserve">mitigations,</w:t>
      </w:r>
      <w:r>
        <w:t xml:space="preserve">”</w:t>
      </w:r>
      <w:r>
        <w:t xml:space="preserve"> </w:t>
      </w:r>
      <w:r>
        <w:t xml:space="preserve">not patches.</w:t>
      </w:r>
    </w:p>
    <w:p>
      <w:pPr>
        <w:numPr>
          <w:ilvl w:val="0"/>
          <w:numId w:val="1005"/>
        </w:numPr>
      </w:pPr>
      <w:r>
        <w:rPr>
          <w:bCs/>
          <w:b/>
        </w:rPr>
        <w:t xml:space="preserve">Microsoft Defender has two actively exploited zero-days</w:t>
      </w:r>
      <w:r>
        <w:t xml:space="preserve"> </w:t>
      </w:r>
      <w:r>
        <w:t xml:space="preserve">(CVE-2026-45498 and CVE-2026-41091) in the wild right now, with 9+ Copilot-related CVEs disclosed in 2026 and an Azure AI Foundry privilege escalation rated</w:t>
      </w:r>
      <w:r>
        <w:t xml:space="preserve"> </w:t>
      </w:r>
      <w:r>
        <w:t xml:space="preserve">“</w:t>
      </w:r>
      <w:r>
        <w:t xml:space="preserve">Exploitation More Likely.</w:t>
      </w:r>
      <w:r>
        <w:t xml:space="preserve">”</w:t>
      </w:r>
    </w:p>
    <w:p>
      <w:pPr>
        <w:numPr>
          <w:ilvl w:val="0"/>
          <w:numId w:val="1005"/>
        </w:numPr>
      </w:pPr>
      <w:r>
        <w:rPr>
          <w:bCs/>
          <w:b/>
        </w:rPr>
        <w:t xml:space="preserve">16+ verified CVEs hit AI agent frameworks in 2026</w:t>
      </w:r>
      <w:r>
        <w:t xml:space="preserve"> </w:t>
      </w:r>
      <w:r>
        <w:t xml:space="preserve">from every major vendor — Anthropic (CVSS 10.0), OpenClaw (CVSS 8.8), Microsoft (CVSS 8.6), CrowdStrike (CVSS 9.8), and others. Tool misuse accounts for 64% of OWASP Agentic Top 10 findings.</w:t>
      </w:r>
    </w:p>
    <w:p>
      <w:pPr>
        <w:numPr>
          <w:ilvl w:val="0"/>
          <w:numId w:val="1005"/>
        </w:numPr>
      </w:pPr>
      <w:r>
        <w:rPr>
          <w:bCs/>
          <w:b/>
        </w:rPr>
        <w:t xml:space="preserve">The pattern is systemic, not incidental.</w:t>
      </w:r>
      <w:r>
        <w:t xml:space="preserve"> </w:t>
      </w:r>
      <w:r>
        <w:t xml:space="preserve">Every major AI platform disclosed critical vulnerabilities this year because agentic AI without governance is architecturally overprivileged, under-validated, and exposed to classical attack vectors through the new NL/PL boundary. SOV3’s governance-first architecture — capability scoping, audit trails, inter-agent authentication, and least-privilege enforcement — is the structural answer to a structural problem.</w:t>
      </w:r>
    </w:p>
    <w:p>
      <w:r>
        <w:pict>
          <v:rect style="width:0;height:1.5pt" o:hralign="center" o:hrstd="t" o:hr="t"/>
        </w:pict>
      </w:r>
    </w:p>
    <w:p>
      <w:pPr>
        <w:pStyle w:val="FirstParagraph"/>
      </w:pPr>
      <w:r>
        <w:rPr>
          <w:bCs/>
          <w:b/>
        </w:rPr>
        <w:t xml:space="preserve">Intelligence Sources:</w:t>
      </w:r>
    </w:p>
    <w:p>
      <w:pPr>
        <w:pStyle w:val="BodyText"/>
      </w:pPr>
      <w:r>
        <w:rPr>
          <w:vertAlign w:val="superscript"/>
        </w:rPr>
        <w:t xml:space="preserve">9</w:t>
      </w:r>
      <w:r>
        <w:t xml:space="preserve">: NIST NVD — CVE-2026-25253, https://nvd.nist.gov/vuln/detail/CVE-2026-25253; MITRE CVE Dictionary</w:t>
      </w:r>
      <w:r>
        <w:t xml:space="preserve"> </w:t>
      </w:r>
      <w:r>
        <w:rPr>
          <w:vertAlign w:val="superscript"/>
        </w:rPr>
        <w:t xml:space="preserve">24</w:t>
      </w:r>
      <w:r>
        <w:t xml:space="preserve">: OpenClawVPS Statistics, April 2026; github.com/openclaw/openclaw</w:t>
      </w:r>
      <w:r>
        <w:t xml:space="preserve"> </w:t>
      </w:r>
      <w:r>
        <w:rPr>
          <w:vertAlign w:val="superscript"/>
        </w:rPr>
        <w:t xml:space="preserve">3</w:t>
      </w:r>
      <w:r>
        <w:t xml:space="preserve">: Shodan Internet Scan, February 2026 (~780+ instances); SecurityScorecard broader estimate (135,000+ public instances)</w:t>
      </w:r>
      <w:r>
        <w:t xml:space="preserve"> </w:t>
      </w:r>
      <w:r>
        <w:rPr>
          <w:vertAlign w:val="superscript"/>
        </w:rPr>
        <w:t xml:space="preserve">28</w:t>
      </w:r>
      <w:r>
        <w:t xml:space="preserve">: NIST NVD — CVE-2026-25157, CVE-2026-26317, CVE-2026-26972</w:t>
      </w:r>
      <w:r>
        <w:t xml:space="preserve"> </w:t>
      </w:r>
      <w:r>
        <w:rPr>
          <w:vertAlign w:val="superscript"/>
        </w:rPr>
        <w:t xml:space="preserve">2</w:t>
      </w:r>
      <w:r>
        <w:t xml:space="preserve">: CrowdStrike Intelligence,</w:t>
      </w:r>
      <w:r>
        <w:t xml:space="preserve"> </w:t>
      </w:r>
      <w:r>
        <w:t xml:space="preserve">“</w:t>
      </w:r>
      <w:r>
        <w:t xml:space="preserve">ClawHavoc</w:t>
      </w:r>
      <w:r>
        <w:t xml:space="preserve">”</w:t>
      </w:r>
      <w:r>
        <w:t xml:space="preserve"> </w:t>
      </w:r>
      <w:r>
        <w:t xml:space="preserve">Supply Chain Attack Report, February 2026</w:t>
      </w:r>
      <w:r>
        <w:t xml:space="preserve"> </w:t>
      </w:r>
      <w:r>
        <w:rPr>
          <w:vertAlign w:val="superscript"/>
        </w:rPr>
        <w:t xml:space="preserve">1</w:t>
      </w:r>
      <w:r>
        <w:t xml:space="preserve">: Huntress Research &amp; BleepingComputer, Fake OpenClaw Installer Analysis, February 2026</w:t>
      </w:r>
      <w:r>
        <w:t xml:space="preserve"> </w:t>
      </w:r>
      <w:r>
        <w:rPr>
          <w:vertAlign w:val="superscript"/>
        </w:rPr>
        <w:t xml:space="preserve">14</w:t>
      </w:r>
      <w:r>
        <w:t xml:space="preserve">: arXiv: Aethelgard Framework Research (2604.11839), AI Agent Capability Overprovisioning Analysis, 2026</w:t>
      </w:r>
      <w:r>
        <w:t xml:space="preserve"> </w:t>
      </w:r>
      <w:r>
        <w:rPr>
          <w:vertAlign w:val="superscript"/>
        </w:rPr>
        <w:t xml:space="preserve">8</w:t>
      </w:r>
      <w:r>
        <w:t xml:space="preserve">: CrowdStrike Security Advisory — CVE-2026-40050, https://www.crowdstrike.com/en-us/security-advisories/cve-2026-40050/; NIST NVD</w:t>
      </w:r>
      <w:r>
        <w:t xml:space="preserve"> </w:t>
      </w:r>
      <w:r>
        <w:rPr>
          <w:vertAlign w:val="superscript"/>
        </w:rPr>
        <w:t xml:space="preserve">18</w:t>
      </w:r>
      <w:r>
        <w:t xml:space="preserve">: CrowdStrike Executive Summary — Root Cause Analysis Channel File 291, August 2024; Fortune 500 impact estimates</w:t>
      </w:r>
      <w:r>
        <w:t xml:space="preserve"> </w:t>
      </w:r>
      <w:r>
        <w:rPr>
          <w:vertAlign w:val="superscript"/>
        </w:rPr>
        <w:t xml:space="preserve">26</w:t>
      </w:r>
      <w:r>
        <w:t xml:space="preserve">: CrowdStrike RCA Technical Report —</w:t>
      </w:r>
      <w:r>
        <w:t xml:space="preserve"> </w:t>
      </w:r>
      <w:r>
        <w:rPr>
          <w:rStyle w:val="VerbatimChar"/>
        </w:rPr>
        <w:t xml:space="preserve">CSagent.sys</w:t>
      </w:r>
      <w:r>
        <w:t xml:space="preserve"> </w:t>
      </w:r>
      <w:r>
        <w:t xml:space="preserve">kernel-mode driver analysis</w:t>
      </w:r>
      <w:r>
        <w:t xml:space="preserve"> </w:t>
      </w:r>
      <w:r>
        <w:rPr>
          <w:vertAlign w:val="superscript"/>
        </w:rPr>
        <w:t xml:space="preserve">27</w:t>
      </w:r>
      <w:r>
        <w:t xml:space="preserve">: Broadcom/Symantec Threat Intelligence — CVE-2026-45498</w:t>
      </w:r>
      <w:r>
        <w:t xml:space="preserve"> </w:t>
      </w:r>
      <w:r>
        <w:t xml:space="preserve">“</w:t>
      </w:r>
      <w:r>
        <w:t xml:space="preserve">UnDefend</w:t>
      </w:r>
      <w:r>
        <w:t xml:space="preserve">”</w:t>
      </w:r>
      <w:r>
        <w:t xml:space="preserve"> </w:t>
      </w:r>
      <w:r>
        <w:t xml:space="preserve">Analysis, 2026</w:t>
      </w:r>
      <w:r>
        <w:t xml:space="preserve"> </w:t>
      </w:r>
      <w:r>
        <w:rPr>
          <w:vertAlign w:val="superscript"/>
        </w:rPr>
        <w:t xml:space="preserve">12</w:t>
      </w:r>
      <w:r>
        <w:t xml:space="preserve">: CISA Known Exploited Vulnerabilities Catalog — CVE-2026-41091, BOD 22-01</w:t>
      </w:r>
      <w:r>
        <w:t xml:space="preserve"> </w:t>
      </w:r>
      <w:r>
        <w:rPr>
          <w:vertAlign w:val="superscript"/>
        </w:rPr>
        <w:t xml:space="preserve">13</w:t>
      </w:r>
      <w:r>
        <w:t xml:space="preserve">: Microsoft MSRC Security Update Guide — CVE-2026-35435; NIST NVD</w:t>
      </w:r>
      <w:r>
        <w:t xml:space="preserve"> </w:t>
      </w:r>
      <w:r>
        <w:rPr>
          <w:vertAlign w:val="superscript"/>
        </w:rPr>
        <w:t xml:space="preserve">7</w:t>
      </w:r>
      <w:r>
        <w:t xml:space="preserve">: Microsoft MSRC — 2026 Copilot Vulnerability Disclosures, https://msrc.microsoft.com/update-guide/</w:t>
      </w:r>
      <w:r>
        <w:t xml:space="preserve"> </w:t>
      </w:r>
      <w:r>
        <w:rPr>
          <w:vertAlign w:val="superscript"/>
        </w:rPr>
        <w:t xml:space="preserve">16</w:t>
      </w:r>
      <w:r>
        <w:t xml:space="preserve">: Concentric AI Study — M365 Data Oversharing Analysis, 2026</w:t>
      </w:r>
      <w:r>
        <w:t xml:space="preserve"> </w:t>
      </w:r>
      <w:r>
        <w:rPr>
          <w:vertAlign w:val="superscript"/>
        </w:rPr>
        <w:t xml:space="preserve">17</w:t>
      </w:r>
      <w:r>
        <w:t xml:space="preserve">: NIST NVD — CVE-2026-25725 (Claude Code Sandbox Escape, CVSS 10.0)</w:t>
      </w:r>
      <w:r>
        <w:t xml:space="preserve"> </w:t>
      </w:r>
      <w:r>
        <w:rPr>
          <w:vertAlign w:val="superscript"/>
        </w:rPr>
        <w:t xml:space="preserve">21</w:t>
      </w:r>
      <w:r>
        <w:t xml:space="preserve">: NIST NVD — CVE-2026-47092, CVE-2026-44470 (Claude HUD and Claude Desktop)</w:t>
      </w:r>
      <w:r>
        <w:t xml:space="preserve"> </w:t>
      </w:r>
      <w:r>
        <w:rPr>
          <w:vertAlign w:val="superscript"/>
        </w:rPr>
        <w:t xml:space="preserve">11</w:t>
      </w:r>
      <w:r>
        <w:t xml:space="preserve">: arXiv: Agent Auditability Research (2604.05485), OWASP Agentic Top 10 Analysis, 2026</w:t>
      </w:r>
      <w:r>
        <w:t xml:space="preserve"> </w:t>
      </w:r>
      <w:r>
        <w:rPr>
          <w:vertAlign w:val="superscript"/>
        </w:rPr>
        <w:t xml:space="preserve">10</w:t>
      </w:r>
      <w:r>
        <w:t xml:space="preserve">: arXiv: NL/PL Boundary Security Research (2603.28345), LLM Program Boundary Vulnerability Analysis, 2026</w:t>
      </w:r>
      <w:r>
        <w:t xml:space="preserve"> </w:t>
      </w:r>
      <w:r>
        <w:rPr>
          <w:vertAlign w:val="superscript"/>
        </w:rPr>
        <w:t xml:space="preserve">23</w:t>
      </w:r>
      <w:r>
        <w:t xml:space="preserve">: NIST Request for Information —</w:t>
      </w:r>
      <w:r>
        <w:t xml:space="preserve"> </w:t>
      </w:r>
      <w:r>
        <w:t xml:space="preserve">“</w:t>
      </w:r>
      <w:r>
        <w:t xml:space="preserve">Security Considerations for Artificial Intelligence Agents,</w:t>
      </w:r>
      <w:r>
        <w:t xml:space="preserve">”</w:t>
      </w:r>
      <w:r>
        <w:t xml:space="preserve"> </w:t>
      </w:r>
      <w:r>
        <w:t xml:space="preserve">Document 2026-00206, January 8, 2026</w:t>
      </w:r>
    </w:p>
    <w:p>
      <w:r>
        <w:pict>
          <v:rect style="width:0;height:1.5pt" o:hralign="center" o:hrstd="t" o:hr="t"/>
        </w:pict>
      </w:r>
    </w:p>
    <w:bookmarkEnd w:id="36"/>
    <w:bookmarkEnd w:id="37"/>
    <w:bookmarkStart w:id="40" w:name="eu-ai-act-the-regulatory-nuclear-weapon"/>
    <w:p>
      <w:pPr>
        <w:pStyle w:val="Heading2"/>
      </w:pPr>
      <w:r>
        <w:t xml:space="preserve">4. EU AI Act: The Regulatory Nuclear Weapon</w:t>
      </w:r>
    </w:p>
    <w:bookmarkStart w:id="38" w:name="X0da6430de9ce599b4ba03e90e05b3c8408a095f"/>
    <w:p>
      <w:pPr>
        <w:pStyle w:val="Heading3"/>
      </w:pPr>
      <w:r>
        <w:t xml:space="preserve">4.1 August 2, 2026: The Deadline That Didn’t Move</w:t>
      </w:r>
    </w:p>
    <w:p>
      <w:pPr>
        <w:pStyle w:val="FirstParagraph"/>
      </w:pPr>
      <w:r>
        <w:t xml:space="preserve">On August 2, 2026, Regulation (EU) 2024/1689 transforms from a legislative text into a live-fire weapons system aimed at every enterprise deploying high-risk AI within the European Union. The obligations under Articles 6 through 51 become legally enforceable. The penalty regime activates. The EU database opens for mandatory registration. And there is nowhere to hide.</w:t>
      </w:r>
    </w:p>
    <w:p>
      <w:pPr>
        <w:pStyle w:val="BodyText"/>
      </w:pPr>
      <w:r>
        <w:t xml:space="preserve">The enterprise technology industry has spent eighteen months telling itself a comforting story:</w:t>
      </w:r>
      <w:r>
        <w:t xml:space="preserve"> </w:t>
      </w:r>
      <w:r>
        <w:rPr>
          <w:iCs/>
          <w:i/>
        </w:rPr>
        <w:t xml:space="preserve">the deadline will slip.</w:t>
      </w:r>
      <w:r>
        <w:t xml:space="preserve"> </w:t>
      </w:r>
      <w:r>
        <w:t xml:space="preserve">That story died on April 28, 2026, when the Digital Omnibus trilogue talks collapsed after twelve hours of negotiations between the European Parliament, Council, and Commission.</w:t>
      </w:r>
      <w:r>
        <w:t xml:space="preserve"> </w:t>
      </w:r>
      <w:r>
        <w:rPr>
          <w:vertAlign w:val="superscript"/>
        </w:rPr>
        <w:t xml:space="preserve">16</w:t>
      </w:r>
      <w:r>
        <w:t xml:space="preserve"> </w:t>
      </w:r>
      <w:r>
        <w:rPr>
          <w:vertAlign w:val="superscript"/>
        </w:rPr>
        <w:t xml:space="preserve">21</w:t>
      </w:r>
      <w:r>
        <w:t xml:space="preserve">A follow-up trilogue was scheduled for approximately May 13, 2026 under the Cypriot Presidency. As of early June 2026, no formal agreement has been enacted. The August 2, 2026 deadline remains legally binding under the published regulation.</w:t>
      </w:r>
    </w:p>
    <w:p>
      <w:pPr>
        <w:pStyle w:val="BodyText"/>
      </w:pPr>
      <w:r>
        <w:t xml:space="preserve">Legal analysts at A&amp;O Shearman and Plesner have been explicit:</w:t>
      </w:r>
      <w:r>
        <w:t xml:space="preserve"> </w:t>
      </w:r>
      <w:r>
        <w:rPr>
          <w:iCs/>
          <w:i/>
        </w:rPr>
        <w:t xml:space="preserve">“</w:t>
      </w:r>
      <w:r>
        <w:rPr>
          <w:iCs/>
          <w:i/>
        </w:rPr>
        <w:t xml:space="preserve">An extension has been agreed. The deadline hasn’t moved yet. That gap matters enormously… August 2, 2026 is still the deadline.</w:t>
      </w:r>
      <w:r>
        <w:rPr>
          <w:iCs/>
          <w:i/>
        </w:rPr>
        <w:t xml:space="preserve">”</w:t>
      </w:r>
      <w:r>
        <w:t xml:space="preserve"> </w:t>
      </w:r>
      <w:r>
        <w:rPr>
          <w:vertAlign w:val="superscript"/>
        </w:rPr>
        <w:t xml:space="preserve">19</w:t>
      </w:r>
      <w:r>
        <w:t xml:space="preserve">The political agreement exists in principle. The legal instrument to enforce it does not. Organizations planning around an extension that has not been ratified face material enterprise risk — and potentially existential financial exposure.</w:t>
      </w:r>
    </w:p>
    <w:p>
      <w:pPr>
        <w:pStyle w:val="BodyText"/>
      </w:pPr>
      <w:r>
        <w:rPr>
          <w:bCs/>
          <w:b/>
        </w:rPr>
        <w:t xml:space="preserve">The Penalty Structure — Why This Is Not a Paper Tiger: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Violation Level</w:t>
            </w:r>
          </w:p>
        </w:tc>
        <w:tc>
          <w:tcPr/>
          <w:p>
            <w:pPr>
              <w:pStyle w:val="Compact"/>
              <w:jc w:val="left"/>
            </w:pPr>
            <w:r>
              <w:t xml:space="preserve">Maximum Fine</w:t>
            </w:r>
          </w:p>
        </w:tc>
        <w:tc>
          <w:tcPr/>
          <w:p>
            <w:pPr>
              <w:pStyle w:val="Compact"/>
              <w:jc w:val="left"/>
            </w:pPr>
            <w:r>
              <w:t xml:space="preserve">Likely Enforcement Target</w:t>
            </w:r>
          </w:p>
        </w:tc>
      </w:tr>
      <w:tr>
        <w:tc>
          <w:tcPr/>
          <w:p>
            <w:pPr>
              <w:pStyle w:val="Compact"/>
              <w:jc w:val="left"/>
            </w:pPr>
            <w:r>
              <w:rPr>
                <w:bCs/>
                <w:b/>
              </w:rPr>
              <w:t xml:space="preserve">Prohibited AI practices</w:t>
            </w:r>
          </w:p>
        </w:tc>
        <w:tc>
          <w:tcPr/>
          <w:p>
            <w:pPr>
              <w:pStyle w:val="Compact"/>
              <w:jc w:val="left"/>
            </w:pPr>
            <w:r>
              <w:rPr>
                <w:bCs/>
                <w:b/>
              </w:rPr>
              <w:t xml:space="preserve">EUR 35 million or 7% of global annual turnover</w:t>
            </w:r>
          </w:p>
        </w:tc>
        <w:tc>
          <w:tcPr/>
          <w:p>
            <w:pPr>
              <w:pStyle w:val="Compact"/>
              <w:jc w:val="left"/>
            </w:pPr>
            <w:r>
              <w:t xml:space="preserve">Social scoring, cognitive manipulation, real-time biometric ID</w:t>
            </w:r>
          </w:p>
        </w:tc>
      </w:tr>
      <w:tr>
        <w:tc>
          <w:tcPr/>
          <w:p>
            <w:pPr>
              <w:pStyle w:val="Compact"/>
              <w:jc w:val="left"/>
            </w:pPr>
            <w:r>
              <w:rPr>
                <w:bCs/>
                <w:b/>
              </w:rPr>
              <w:t xml:space="preserve">High-risk AI non-compliance</w:t>
            </w:r>
          </w:p>
        </w:tc>
        <w:tc>
          <w:tcPr/>
          <w:p>
            <w:pPr>
              <w:pStyle w:val="Compact"/>
              <w:jc w:val="left"/>
            </w:pPr>
            <w:r>
              <w:rPr>
                <w:bCs/>
                <w:b/>
              </w:rPr>
              <w:t xml:space="preserve">EUR 15 million or 3% of global turnover</w:t>
            </w:r>
          </w:p>
        </w:tc>
        <w:tc>
          <w:tcPr/>
          <w:p>
            <w:pPr>
              <w:pStyle w:val="Compact"/>
              <w:jc w:val="left"/>
            </w:pPr>
            <w:r>
              <w:t xml:space="preserve">Enterprise AI in hiring, credit, education, law enforcement</w:t>
            </w:r>
          </w:p>
        </w:tc>
      </w:tr>
      <w:tr>
        <w:tc>
          <w:tcPr/>
          <w:p>
            <w:pPr>
              <w:pStyle w:val="Compact"/>
              <w:jc w:val="left"/>
            </w:pPr>
            <w:r>
              <w:rPr>
                <w:bCs/>
                <w:b/>
              </w:rPr>
              <w:t xml:space="preserve">Transparency violations</w:t>
            </w:r>
          </w:p>
        </w:tc>
        <w:tc>
          <w:tcPr/>
          <w:p>
            <w:pPr>
              <w:pStyle w:val="Compact"/>
              <w:jc w:val="left"/>
            </w:pPr>
            <w:r>
              <w:rPr>
                <w:bCs/>
                <w:b/>
              </w:rPr>
              <w:t xml:space="preserve">EUR 15 million or 3% of global turnover</w:t>
            </w:r>
          </w:p>
        </w:tc>
        <w:tc>
          <w:tcPr/>
          <w:p>
            <w:pPr>
              <w:pStyle w:val="Compact"/>
              <w:jc w:val="left"/>
            </w:pPr>
            <w:r>
              <w:t xml:space="preserve">Chatbot disclosures, AI-generated content labeling</w:t>
            </w:r>
          </w:p>
        </w:tc>
      </w:tr>
      <w:tr>
        <w:tc>
          <w:tcPr/>
          <w:p>
            <w:pPr>
              <w:pStyle w:val="Compact"/>
              <w:jc w:val="left"/>
            </w:pPr>
            <w:r>
              <w:rPr>
                <w:bCs/>
                <w:b/>
              </w:rPr>
              <w:t xml:space="preserve">Misleading information</w:t>
            </w:r>
          </w:p>
        </w:tc>
        <w:tc>
          <w:tcPr/>
          <w:p>
            <w:pPr>
              <w:pStyle w:val="Compact"/>
              <w:jc w:val="left"/>
            </w:pPr>
            <w:r>
              <w:rPr>
                <w:bCs/>
                <w:b/>
              </w:rPr>
              <w:t xml:space="preserve">EUR 7.5 million or 1.5% of global turnover</w:t>
            </w:r>
          </w:p>
        </w:tc>
        <w:tc>
          <w:tcPr/>
          <w:p>
            <w:pPr>
              <w:pStyle w:val="Compact"/>
              <w:jc w:val="left"/>
            </w:pPr>
            <w:r>
              <w:t xml:space="preserve">False statements to market surveillance authorities</w:t>
            </w:r>
          </w:p>
        </w:tc>
      </w:tr>
    </w:tbl>
    <w:p>
      <w:pPr>
        <w:pStyle w:val="BodyText"/>
      </w:pPr>
      <w:r>
        <w:t xml:space="preserve">For a Fortune 500 firm with $50 billion in global revenue, a single major violation carries</w:t>
      </w:r>
      <w:r>
        <w:t xml:space="preserve"> </w:t>
      </w:r>
      <w:r>
        <w:rPr>
          <w:bCs/>
          <w:b/>
        </w:rPr>
        <w:t xml:space="preserve">$1 billion to $3.5 billion in regulatory exposure</w:t>
      </w:r>
      <w:r>
        <w:t xml:space="preserve">.</w:t>
      </w:r>
      <w:r>
        <w:t xml:space="preserve"> </w:t>
      </w:r>
      <w:r>
        <w:rPr>
          <w:vertAlign w:val="superscript"/>
        </w:rPr>
        <w:t xml:space="preserve">37</w:t>
      </w:r>
      <w:r>
        <w:t xml:space="preserve">This is not a compliance checkbox. This is a board-level existential risk. The EU AI Office, established under Article 64 of the regulation, is expected to begin pre-enforcement communications by mid-July 2026 — fifteen days before the deadline.</w:t>
      </w:r>
      <w:r>
        <w:t xml:space="preserve"> </w:t>
      </w:r>
      <w:r>
        <w:rPr>
          <w:vertAlign w:val="superscript"/>
        </w:rPr>
        <w:t xml:space="preserve">16</w:t>
      </w:r>
      <w:r>
        <w:rPr>
          <w:bCs/>
          <w:b/>
        </w:rPr>
        <w:t xml:space="preserve">The Harmonized Standards Crisis</w:t>
      </w:r>
      <w:r>
        <w:t xml:space="preserve"> </w:t>
      </w:r>
      <w:r>
        <w:t xml:space="preserve">compounds the danger. As of June 2026,</w:t>
      </w:r>
      <w:r>
        <w:t xml:space="preserve"> </w:t>
      </w:r>
      <w:r>
        <w:rPr>
          <w:bCs/>
          <w:b/>
        </w:rPr>
        <w:t xml:space="preserve">no harmonized standards have been published in the Official Journal of the European Union</w:t>
      </w:r>
      <w:r>
        <w:t xml:space="preserve">.</w:t>
      </w:r>
      <w:r>
        <w:t xml:space="preserve"> </w:t>
      </w:r>
      <w:r>
        <w:rPr>
          <w:vertAlign w:val="superscript"/>
        </w:rPr>
        <w:t xml:space="preserve">38</w:t>
      </w:r>
      <w:r>
        <w:t xml:space="preserve">This means Article 40’s presumption of conformity is unavailable. Article 41 common specifications have not been adopted. Every provider must complete the full Annex VI internal control assessment without shortcuts. The first wave of AI-specific notified body designations is expected in Q3 2026 —</w:t>
      </w:r>
      <w:r>
        <w:t xml:space="preserve"> </w:t>
      </w:r>
      <w:r>
        <w:rPr>
          <w:bCs/>
          <w:b/>
        </w:rPr>
        <w:t xml:space="preserve">after the deadline has passed</w:t>
      </w:r>
      <w:r>
        <w:t xml:space="preserve">. Enterprises are flying blind through the most consequential compliance event in technology regulation since GDPR. CEN-CENELEC JTC 21 standards are not expected until 2027-2028 at the earliest.</w:t>
      </w:r>
      <w:r>
        <w:t xml:space="preserve"> </w:t>
      </w:r>
      <w:r>
        <w:rPr>
          <w:vertAlign w:val="superscript"/>
        </w:rPr>
        <w:t xml:space="preserve">38</w:t>
      </w:r>
      <w:r>
        <w:t xml:space="preserve">&gt;</w:t>
      </w:r>
      <w:r>
        <w:t xml:space="preserve"> </w:t>
      </w:r>
      <w:r>
        <w:rPr>
          <w:iCs/>
          <w:i/>
        </w:rPr>
        <w:t xml:space="preserve">“</w:t>
      </w:r>
      <w:r>
        <w:rPr>
          <w:iCs/>
          <w:i/>
        </w:rPr>
        <w:t xml:space="preserve">Without that OJ reference, Art.40’s presumption of conformity never activates… This is a conformity assessment crisis for every team that was waiting on the shortcut.</w:t>
      </w:r>
      <w:r>
        <w:rPr>
          <w:iCs/>
          <w:i/>
        </w:rPr>
        <w:t xml:space="preserve">”</w:t>
      </w:r>
      <w:r>
        <w:t xml:space="preserve"> </w:t>
      </w:r>
      <w:r>
        <w:rPr>
          <w:vertAlign w:val="superscript"/>
        </w:rPr>
        <w:t xml:space="preserve">38</w:t>
      </w:r>
      <w:r>
        <w:t xml:space="preserve">### 4.2 78% Unprepared: The Enterprise Panic Index</w:t>
      </w:r>
    </w:p>
    <w:p>
      <w:pPr>
        <w:pStyle w:val="BodyText"/>
      </w:pPr>
      <w:r>
        <w:t xml:space="preserve">The compliance gap is not a marginal problem. It is a market-wide catastrophe measured in hard data.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Readiness Metric</w:t>
            </w:r>
          </w:p>
        </w:tc>
        <w:tc>
          <w:tcPr/>
          <w:p>
            <w:pPr>
              <w:pStyle w:val="Compact"/>
              <w:jc w:val="left"/>
            </w:pPr>
            <w:r>
              <w:t xml:space="preserve">Finding</w:t>
            </w:r>
          </w:p>
        </w:tc>
        <w:tc>
          <w:tcPr/>
          <w:p>
            <w:pPr>
              <w:pStyle w:val="Compact"/>
              <w:jc w:val="left"/>
            </w:pPr>
            <w:r>
              <w:t xml:space="preserve">Source</w:t>
            </w:r>
          </w:p>
        </w:tc>
      </w:tr>
      <w:tr>
        <w:tc>
          <w:tcPr/>
          <w:p>
            <w:pPr>
              <w:pStyle w:val="Compact"/>
              <w:jc w:val="left"/>
            </w:pPr>
            <w:r>
              <w:rPr>
                <w:bCs/>
                <w:b/>
              </w:rPr>
              <w:t xml:space="preserve">78% of enterprises</w:t>
            </w:r>
          </w:p>
        </w:tc>
        <w:tc>
          <w:tcPr/>
          <w:p>
            <w:pPr>
              <w:pStyle w:val="Compact"/>
              <w:jc w:val="left"/>
            </w:pPr>
            <w:r>
              <w:t xml:space="preserve">Have NOT taken meaningful steps toward AI Act compliance</w:t>
            </w:r>
          </w:p>
        </w:tc>
        <w:tc>
          <w:tcPr/>
          <w:p>
            <w:pPr>
              <w:pStyle w:val="Compact"/>
              <w:jc w:val="left"/>
            </w:pPr>
            <w:r>
              <w:t xml:space="preserve">Vision Compliance, April 2026</w:t>
            </w:r>
            <w:r>
              <w:t xml:space="preserve"> </w:t>
            </w:r>
            <w:r>
              <w:rPr>
                <w:vertAlign w:val="superscript"/>
              </w:rPr>
              <w:t xml:space="preserve">39</w:t>
            </w:r>
            <w:r>
              <w:t xml:space="preserve"> </w:t>
            </w:r>
            <w:r>
              <w:rPr>
                <w:vertAlign w:val="superscript"/>
              </w:rPr>
              <w:t xml:space="preserve">40</w:t>
            </w:r>
          </w:p>
        </w:tc>
      </w:tr>
      <w:tr>
        <w:tc>
          <w:tcPr/>
          <w:p>
            <w:pPr>
              <w:pStyle w:val="Compact"/>
              <w:jc w:val="left"/>
            </w:pPr>
            <w:r>
              <w:rPr>
                <w:bCs/>
                <w:b/>
              </w:rPr>
              <w:t xml:space="preserve">83% of organizations</w:t>
            </w:r>
          </w:p>
        </w:tc>
        <w:tc>
          <w:tcPr/>
          <w:p>
            <w:pPr>
              <w:pStyle w:val="Compact"/>
              <w:jc w:val="left"/>
            </w:pPr>
            <w:r>
              <w:t xml:space="preserve">Have NO formal inventory of AI systems they use or deploy</w:t>
            </w:r>
          </w:p>
        </w:tc>
        <w:tc>
          <w:tcPr/>
          <w:p>
            <w:pPr>
              <w:pStyle w:val="Compact"/>
              <w:jc w:val="left"/>
            </w:pPr>
            <w:r>
              <w:t xml:space="preserve">Vision Compliance</w:t>
            </w:r>
            <w:r>
              <w:t xml:space="preserve"> </w:t>
            </w:r>
            <w:r>
              <w:rPr>
                <w:vertAlign w:val="superscript"/>
              </w:rPr>
              <w:t xml:space="preserve">40</w:t>
            </w:r>
          </w:p>
        </w:tc>
      </w:tr>
      <w:tr>
        <w:tc>
          <w:tcPr/>
          <w:p>
            <w:pPr>
              <w:pStyle w:val="Compact"/>
              <w:jc w:val="left"/>
            </w:pPr>
            <w:r>
              <w:rPr>
                <w:bCs/>
                <w:b/>
              </w:rPr>
              <w:t xml:space="preserve">74% of organizations</w:t>
            </w:r>
          </w:p>
        </w:tc>
        <w:tc>
          <w:tcPr/>
          <w:p>
            <w:pPr>
              <w:pStyle w:val="Compact"/>
              <w:jc w:val="left"/>
            </w:pPr>
            <w:r>
              <w:t xml:space="preserve">Lack a designated internal owner or governance body for AI compliance</w:t>
            </w:r>
          </w:p>
        </w:tc>
        <w:tc>
          <w:tcPr/>
          <w:p>
            <w:pPr>
              <w:pStyle w:val="Compact"/>
              <w:jc w:val="left"/>
            </w:pPr>
            <w:r>
              <w:t xml:space="preserve">Vision Compliance</w:t>
            </w:r>
            <w:r>
              <w:t xml:space="preserve"> </w:t>
            </w:r>
            <w:r>
              <w:rPr>
                <w:vertAlign w:val="superscript"/>
              </w:rPr>
              <w:t xml:space="preserve">40</w:t>
            </w:r>
          </w:p>
        </w:tc>
      </w:tr>
      <w:tr>
        <w:tc>
          <w:tcPr/>
          <w:p>
            <w:pPr>
              <w:pStyle w:val="Compact"/>
              <w:jc w:val="left"/>
            </w:pPr>
            <w:r>
              <w:rPr>
                <w:bCs/>
                <w:b/>
              </w:rPr>
              <w:t xml:space="preserve">61% of organizations</w:t>
            </w:r>
          </w:p>
        </w:tc>
        <w:tc>
          <w:tcPr/>
          <w:p>
            <w:pPr>
              <w:pStyle w:val="Compact"/>
              <w:jc w:val="left"/>
            </w:pPr>
            <w:r>
              <w:t xml:space="preserve">Have NO process for generating technical documentation</w:t>
            </w:r>
          </w:p>
        </w:tc>
        <w:tc>
          <w:tcPr/>
          <w:p>
            <w:pPr>
              <w:pStyle w:val="Compact"/>
              <w:jc w:val="left"/>
            </w:pPr>
            <w:r>
              <w:t xml:space="preserve">Vision Compliance</w:t>
            </w:r>
            <w:r>
              <w:t xml:space="preserve"> </w:t>
            </w:r>
            <w:r>
              <w:rPr>
                <w:vertAlign w:val="superscript"/>
              </w:rPr>
              <w:t xml:space="preserve">40</w:t>
            </w:r>
          </w:p>
        </w:tc>
      </w:tr>
      <w:tr>
        <w:tc>
          <w:tcPr/>
          <w:p>
            <w:pPr>
              <w:pStyle w:val="Compact"/>
              <w:jc w:val="left"/>
            </w:pPr>
            <w:r>
              <w:rPr>
                <w:bCs/>
                <w:b/>
              </w:rPr>
              <w:t xml:space="preserve">73.8% of organizations</w:t>
            </w:r>
          </w:p>
        </w:tc>
        <w:tc>
          <w:tcPr/>
          <w:p>
            <w:pPr>
              <w:pStyle w:val="Compact"/>
              <w:jc w:val="left"/>
            </w:pPr>
            <w:r>
              <w:t xml:space="preserve">Have NOT started concrete compliance activities</w:t>
            </w:r>
          </w:p>
        </w:tc>
        <w:tc>
          <w:tcPr/>
          <w:p>
            <w:pPr>
              <w:pStyle w:val="Compact"/>
              <w:jc w:val="left"/>
            </w:pPr>
            <w:r>
              <w:t xml:space="preserve">Deloitte survey</w:t>
            </w:r>
            <w:r>
              <w:t xml:space="preserve"> </w:t>
            </w:r>
            <w:r>
              <w:rPr>
                <w:vertAlign w:val="superscript"/>
              </w:rPr>
              <w:t xml:space="preserve">41</w:t>
            </w:r>
          </w:p>
        </w:tc>
      </w:tr>
      <w:tr>
        <w:tc>
          <w:tcPr/>
          <w:p>
            <w:pPr>
              <w:pStyle w:val="Compact"/>
              <w:jc w:val="left"/>
            </w:pPr>
            <w:r>
              <w:rPr>
                <w:bCs/>
                <w:b/>
              </w:rPr>
              <w:t xml:space="preserve">64.3% of managers</w:t>
            </w:r>
          </w:p>
        </w:tc>
        <w:tc>
          <w:tcPr/>
          <w:p>
            <w:pPr>
              <w:pStyle w:val="Compact"/>
              <w:jc w:val="left"/>
            </w:pPr>
            <w:r>
              <w:t xml:space="preserve">Do NOT feel adequately prepared for EU AI Act compliance</w:t>
            </w:r>
          </w:p>
        </w:tc>
        <w:tc>
          <w:tcPr/>
          <w:p>
            <w:pPr>
              <w:pStyle w:val="Compact"/>
              <w:jc w:val="left"/>
            </w:pPr>
            <w:r>
              <w:t xml:space="preserve">Deloitte survey</w:t>
            </w:r>
            <w:r>
              <w:t xml:space="preserve"> </w:t>
            </w:r>
            <w:r>
              <w:rPr>
                <w:vertAlign w:val="superscript"/>
              </w:rPr>
              <w:t xml:space="preserve">41</w:t>
            </w:r>
          </w:p>
        </w:tc>
      </w:tr>
      <w:tr>
        <w:tc>
          <w:tcPr/>
          <w:p>
            <w:pPr>
              <w:pStyle w:val="Compact"/>
              <w:jc w:val="left"/>
            </w:pPr>
            <w:r>
              <w:rPr>
                <w:bCs/>
                <w:b/>
              </w:rPr>
              <w:t xml:space="preserve">~90% of product teams</w:t>
            </w:r>
          </w:p>
        </w:tc>
        <w:tc>
          <w:tcPr/>
          <w:p>
            <w:pPr>
              <w:pStyle w:val="Compact"/>
              <w:jc w:val="left"/>
            </w:pPr>
            <w:r>
              <w:t xml:space="preserve">Have misclassified their AI systems or assumed GDPR is enough</w:t>
            </w:r>
          </w:p>
        </w:tc>
        <w:tc>
          <w:tcPr/>
          <w:p>
            <w:pPr>
              <w:pStyle w:val="Compact"/>
              <w:jc w:val="left"/>
            </w:pPr>
            <w:r>
              <w:t xml:space="preserve">Product Leaders Day India</w:t>
            </w:r>
            <w:r>
              <w:t xml:space="preserve"> </w:t>
            </w:r>
            <w:r>
              <w:rPr>
                <w:vertAlign w:val="superscript"/>
              </w:rPr>
              <w:t xml:space="preserve">29</w:t>
            </w:r>
          </w:p>
        </w:tc>
      </w:tr>
      <w:tr>
        <w:tc>
          <w:tcPr/>
          <w:p>
            <w:pPr>
              <w:pStyle w:val="Compact"/>
              <w:jc w:val="left"/>
            </w:pPr>
            <w:r>
              <w:rPr>
                <w:bCs/>
                <w:b/>
              </w:rPr>
              <w:t xml:space="preserve">&gt;50% of organizations</w:t>
            </w:r>
          </w:p>
        </w:tc>
        <w:tc>
          <w:tcPr/>
          <w:p>
            <w:pPr>
              <w:pStyle w:val="Compact"/>
              <w:jc w:val="left"/>
            </w:pPr>
            <w:r>
              <w:t xml:space="preserve">Lack systematic inventories of AI systems in production</w:t>
            </w:r>
          </w:p>
        </w:tc>
        <w:tc>
          <w:tcPr/>
          <w:p>
            <w:pPr>
              <w:pStyle w:val="Compact"/>
              <w:jc w:val="left"/>
            </w:pPr>
            <w:r>
              <w:t xml:space="preserve">Cloud Security Alliance</w:t>
            </w:r>
            <w:r>
              <w:t xml:space="preserve"> </w:t>
            </w:r>
            <w:r>
              <w:rPr>
                <w:vertAlign w:val="superscript"/>
              </w:rPr>
              <w:t xml:space="preserve">42</w:t>
            </w:r>
          </w:p>
        </w:tc>
      </w:tr>
    </w:tbl>
    <w:p>
      <w:pPr>
        <w:pStyle w:val="BodyText"/>
      </w:pPr>
      <w:r>
        <w:rPr>
          <w:bCs/>
          <w:b/>
        </w:rPr>
        <w:t xml:space="preserve">Analytical interpretation:</w:t>
      </w:r>
      <w:r>
        <w:t xml:space="preserve"> </w:t>
      </w:r>
      <w:r>
        <w:t xml:space="preserve">These eight metrics reveal a market in pre-panic stasis. The vast majority of enterprises know the deadline exists but have taken no operational action. The 83% figure — organizations with no AI system inventory — is particularly damning:</w:t>
      </w:r>
      <w:r>
        <w:t xml:space="preserve"> </w:t>
      </w:r>
      <w:r>
        <w:rPr>
          <w:bCs/>
          <w:b/>
        </w:rPr>
        <w:t xml:space="preserve">you cannot comply with what you cannot see</w:t>
      </w:r>
      <w:r>
        <w:t xml:space="preserve">. Enterprises do not know which of their systems qualify as high-risk under Annex III. They do not know how many systems require technical documentation. They do not know where their compliance exposure lives.</w:t>
      </w:r>
    </w:p>
    <w:p>
      <w:pPr>
        <w:pStyle w:val="BodyText"/>
      </w:pPr>
      <w:r>
        <w:t xml:space="preserve">The cost dimension drives the panic. For every high-risk AI system, providers must complete ten discrete regulatory deliverables: Article 9 risk management systems, Article 10 data governance protocols, Article 11 + Annex IV technical documentation (80-200 pages requiring 4-8 weeks of engineering and legal time), Article 12 automatic logging with decision-level audit trails retained for six months, Article 13 transparency documentation, Article 14 human oversight workflows with meaningful review documentation, Article 15 accuracy and robustness validation, Article 47 EU Declaration of Conformity, Article 48 CE marking, and Article 71 EU database registration.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Compliance Cost Segment</w:t>
            </w:r>
          </w:p>
        </w:tc>
        <w:tc>
          <w:tcPr/>
          <w:p>
            <w:pPr>
              <w:pStyle w:val="Compact"/>
              <w:jc w:val="left"/>
            </w:pPr>
            <w:r>
              <w:t xml:space="preserve">Initial Investment</w:t>
            </w:r>
          </w:p>
        </w:tc>
        <w:tc>
          <w:tcPr/>
          <w:p>
            <w:pPr>
              <w:pStyle w:val="Compact"/>
              <w:jc w:val="left"/>
            </w:pPr>
            <w:r>
              <w:t xml:space="preserve">Annual Ongoing</w:t>
            </w:r>
          </w:p>
        </w:tc>
        <w:tc>
          <w:tcPr/>
          <w:p>
            <w:pPr>
              <w:pStyle w:val="Compact"/>
              <w:jc w:val="left"/>
            </w:pPr>
            <w:r>
              <w:t xml:space="preserve">Source</w:t>
            </w:r>
          </w:p>
        </w:tc>
      </w:tr>
      <w:tr>
        <w:tc>
          <w:tcPr/>
          <w:p>
            <w:pPr>
              <w:pStyle w:val="Compact"/>
              <w:jc w:val="left"/>
            </w:pPr>
            <w:r>
              <w:rPr>
                <w:bCs/>
                <w:b/>
              </w:rPr>
              <w:t xml:space="preserve">Large enterprises</w:t>
            </w:r>
          </w:p>
        </w:tc>
        <w:tc>
          <w:tcPr/>
          <w:p>
            <w:pPr>
              <w:pStyle w:val="Compact"/>
              <w:jc w:val="left"/>
            </w:pPr>
            <w:r>
              <w:rPr>
                <w:bCs/>
                <w:b/>
              </w:rPr>
              <w:t xml:space="preserve">$8-15 million</w:t>
            </w:r>
          </w:p>
        </w:tc>
        <w:tc>
          <w:tcPr/>
          <w:p>
            <w:pPr>
              <w:pStyle w:val="Compact"/>
              <w:jc w:val="left"/>
            </w:pPr>
            <w:r>
              <w:rPr>
                <w:bCs/>
                <w:b/>
              </w:rPr>
              <w:t xml:space="preserve">$1-5 million/year</w:t>
            </w:r>
          </w:p>
        </w:tc>
        <w:tc>
          <w:tcPr/>
          <w:p>
            <w:pPr>
              <w:pStyle w:val="Compact"/>
              <w:jc w:val="left"/>
            </w:pPr>
            <w:r>
              <w:t xml:space="preserve">Cloud Security Alliance</w:t>
            </w:r>
            <w:r>
              <w:t xml:space="preserve"> </w:t>
            </w:r>
            <w:r>
              <w:rPr>
                <w:vertAlign w:val="superscript"/>
              </w:rPr>
              <w:t xml:space="preserve">42</w:t>
            </w:r>
          </w:p>
        </w:tc>
      </w:tr>
      <w:tr>
        <w:tc>
          <w:tcPr/>
          <w:p>
            <w:pPr>
              <w:pStyle w:val="Compact"/>
              <w:jc w:val="left"/>
            </w:pPr>
            <w:r>
              <w:rPr>
                <w:bCs/>
                <w:b/>
              </w:rPr>
              <w:t xml:space="preserve">Mid-size organizations</w:t>
            </w:r>
          </w:p>
        </w:tc>
        <w:tc>
          <w:tcPr/>
          <w:p>
            <w:pPr>
              <w:pStyle w:val="Compact"/>
              <w:jc w:val="left"/>
            </w:pPr>
            <w:r>
              <w:rPr>
                <w:bCs/>
                <w:b/>
              </w:rPr>
              <w:t xml:space="preserve">$2-5 million</w:t>
            </w:r>
          </w:p>
        </w:tc>
        <w:tc>
          <w:tcPr/>
          <w:p>
            <w:pPr>
              <w:pStyle w:val="Compact"/>
              <w:jc w:val="left"/>
            </w:pPr>
            <w:r>
              <w:rPr>
                <w:bCs/>
                <w:b/>
              </w:rPr>
              <w:t xml:space="preserve">$500K-2M/year</w:t>
            </w:r>
          </w:p>
        </w:tc>
        <w:tc>
          <w:tcPr/>
          <w:p>
            <w:pPr>
              <w:pStyle w:val="Compact"/>
              <w:jc w:val="left"/>
            </w:pPr>
            <w:r>
              <w:t xml:space="preserve">Cloud Security Alliance</w:t>
            </w:r>
            <w:r>
              <w:t xml:space="preserve"> </w:t>
            </w:r>
            <w:r>
              <w:rPr>
                <w:vertAlign w:val="superscript"/>
              </w:rPr>
              <w:t xml:space="preserve">42</w:t>
            </w:r>
          </w:p>
        </w:tc>
      </w:tr>
      <w:tr>
        <w:tc>
          <w:tcPr/>
          <w:p>
            <w:pPr>
              <w:pStyle w:val="Compact"/>
              <w:jc w:val="left"/>
            </w:pPr>
            <w:r>
              <w:rPr>
                <w:bCs/>
                <w:b/>
              </w:rPr>
              <w:t xml:space="preserve">Per high-risk AI system</w:t>
            </w:r>
          </w:p>
        </w:tc>
        <w:tc>
          <w:tcPr/>
          <w:p>
            <w:pPr>
              <w:pStyle w:val="Compact"/>
              <w:jc w:val="left"/>
            </w:pPr>
            <w:r>
              <w:rPr>
                <w:bCs/>
                <w:b/>
              </w:rPr>
              <w:t xml:space="preserve">~EUR 50,000+</w:t>
            </w:r>
          </w:p>
        </w:tc>
        <w:tc>
          <w:tcPr/>
          <w:p>
            <w:pPr>
              <w:pStyle w:val="Compact"/>
              <w:jc w:val="left"/>
            </w:pPr>
            <w:r>
              <w:rPr>
                <w:bCs/>
                <w:b/>
              </w:rPr>
              <w:t xml:space="preserve">~EUR 29,277/year</w:t>
            </w:r>
          </w:p>
        </w:tc>
        <w:tc>
          <w:tcPr/>
          <w:p>
            <w:pPr>
              <w:pStyle w:val="Compact"/>
              <w:jc w:val="left"/>
            </w:pPr>
            <w:r>
              <w:t xml:space="preserve">2021.AI analysis</w:t>
            </w:r>
            <w:r>
              <w:t xml:space="preserve"> </w:t>
            </w:r>
            <w:r>
              <w:rPr>
                <w:vertAlign w:val="superscript"/>
              </w:rPr>
              <w:t xml:space="preserve">43</w:t>
            </w:r>
          </w:p>
        </w:tc>
      </w:tr>
      <w:tr>
        <w:tc>
          <w:tcPr/>
          <w:p>
            <w:pPr>
              <w:pStyle w:val="Compact"/>
              <w:jc w:val="left"/>
            </w:pPr>
            <w:r>
              <w:rPr>
                <w:bCs/>
                <w:b/>
              </w:rPr>
              <w:t xml:space="preserve">Deloitte AI audit (Big 4)</w:t>
            </w:r>
          </w:p>
        </w:tc>
        <w:tc>
          <w:tcPr/>
          <w:p>
            <w:pPr>
              <w:pStyle w:val="Compact"/>
              <w:jc w:val="left"/>
            </w:pPr>
            <w:r>
              <w:rPr>
                <w:bCs/>
                <w:b/>
              </w:rPr>
              <w:t xml:space="preserve">$50,000-$400,000+</w:t>
            </w:r>
          </w:p>
        </w:tc>
        <w:tc>
          <w:tcPr/>
          <w:p>
            <w:pPr>
              <w:pStyle w:val="Compact"/>
              <w:jc w:val="left"/>
            </w:pPr>
            <w:r>
              <w:t xml:space="preserve">Per engagement</w:t>
            </w:r>
          </w:p>
        </w:tc>
        <w:tc>
          <w:tcPr/>
          <w:p>
            <w:pPr>
              <w:pStyle w:val="Compact"/>
              <w:jc w:val="left"/>
            </w:pPr>
            <w:r>
              <w:t xml:space="preserve">Deloitte pricing</w:t>
            </w:r>
            <w:r>
              <w:t xml:space="preserve"> </w:t>
            </w:r>
            <w:r>
              <w:rPr>
                <w:vertAlign w:val="superscript"/>
              </w:rPr>
              <w:t xml:space="preserve">44</w:t>
            </w:r>
          </w:p>
        </w:tc>
      </w:tr>
      <w:tr>
        <w:tc>
          <w:tcPr/>
          <w:p>
            <w:pPr>
              <w:pStyle w:val="Compact"/>
              <w:jc w:val="left"/>
            </w:pPr>
            <w:r>
              <w:rPr>
                <w:bCs/>
                <w:b/>
              </w:rPr>
              <w:t xml:space="preserve">Third-party conformity assessment</w:t>
            </w:r>
          </w:p>
        </w:tc>
        <w:tc>
          <w:tcPr/>
          <w:p>
            <w:pPr>
              <w:pStyle w:val="Compact"/>
              <w:jc w:val="left"/>
            </w:pPr>
            <w:r>
              <w:rPr>
                <w:bCs/>
                <w:b/>
              </w:rPr>
              <w:t xml:space="preserve">EUR 20,000-80,000</w:t>
            </w:r>
          </w:p>
        </w:tc>
        <w:tc>
          <w:tcPr/>
          <w:p>
            <w:pPr>
              <w:pStyle w:val="Compact"/>
              <w:jc w:val="left"/>
            </w:pPr>
            <w:r>
              <w:t xml:space="preserve">Per assessment</w:t>
            </w:r>
          </w:p>
        </w:tc>
        <w:tc>
          <w:tcPr/>
          <w:p>
            <w:pPr>
              <w:pStyle w:val="Compact"/>
              <w:jc w:val="left"/>
            </w:pPr>
            <w:r>
              <w:t xml:space="preserve">Notified body fees</w:t>
            </w:r>
            <w:r>
              <w:t xml:space="preserve"> </w:t>
            </w:r>
            <w:r>
              <w:rPr>
                <w:vertAlign w:val="superscript"/>
              </w:rPr>
              <w:t xml:space="preserve">45</w:t>
            </w:r>
          </w:p>
        </w:tc>
      </w:tr>
      <w:tr>
        <w:tc>
          <w:tcPr/>
          <w:p>
            <w:pPr>
              <w:pStyle w:val="Compact"/>
              <w:jc w:val="left"/>
            </w:pPr>
            <w:r>
              <w:rPr>
                <w:bCs/>
                <w:b/>
              </w:rPr>
              <w:t xml:space="preserve">Specialist consulting</w:t>
            </w:r>
          </w:p>
        </w:tc>
        <w:tc>
          <w:tcPr/>
          <w:p>
            <w:pPr>
              <w:pStyle w:val="Compact"/>
              <w:jc w:val="left"/>
            </w:pPr>
            <w:r>
              <w:rPr>
                <w:bCs/>
                <w:b/>
              </w:rPr>
              <w:t xml:space="preserve">$1,200-$2,800/day</w:t>
            </w:r>
          </w:p>
        </w:tc>
        <w:tc>
          <w:tcPr/>
          <w:p>
            <w:pPr>
              <w:pStyle w:val="Compact"/>
              <w:jc w:val="left"/>
            </w:pPr>
            <w:r>
              <w:t xml:space="preserve">Per consultant</w:t>
            </w:r>
          </w:p>
        </w:tc>
        <w:tc>
          <w:tcPr/>
          <w:p>
            <w:pPr>
              <w:pStyle w:val="Compact"/>
              <w:jc w:val="left"/>
            </w:pPr>
            <w:r>
              <w:t xml:space="preserve">Alicelabs analysis</w:t>
            </w:r>
            <w:r>
              <w:t xml:space="preserve"> </w:t>
            </w:r>
            <w:r>
              <w:rPr>
                <w:vertAlign w:val="superscript"/>
              </w:rPr>
              <w:t xml:space="preserve">46</w:t>
            </w:r>
          </w:p>
        </w:tc>
      </w:tr>
    </w:tbl>
    <w:p>
      <w:pPr>
        <w:pStyle w:val="BodyText"/>
      </w:pPr>
      <w:r>
        <w:t xml:space="preserve">The AI governance market is valued at approximately $419 million in 2026 and projected to reach</w:t>
      </w:r>
      <w:r>
        <w:t xml:space="preserve"> </w:t>
      </w:r>
      <w:r>
        <w:rPr>
          <w:bCs/>
          <w:b/>
        </w:rPr>
        <w:t xml:space="preserve">$5.9 billion by 2035</w:t>
      </w:r>
      <w:r>
        <w:t xml:space="preserve"> </w:t>
      </w:r>
      <w:r>
        <w:t xml:space="preserve">at a 34.27% CAGR.</w:t>
      </w:r>
      <w:r>
        <w:t xml:space="preserve"> </w:t>
      </w:r>
      <w:r>
        <w:rPr>
          <w:vertAlign w:val="superscript"/>
        </w:rPr>
        <w:t xml:space="preserve">47</w:t>
      </w:r>
      <w:r>
        <w:t xml:space="preserve">The EU AI regulation compliance market alone could reach</w:t>
      </w:r>
      <w:r>
        <w:t xml:space="preserve"> </w:t>
      </w:r>
      <w:r>
        <w:rPr>
          <w:bCs/>
          <w:b/>
        </w:rPr>
        <w:t xml:space="preserve">EUR 17-38 billion by 2030</w:t>
      </w:r>
      <w:r>
        <w:t xml:space="preserve">.</w:t>
      </w:r>
      <w:r>
        <w:t xml:space="preserve"> </w:t>
      </w:r>
      <w:r>
        <w:rPr>
          <w:vertAlign w:val="superscript"/>
        </w:rPr>
        <w:t xml:space="preserve">43</w:t>
      </w:r>
      <w:r>
        <w:t xml:space="preserve">This is not a niche. This is the largest regulatory-driven technology spending event in a decade — and 78% of the market is scrambling for a solution that does not yet exist in their procurement pipeline.</w:t>
      </w:r>
    </w:p>
    <w:bookmarkEnd w:id="38"/>
    <w:bookmarkStart w:id="39" w:name="competitor-readiness-universal-failure"/>
    <w:p>
      <w:pPr>
        <w:pStyle w:val="Heading3"/>
      </w:pPr>
      <w:r>
        <w:t xml:space="preserve">4.3 Competitor Readiness: Universal Failure</w:t>
      </w:r>
    </w:p>
    <w:p>
      <w:pPr>
        <w:pStyle w:val="FirstParagraph"/>
      </w:pPr>
      <w:r>
        <w:t xml:space="preserve">The competitive landscape for EU AI Act compliance is a graveyard of partial solutions, bolt-on modules, and consultancies dressed as software. No competitor offers true automated compliance. None offer 48-hour deployment. None solve the harmonized standards crisis. The following table documents the readiness state of every relevant competitor as of June 2026: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EU AI Act Solution?</w:t>
            </w:r>
          </w:p>
        </w:tc>
        <w:tc>
          <w:tcPr/>
          <w:p>
            <w:pPr>
              <w:pStyle w:val="Compact"/>
              <w:jc w:val="left"/>
            </w:pPr>
            <w:r>
              <w:t xml:space="preserve">Implementation Timeline</w:t>
            </w:r>
          </w:p>
        </w:tc>
        <w:tc>
          <w:tcPr/>
          <w:p>
            <w:pPr>
              <w:pStyle w:val="Compact"/>
              <w:jc w:val="left"/>
            </w:pPr>
            <w:r>
              <w:t xml:space="preserve">Annual Cost</w:t>
            </w:r>
          </w:p>
        </w:tc>
        <w:tc>
          <w:tcPr/>
          <w:p>
            <w:pPr>
              <w:pStyle w:val="Compact"/>
              <w:jc w:val="left"/>
            </w:pPr>
            <w:r>
              <w:t xml:space="preserve">Critical Gaps</w:t>
            </w:r>
          </w:p>
        </w:tc>
      </w:tr>
      <w:tr>
        <w:tc>
          <w:tcPr/>
          <w:p>
            <w:pPr>
              <w:pStyle w:val="Compact"/>
              <w:jc w:val="left"/>
            </w:pPr>
            <w:r>
              <w:rPr>
                <w:bCs/>
                <w:b/>
              </w:rPr>
              <w:t xml:space="preserve">OneTrust</w:t>
            </w:r>
          </w:p>
        </w:tc>
        <w:tc>
          <w:tcPr/>
          <w:p>
            <w:pPr>
              <w:pStyle w:val="Compact"/>
              <w:jc w:val="left"/>
            </w:pPr>
            <w:r>
              <w:t xml:space="preserve">Bolt-on GRC module</w:t>
            </w:r>
          </w:p>
        </w:tc>
        <w:tc>
          <w:tcPr/>
          <w:p>
            <w:pPr>
              <w:pStyle w:val="Compact"/>
              <w:jc w:val="left"/>
            </w:pPr>
            <w:r>
              <w:t xml:space="preserve">4-12 weeks professional services</w:t>
            </w:r>
          </w:p>
        </w:tc>
        <w:tc>
          <w:tcPr/>
          <w:p>
            <w:pPr>
              <w:pStyle w:val="Compact"/>
              <w:jc w:val="left"/>
            </w:pPr>
            <w:r>
              <w:t xml:space="preserve">$50K-$300K+</w:t>
            </w:r>
            <w:r>
              <w:t xml:space="preserve"> </w:t>
            </w:r>
            <w:r>
              <w:rPr>
                <w:vertAlign w:val="superscript"/>
              </w:rPr>
              <w:t xml:space="preserve">48</w:t>
            </w:r>
            <w:r>
              <w:t xml:space="preserve"> </w:t>
            </w:r>
            <w:r>
              <w:rPr>
                <w:vertAlign w:val="superscript"/>
              </w:rPr>
              <w:t xml:space="preserve">49</w:t>
            </w:r>
          </w:p>
        </w:tc>
        <w:tc>
          <w:tcPr/>
          <w:p>
            <w:pPr>
              <w:pStyle w:val="Compact"/>
              <w:jc w:val="left"/>
            </w:pPr>
            <w:r>
              <w:t xml:space="preserve">No automated bias auditing; audit trail at document-level only; no self-serve</w:t>
            </w:r>
          </w:p>
        </w:tc>
      </w:tr>
      <w:tr>
        <w:tc>
          <w:tcPr/>
          <w:p>
            <w:pPr>
              <w:pStyle w:val="Compact"/>
              <w:jc w:val="left"/>
            </w:pPr>
            <w:r>
              <w:rPr>
                <w:bCs/>
                <w:b/>
              </w:rPr>
              <w:t xml:space="preserve">IBM Watsonx.governance</w:t>
            </w:r>
          </w:p>
        </w:tc>
        <w:tc>
          <w:tcPr/>
          <w:p>
            <w:pPr>
              <w:pStyle w:val="Compact"/>
              <w:jc w:val="left"/>
            </w:pPr>
            <w:r>
              <w:t xml:space="preserve">MLOps overlay</w:t>
            </w:r>
          </w:p>
        </w:tc>
        <w:tc>
          <w:tcPr/>
          <w:p>
            <w:pPr>
              <w:pStyle w:val="Compact"/>
              <w:jc w:val="left"/>
            </w:pPr>
            <w:r>
              <w:t xml:space="preserve">12-16 weeks</w:t>
            </w:r>
          </w:p>
        </w:tc>
        <w:tc>
          <w:tcPr/>
          <w:p>
            <w:pPr>
              <w:pStyle w:val="Compact"/>
              <w:jc w:val="left"/>
            </w:pPr>
            <w:r>
              <w:t xml:space="preserve">$300K+/year</w:t>
            </w:r>
            <w:r>
              <w:t xml:space="preserve"> </w:t>
            </w:r>
            <w:r>
              <w:rPr>
                <w:vertAlign w:val="superscript"/>
              </w:rPr>
              <w:t xml:space="preserve">50</w:t>
            </w:r>
          </w:p>
        </w:tc>
        <w:tc>
          <w:tcPr/>
          <w:p>
            <w:pPr>
              <w:pStyle w:val="Compact"/>
              <w:jc w:val="left"/>
            </w:pPr>
            <w:r>
              <w:t xml:space="preserve">Requires IBM ecosystem; audit trail at model-level, not per-inference</w:t>
            </w:r>
          </w:p>
        </w:tc>
      </w:tr>
      <w:tr>
        <w:tc>
          <w:tcPr/>
          <w:p>
            <w:pPr>
              <w:pStyle w:val="Compact"/>
              <w:jc w:val="left"/>
            </w:pPr>
            <w:r>
              <w:rPr>
                <w:bCs/>
                <w:b/>
              </w:rPr>
              <w:t xml:space="preserve">ServiceNow AI Control Tower</w:t>
            </w:r>
          </w:p>
        </w:tc>
        <w:tc>
          <w:tcPr/>
          <w:p>
            <w:pPr>
              <w:pStyle w:val="Compact"/>
              <w:jc w:val="left"/>
            </w:pPr>
            <w:r>
              <w:t xml:space="preserve">GRC retrofit</w:t>
            </w:r>
          </w:p>
        </w:tc>
        <w:tc>
          <w:tcPr/>
          <w:p>
            <w:pPr>
              <w:pStyle w:val="Compact"/>
              <w:jc w:val="left"/>
            </w:pPr>
            <w:r>
              <w:t xml:space="preserve">4-12 weeks</w:t>
            </w:r>
          </w:p>
        </w:tc>
        <w:tc>
          <w:tcPr/>
          <w:p>
            <w:pPr>
              <w:pStyle w:val="Compact"/>
              <w:jc w:val="left"/>
            </w:pPr>
            <w:r>
              <w:t xml:space="preserve">$25K+/month</w:t>
            </w:r>
          </w:p>
        </w:tc>
        <w:tc>
          <w:tcPr/>
          <w:p>
            <w:pPr>
              <w:pStyle w:val="Compact"/>
              <w:jc w:val="left"/>
            </w:pPr>
            <w:r>
              <w:t xml:space="preserve">Partial Art. 12 logging; requires full ServiceNow GRC commitment</w:t>
            </w:r>
          </w:p>
        </w:tc>
      </w:tr>
      <w:tr>
        <w:tc>
          <w:tcPr/>
          <w:p>
            <w:pPr>
              <w:pStyle w:val="Compact"/>
              <w:jc w:val="left"/>
            </w:pPr>
            <w:r>
              <w:rPr>
                <w:bCs/>
                <w:b/>
              </w:rPr>
              <w:t xml:space="preserve">Credo AI</w:t>
            </w:r>
          </w:p>
        </w:tc>
        <w:tc>
          <w:tcPr/>
          <w:p>
            <w:pPr>
              <w:pStyle w:val="Compact"/>
              <w:jc w:val="left"/>
            </w:pPr>
            <w:r>
              <w:t xml:space="preserve">AI-native governance</w:t>
            </w:r>
          </w:p>
        </w:tc>
        <w:tc>
          <w:tcPr/>
          <w:p>
            <w:pPr>
              <w:pStyle w:val="Compact"/>
              <w:jc w:val="left"/>
            </w:pPr>
            <w:r>
              <w:t xml:space="preserve">8-12 weeks sales + deployment</w:t>
            </w:r>
          </w:p>
        </w:tc>
        <w:tc>
          <w:tcPr/>
          <w:p>
            <w:pPr>
              <w:pStyle w:val="Compact"/>
              <w:jc w:val="left"/>
            </w:pPr>
            <w:r>
              <w:t xml:space="preserve">$100K+/year</w:t>
            </w:r>
            <w:r>
              <w:t xml:space="preserve"> </w:t>
            </w:r>
            <w:r>
              <w:rPr>
                <w:vertAlign w:val="superscript"/>
              </w:rPr>
              <w:t xml:space="preserve">51</w:t>
            </w:r>
            <w:r>
              <w:t xml:space="preserve"> </w:t>
            </w:r>
            <w:r>
              <w:rPr>
                <w:vertAlign w:val="superscript"/>
              </w:rPr>
              <w:t xml:space="preserve">52</w:t>
            </w:r>
          </w:p>
        </w:tc>
        <w:tc>
          <w:tcPr/>
          <w:p>
            <w:pPr>
              <w:pStyle w:val="Compact"/>
              <w:jc w:val="left"/>
            </w:pPr>
            <w:r>
              <w:t xml:space="preserve">Enterprise-only; closed-source scoring; no Shadow AI monitoring</w:t>
            </w:r>
          </w:p>
        </w:tc>
      </w:tr>
      <w:tr>
        <w:tc>
          <w:tcPr/>
          <w:p>
            <w:pPr>
              <w:pStyle w:val="Compact"/>
              <w:jc w:val="left"/>
            </w:pPr>
            <w:r>
              <w:rPr>
                <w:bCs/>
                <w:b/>
              </w:rPr>
              <w:t xml:space="preserve">Holistic AI</w:t>
            </w:r>
          </w:p>
        </w:tc>
        <w:tc>
          <w:tcPr/>
          <w:p>
            <w:pPr>
              <w:pStyle w:val="Compact"/>
              <w:jc w:val="left"/>
            </w:pPr>
            <w:r>
              <w:t xml:space="preserve">Auditing + platform</w:t>
            </w:r>
          </w:p>
        </w:tc>
        <w:tc>
          <w:tcPr/>
          <w:p>
            <w:pPr>
              <w:pStyle w:val="Compact"/>
              <w:jc w:val="left"/>
            </w:pPr>
            <w:r>
              <w:t xml:space="preserve">4-8 weeks engagement</w:t>
            </w:r>
          </w:p>
        </w:tc>
        <w:tc>
          <w:tcPr/>
          <w:p>
            <w:pPr>
              <w:pStyle w:val="Compact"/>
              <w:jc w:val="left"/>
            </w:pPr>
            <w:r>
              <w:t xml:space="preserve">$1K-$5K/month</w:t>
            </w:r>
            <w:r>
              <w:t xml:space="preserve"> </w:t>
            </w:r>
            <w:r>
              <w:rPr>
                <w:vertAlign w:val="superscript"/>
              </w:rPr>
              <w:t xml:space="preserve">53</w:t>
            </w:r>
            <w:r>
              <w:t xml:space="preserve"> </w:t>
            </w:r>
            <w:r>
              <w:rPr>
                <w:vertAlign w:val="superscript"/>
              </w:rPr>
              <w:t xml:space="preserve">50</w:t>
            </w:r>
          </w:p>
        </w:tc>
        <w:tc>
          <w:tcPr/>
          <w:p>
            <w:pPr>
              <w:pStyle w:val="Compact"/>
              <w:jc w:val="left"/>
            </w:pPr>
            <w:r>
              <w:t xml:space="preserve">Primarily consulting service; no self-serve; custom-quoted</w:t>
            </w:r>
          </w:p>
        </w:tc>
      </w:tr>
      <w:tr>
        <w:tc>
          <w:tcPr/>
          <w:p>
            <w:pPr>
              <w:pStyle w:val="Compact"/>
              <w:jc w:val="left"/>
            </w:pPr>
            <w:r>
              <w:rPr>
                <w:bCs/>
                <w:b/>
              </w:rPr>
              <w:t xml:space="preserve">Microsoft Purview</w:t>
            </w:r>
          </w:p>
        </w:tc>
        <w:tc>
          <w:tcPr/>
          <w:p>
            <w:pPr>
              <w:pStyle w:val="Compact"/>
              <w:jc w:val="left"/>
            </w:pPr>
            <w:r>
              <w:t xml:space="preserve">Infrastructure-native</w:t>
            </w:r>
          </w:p>
        </w:tc>
        <w:tc>
          <w:tcPr/>
          <w:p>
            <w:pPr>
              <w:pStyle w:val="Compact"/>
              <w:jc w:val="left"/>
            </w:pPr>
            <w:r>
              <w:t xml:space="preserve">12-16 weeks + consulting</w:t>
            </w:r>
          </w:p>
        </w:tc>
        <w:tc>
          <w:tcPr/>
          <w:p>
            <w:pPr>
              <w:pStyle w:val="Compact"/>
              <w:jc w:val="left"/>
            </w:pPr>
            <m:oMath>
              <m:r>
                <m:t>3.3</m:t>
              </m:r>
              <m:r>
                <m:t>M</m:t>
              </m:r>
              <m:r>
                <m:t>Y</m:t>
              </m:r>
              <m:r>
                <m:t>e</m:t>
              </m:r>
              <m:r>
                <m:t>a</m:t>
              </m:r>
              <m:r>
                <m:t>r</m:t>
              </m:r>
              <m:sSup>
                <m:e>
                  <m:r>
                    <m:t>1</m:t>
                  </m:r>
                </m:e>
                <m:sup>
                  <m:sSup>
                    <m:e>
                      <m:r>
                        <m:t>37</m:t>
                      </m:r>
                    </m:e>
                    <m:sup>
                      <m:d>
                        <m:dPr>
                          <m:begChr m:val="|"/>
                          <m:endChr m:val="|"/>
                          <m:sepChr m:val=""/>
                          <m:grow/>
                        </m:dPr>
                        <m:e>
                          <m:r>
                            <m:t>R</m:t>
                          </m:r>
                          <m:r>
                            <m:t>e</m:t>
                          </m:r>
                          <m:r>
                            <m:t>q</m:t>
                          </m:r>
                          <m:r>
                            <m:t>u</m:t>
                          </m:r>
                          <m:r>
                            <m:t>i</m:t>
                          </m:r>
                          <m:r>
                            <m:t>r</m:t>
                          </m:r>
                          <m:r>
                            <m:t>e</m:t>
                          </m:r>
                          <m:r>
                            <m:t>s</m:t>
                          </m:r>
                          <m:r>
                            <m:t>E</m:t>
                          </m:r>
                          <m:r>
                            <m:t>5</m:t>
                          </m:r>
                          <m:r>
                            <m:rPr>
                              <m:sty m:val="p"/>
                            </m:rPr>
                            <m:t>/</m:t>
                          </m:r>
                          <m:r>
                            <m:t>P</m:t>
                          </m:r>
                          <m:r>
                            <m:t>u</m:t>
                          </m:r>
                          <m:r>
                            <m:t>r</m:t>
                          </m:r>
                          <m:r>
                            <m:t>v</m:t>
                          </m:r>
                          <m:r>
                            <m:t>i</m:t>
                          </m:r>
                          <m:r>
                            <m:t>e</m:t>
                          </m:r>
                          <m:r>
                            <m:t>w</m:t>
                          </m:r>
                          <m:r>
                            <m:t>P</m:t>
                          </m:r>
                          <m:r>
                            <m:t>r</m:t>
                          </m:r>
                          <m:r>
                            <m:t>e</m:t>
                          </m:r>
                          <m:r>
                            <m:t>m</m:t>
                          </m:r>
                          <m:r>
                            <m:t>i</m:t>
                          </m:r>
                          <m:r>
                            <m:t>u</m:t>
                          </m:r>
                          <m:r>
                            <m:t>m</m:t>
                          </m:r>
                          <m:r>
                            <m:rPr>
                              <m:sty m:val="p"/>
                            </m:rPr>
                            <m:t>;</m:t>
                          </m:r>
                          <m:r>
                            <m:t>c</m:t>
                          </m:r>
                          <m:r>
                            <m:t>o</m:t>
                          </m:r>
                          <m:r>
                            <m:t>n</m:t>
                          </m:r>
                          <m:r>
                            <m:t>s</m:t>
                          </m:r>
                          <m:r>
                            <m:t>u</m:t>
                          </m:r>
                          <m:r>
                            <m:t>l</m:t>
                          </m:r>
                          <m:r>
                            <m:t>t</m:t>
                          </m:r>
                          <m:r>
                            <m:t>i</m:t>
                          </m:r>
                          <m:r>
                            <m:t>n</m:t>
                          </m:r>
                          <m:r>
                            <m:t>g</m:t>
                          </m:r>
                          <m:r>
                            <m:rPr>
                              <m:sty m:val="p"/>
                            </m:rPr>
                            <m:t>−</m:t>
                          </m:r>
                          <m:r>
                            <m:t>d</m:t>
                          </m:r>
                          <m:r>
                            <m:t>e</m:t>
                          </m:r>
                          <m:r>
                            <m:t>p</m:t>
                          </m:r>
                          <m:r>
                            <m:t>e</m:t>
                          </m:r>
                          <m:r>
                            <m:t>n</m:t>
                          </m:r>
                          <m:r>
                            <m:t>d</m:t>
                          </m:r>
                          <m:r>
                            <m:t>e</m:t>
                          </m:r>
                          <m:r>
                            <m:t>n</m:t>
                          </m:r>
                          <m:r>
                            <m:t>t</m:t>
                          </m:r>
                          <m:r>
                            <m:rPr>
                              <m:sty m:val="p"/>
                            </m:rPr>
                            <m:t>;</m:t>
                          </m:r>
                          <m:r>
                            <m:t>e</m:t>
                          </m:r>
                          <m:r>
                            <m:t>c</m:t>
                          </m:r>
                          <m:r>
                            <m:t>o</m:t>
                          </m:r>
                          <m:r>
                            <m:t>s</m:t>
                          </m:r>
                          <m:r>
                            <m:t>y</m:t>
                          </m:r>
                          <m:r>
                            <m:t>s</m:t>
                          </m:r>
                          <m:r>
                            <m:t>t</m:t>
                          </m:r>
                          <m:r>
                            <m:t>e</m:t>
                          </m:r>
                          <m:r>
                            <m:t>m</m:t>
                          </m:r>
                          <m:r>
                            <m:rPr>
                              <m:sty m:val="p"/>
                            </m:rPr>
                            <m:t>−</m:t>
                          </m:r>
                          <m:r>
                            <m:t>l</m:t>
                          </m:r>
                          <m:r>
                            <m:t>o</m:t>
                          </m:r>
                          <m:r>
                            <m:t>c</m:t>
                          </m:r>
                          <m:r>
                            <m:t>k</m:t>
                          </m:r>
                          <m:r>
                            <m:t>e</m:t>
                          </m:r>
                          <m:r>
                            <m:t>d</m:t>
                          </m:r>
                        </m:e>
                      </m:d>
                    </m:sup>
                  </m:sSup>
                </m:sup>
              </m:sSup>
              <m:d>
                <m:dPr>
                  <m:begChr m:val="|"/>
                  <m:endChr m:val="|"/>
                  <m:sepChr m:val=""/>
                  <m:grow/>
                </m:dPr>
                <m:e>
                  <m:r>
                    <m:rPr>
                      <m:sty m:val="p"/>
                    </m:rPr>
                    <m:t>*</m:t>
                  </m:r>
                  <m:r>
                    <m:rPr>
                      <m:sty m:val="p"/>
                    </m:rPr>
                    <m:t>*</m:t>
                  </m:r>
                  <m:r>
                    <m:t>C</m:t>
                  </m:r>
                  <m:r>
                    <m:t>r</m:t>
                  </m:r>
                  <m:r>
                    <m:t>o</m:t>
                  </m:r>
                  <m:r>
                    <m:t>w</m:t>
                  </m:r>
                  <m:r>
                    <m:t>d</m:t>
                  </m:r>
                  <m:r>
                    <m:t>S</m:t>
                  </m:r>
                  <m:r>
                    <m:t>t</m:t>
                  </m:r>
                  <m:r>
                    <m:t>r</m:t>
                  </m:r>
                  <m:r>
                    <m:t>i</m:t>
                  </m:r>
                  <m:r>
                    <m:t>k</m:t>
                  </m:r>
                  <m:r>
                    <m:t>e</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N</m:t>
                  </m:r>
                  <m:r>
                    <m:t>o</m:t>
                  </m:r>
                  <m:r>
                    <m:t>A</m:t>
                  </m:r>
                  <m:r>
                    <m:t>I</m:t>
                  </m:r>
                  <m:r>
                    <m:t>g</m:t>
                  </m:r>
                  <m:r>
                    <m:t>o</m:t>
                  </m:r>
                  <m:r>
                    <m:t>v</m:t>
                  </m:r>
                  <m:r>
                    <m:t>e</m:t>
                  </m:r>
                  <m:r>
                    <m:t>r</m:t>
                  </m:r>
                  <m:r>
                    <m:t>n</m:t>
                  </m:r>
                  <m:r>
                    <m:t>a</m:t>
                  </m:r>
                  <m:r>
                    <m:t>n</m:t>
                  </m:r>
                  <m:r>
                    <m:t>c</m:t>
                  </m:r>
                  <m:r>
                    <m:t>e</m:t>
                  </m:r>
                  <m:r>
                    <m:rPr>
                      <m:sty m:val="p"/>
                    </m:rPr>
                    <m:t>,</m:t>
                  </m:r>
                  <m:r>
                    <m:t>n</m:t>
                  </m:r>
                  <m:r>
                    <m:t>o</m:t>
                  </m:r>
                  <m:r>
                    <m:t>c</m:t>
                  </m:r>
                  <m:r>
                    <m:t>o</m:t>
                  </m:r>
                  <m:r>
                    <m:t>n</m:t>
                  </m:r>
                  <m:r>
                    <m:t>f</m:t>
                  </m:r>
                  <m:r>
                    <m:t>o</m:t>
                  </m:r>
                  <m:r>
                    <m:t>r</m:t>
                  </m:r>
                  <m:r>
                    <m:t>m</m:t>
                  </m:r>
                  <m:r>
                    <m:t>i</m:t>
                  </m:r>
                  <m:r>
                    <m:t>t</m:t>
                  </m:r>
                  <m:r>
                    <m:t>y</m:t>
                  </m:r>
                  <m:r>
                    <m:t>a</m:t>
                  </m:r>
                  <m:r>
                    <m:t>s</m:t>
                  </m:r>
                  <m:r>
                    <m:t>s</m:t>
                  </m:r>
                  <m:r>
                    <m:t>e</m:t>
                  </m:r>
                  <m:r>
                    <m:t>s</m:t>
                  </m:r>
                  <m:r>
                    <m:t>s</m:t>
                  </m:r>
                  <m:r>
                    <m:t>m</m:t>
                  </m:r>
                  <m:r>
                    <m:t>e</m:t>
                  </m:r>
                  <m:r>
                    <m:t>n</m:t>
                  </m:r>
                  <m:r>
                    <m:t>t</m:t>
                  </m:r>
                  <m:r>
                    <m:rPr>
                      <m:sty m:val="p"/>
                    </m:rPr>
                    <m:t>,</m:t>
                  </m:r>
                  <m:r>
                    <m:t>n</m:t>
                  </m:r>
                  <m:r>
                    <m:t>o</m:t>
                  </m:r>
                  <m:r>
                    <m:t>t</m:t>
                  </m:r>
                  <m:r>
                    <m:t>e</m:t>
                  </m:r>
                  <m:r>
                    <m:t>c</m:t>
                  </m:r>
                  <m:r>
                    <m:t>h</m:t>
                  </m:r>
                  <m:r>
                    <m:t>n</m:t>
                  </m:r>
                  <m:r>
                    <m:t>i</m:t>
                  </m:r>
                  <m:r>
                    <m:t>c</m:t>
                  </m:r>
                  <m:r>
                    <m:t>a</m:t>
                  </m:r>
                  <m:r>
                    <m:t>l</m:t>
                  </m:r>
                  <m:r>
                    <m:t>d</m:t>
                  </m:r>
                  <m:r>
                    <m:t>o</m:t>
                  </m:r>
                  <m:r>
                    <m:t>c</m:t>
                  </m:r>
                  <m:r>
                    <m:t>u</m:t>
                  </m:r>
                  <m:r>
                    <m:t>m</m:t>
                  </m:r>
                  <m:r>
                    <m:t>e</m:t>
                  </m:r>
                  <m:r>
                    <m:t>n</m:t>
                  </m:r>
                  <m:r>
                    <m:t>t</m:t>
                  </m:r>
                  <m:r>
                    <m:t>a</m:t>
                  </m:r>
                  <m:r>
                    <m:t>t</m:t>
                  </m:r>
                  <m:r>
                    <m:t>i</m:t>
                  </m:r>
                  <m:r>
                    <m:t>o</m:t>
                  </m:r>
                  <m:sSup>
                    <m:e>
                      <m:r>
                        <m:t>n</m:t>
                      </m:r>
                    </m:e>
                    <m:sup>
                      <m:sSup>
                        <m:e>
                          <m:r>
                            <m:t>54</m:t>
                          </m:r>
                        </m:e>
                        <m:sup>
                          <m:d>
                            <m:dPr>
                              <m:begChr m:val="|"/>
                              <m:endChr m:val="|"/>
                              <m:sepChr m:val=""/>
                              <m:grow/>
                            </m:dPr>
                            <m:e/>
                          </m:d>
                        </m:sup>
                      </m:sSup>
                    </m:sup>
                  </m:sSup>
                  <m:r>
                    <m:rPr>
                      <m:sty m:val="p"/>
                    </m:rPr>
                    <m:t>*</m:t>
                  </m:r>
                  <m:r>
                    <m:rPr>
                      <m:sty m:val="p"/>
                    </m:rPr>
                    <m:t>*</m:t>
                  </m:r>
                  <m:r>
                    <m:t>P</m:t>
                  </m:r>
                  <m:r>
                    <m:t>a</m:t>
                  </m:r>
                  <m:r>
                    <m:t>l</m:t>
                  </m:r>
                  <m:r>
                    <m:t>a</m:t>
                  </m:r>
                  <m:r>
                    <m:t>n</m:t>
                  </m:r>
                  <m:r>
                    <m:t>t</m:t>
                  </m:r>
                  <m:r>
                    <m:t>i</m:t>
                  </m:r>
                  <m:r>
                    <m:t>r</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Z</m:t>
                  </m:r>
                  <m:r>
                    <m:t>e</m:t>
                  </m:r>
                  <m:r>
                    <m:t>r</m:t>
                  </m:r>
                  <m:r>
                    <m:t>o</m:t>
                  </m:r>
                  <m:r>
                    <m:t>A</m:t>
                  </m:r>
                  <m:r>
                    <m:t>I</m:t>
                  </m:r>
                  <m:r>
                    <m:t>A</m:t>
                  </m:r>
                  <m:r>
                    <m:t>c</m:t>
                  </m:r>
                  <m:r>
                    <m:t>t</m:t>
                  </m:r>
                  <m:r>
                    <m:t>c</m:t>
                  </m:r>
                  <m:r>
                    <m:t>o</m:t>
                  </m:r>
                  <m:r>
                    <m:t>m</m:t>
                  </m:r>
                  <m:r>
                    <m:t>p</m:t>
                  </m:r>
                  <m:r>
                    <m:t>l</m:t>
                  </m:r>
                  <m:r>
                    <m:t>i</m:t>
                  </m:r>
                  <m:r>
                    <m:t>a</m:t>
                  </m:r>
                  <m:r>
                    <m:t>n</m:t>
                  </m:r>
                  <m:r>
                    <m:t>c</m:t>
                  </m:r>
                  <m:r>
                    <m:t>e</m:t>
                  </m:r>
                  <m:r>
                    <m:t>t</m:t>
                  </m:r>
                  <m:r>
                    <m:t>o</m:t>
                  </m:r>
                  <m:r>
                    <m:t>o</m:t>
                  </m:r>
                  <m:r>
                    <m:t>l</m:t>
                  </m:r>
                  <m:r>
                    <m:t>i</m:t>
                  </m:r>
                  <m:r>
                    <m:t>n</m:t>
                  </m:r>
                  <m:r>
                    <m:t>g</m:t>
                  </m:r>
                  <m:r>
                    <m:t>d</m:t>
                  </m:r>
                  <m:r>
                    <m:t>e</m:t>
                  </m:r>
                  <m:r>
                    <m:t>s</m:t>
                  </m:r>
                  <m:r>
                    <m:t>p</m:t>
                  </m:r>
                  <m:r>
                    <m:t>i</m:t>
                  </m:r>
                  <m:r>
                    <m:t>t</m:t>
                  </m:r>
                  <m:r>
                    <m:t>e</m:t>
                  </m:r>
                  <m:r>
                    <m:t>m</m:t>
                  </m:r>
                  <m:r>
                    <m:t>a</m:t>
                  </m:r>
                  <m:r>
                    <m:t>s</m:t>
                  </m:r>
                  <m:r>
                    <m:t>s</m:t>
                  </m:r>
                  <m:r>
                    <m:t>i</m:t>
                  </m:r>
                  <m:r>
                    <m:t>v</m:t>
                  </m:r>
                  <m:r>
                    <m:t>e</m:t>
                  </m:r>
                  <m:r>
                    <m:t>g</m:t>
                  </m:r>
                  <m:r>
                    <m:t>o</m:t>
                  </m:r>
                  <m:r>
                    <m:t>v</m:t>
                  </m:r>
                  <m:r>
                    <m:t>e</m:t>
                  </m:r>
                  <m:r>
                    <m:t>r</m:t>
                  </m:r>
                  <m:r>
                    <m:t>n</m:t>
                  </m:r>
                  <m:r>
                    <m:t>m</m:t>
                  </m:r>
                  <m:r>
                    <m:t>e</m:t>
                  </m:r>
                  <m:r>
                    <m:t>n</m:t>
                  </m:r>
                  <m:r>
                    <m:t>t</m:t>
                  </m:r>
                  <m:r>
                    <m:t>A</m:t>
                  </m:r>
                  <m:r>
                    <m:t>I</m:t>
                  </m:r>
                  <m:r>
                    <m:t>p</m:t>
                  </m:r>
                  <m:r>
                    <m:t>r</m:t>
                  </m:r>
                  <m:r>
                    <m:t>e</m:t>
                  </m:r>
                  <m:r>
                    <m:t>s</m:t>
                  </m:r>
                  <m:r>
                    <m:t>e</m:t>
                  </m:r>
                  <m:r>
                    <m:t>n</m:t>
                  </m:r>
                  <m:r>
                    <m:t>c</m:t>
                  </m:r>
                  <m:r>
                    <m:t>e</m:t>
                  </m:r>
                </m:e>
              </m:d>
              <m:d>
                <m:dPr>
                  <m:begChr m:val="|"/>
                  <m:endChr m:val="|"/>
                  <m:sepChr m:val=""/>
                  <m:grow/>
                </m:dPr>
                <m:e>
                  <m:r>
                    <m:rPr>
                      <m:sty m:val="p"/>
                    </m:rPr>
                    <m:t>*</m:t>
                  </m:r>
                  <m:r>
                    <m:rPr>
                      <m:sty m:val="p"/>
                    </m:rPr>
                    <m:t>*</m:t>
                  </m:r>
                  <m:r>
                    <m:t>D</m:t>
                  </m:r>
                  <m:r>
                    <m:t>a</m:t>
                  </m:r>
                  <m:r>
                    <m:t>t</m:t>
                  </m:r>
                  <m:r>
                    <m:t>a</m:t>
                  </m:r>
                  <m:r>
                    <m:t>b</m:t>
                  </m:r>
                  <m:r>
                    <m:t>r</m:t>
                  </m:r>
                  <m:r>
                    <m:t>i</m:t>
                  </m:r>
                  <m:r>
                    <m:t>c</m:t>
                  </m:r>
                  <m:r>
                    <m:t>k</m:t>
                  </m:r>
                  <m:r>
                    <m:t>s</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U</m:t>
                  </m:r>
                  <m:r>
                    <m:t>n</m:t>
                  </m:r>
                  <m:r>
                    <m:t>i</m:t>
                  </m:r>
                  <m:r>
                    <m:t>t</m:t>
                  </m:r>
                  <m:r>
                    <m:t>y</m:t>
                  </m:r>
                  <m:r>
                    <m:t>C</m:t>
                  </m:r>
                  <m:r>
                    <m:t>a</m:t>
                  </m:r>
                  <m:r>
                    <m:t>t</m:t>
                  </m:r>
                  <m:r>
                    <m:t>a</m:t>
                  </m:r>
                  <m:r>
                    <m:t>l</m:t>
                  </m:r>
                  <m:r>
                    <m:t>o</m:t>
                  </m:r>
                  <m:r>
                    <m:t>g</m:t>
                  </m:r>
                  <m:r>
                    <m:t>i</m:t>
                  </m:r>
                  <m:r>
                    <m:t>s</m:t>
                  </m:r>
                  <m:r>
                    <m:t>d</m:t>
                  </m:r>
                  <m:r>
                    <m:t>a</m:t>
                  </m:r>
                  <m:r>
                    <m:t>t</m:t>
                  </m:r>
                  <m:r>
                    <m:t>a</m:t>
                  </m:r>
                  <m:r>
                    <m:t>g</m:t>
                  </m:r>
                  <m:r>
                    <m:t>o</m:t>
                  </m:r>
                  <m:r>
                    <m:t>v</m:t>
                  </m:r>
                  <m:r>
                    <m:t>e</m:t>
                  </m:r>
                  <m:r>
                    <m:t>r</m:t>
                  </m:r>
                  <m:r>
                    <m:t>n</m:t>
                  </m:r>
                  <m:r>
                    <m:t>a</m:t>
                  </m:r>
                  <m:r>
                    <m:t>n</m:t>
                  </m:r>
                  <m:r>
                    <m:t>c</m:t>
                  </m:r>
                  <m:r>
                    <m:t>e</m:t>
                  </m:r>
                  <m:r>
                    <m:rPr>
                      <m:sty m:val="p"/>
                    </m:rPr>
                    <m:t>,</m:t>
                  </m:r>
                  <m:r>
                    <m:t>n</m:t>
                  </m:r>
                  <m:r>
                    <m:t>o</m:t>
                  </m:r>
                  <m:r>
                    <m:t>t</m:t>
                  </m:r>
                  <m:r>
                    <m:t>A</m:t>
                  </m:r>
                  <m:r>
                    <m:t>I</m:t>
                  </m:r>
                  <m:r>
                    <m:t>A</m:t>
                  </m:r>
                  <m:r>
                    <m:t>c</m:t>
                  </m:r>
                  <m:r>
                    <m:t>t</m:t>
                  </m:r>
                  <m:r>
                    <m:t>c</m:t>
                  </m:r>
                  <m:r>
                    <m:t>o</m:t>
                  </m:r>
                  <m:r>
                    <m:t>m</m:t>
                  </m:r>
                  <m:r>
                    <m:t>p</m:t>
                  </m:r>
                  <m:r>
                    <m:t>l</m:t>
                  </m:r>
                  <m:r>
                    <m:t>i</m:t>
                  </m:r>
                  <m:r>
                    <m:t>a</m:t>
                  </m:r>
                  <m:r>
                    <m:t>n</m:t>
                  </m:r>
                  <m:r>
                    <m:t>c</m:t>
                  </m:r>
                  <m:r>
                    <m:t>e</m:t>
                  </m:r>
                </m:e>
              </m:d>
              <m:d>
                <m:dPr>
                  <m:begChr m:val="|"/>
                  <m:endChr m:val="|"/>
                  <m:sepChr m:val=""/>
                  <m:grow/>
                </m:dPr>
                <m:e>
                  <m:r>
                    <m:rPr>
                      <m:sty m:val="p"/>
                    </m:rPr>
                    <m:t>*</m:t>
                  </m:r>
                  <m:r>
                    <m:rPr>
                      <m:sty m:val="p"/>
                    </m:rPr>
                    <m:t>*</m:t>
                  </m:r>
                  <m:r>
                    <m:t>S</m:t>
                  </m:r>
                  <m:r>
                    <m:t>n</m:t>
                  </m:r>
                  <m:r>
                    <m:t>o</m:t>
                  </m:r>
                  <m:r>
                    <m:t>w</m:t>
                  </m:r>
                  <m:r>
                    <m:t>f</m:t>
                  </m:r>
                  <m:r>
                    <m:t>l</m:t>
                  </m:r>
                  <m:r>
                    <m:t>a</m:t>
                  </m:r>
                  <m:r>
                    <m:t>k</m:t>
                  </m:r>
                  <m:r>
                    <m:t>e</m:t>
                  </m:r>
                  <m:r>
                    <m:rPr>
                      <m:sty m:val="p"/>
                    </m:rPr>
                    <m:t>*</m:t>
                  </m:r>
                  <m:r>
                    <m:rPr>
                      <m:sty m:val="p"/>
                    </m:rPr>
                    <m:t>*</m:t>
                  </m:r>
                </m:e>
              </m:d>
              <m:r>
                <m:t>H</m:t>
              </m:r>
              <m:r>
                <m:t>o</m:t>
              </m:r>
              <m:r>
                <m:t>r</m:t>
              </m:r>
              <m:r>
                <m:t>i</m:t>
              </m:r>
              <m:r>
                <m:t>z</m:t>
              </m:r>
              <m:r>
                <m:t>o</m:t>
              </m:r>
              <m:r>
                <m:t>n</m:t>
              </m:r>
              <m:r>
                <m:t>g</m:t>
              </m:r>
              <m:r>
                <m:t>o</m:t>
              </m:r>
              <m:r>
                <m:t>v</m:t>
              </m:r>
              <m:r>
                <m:t>e</m:t>
              </m:r>
              <m:r>
                <m:t>r</m:t>
              </m:r>
              <m:r>
                <m:t>n</m:t>
              </m:r>
              <m:r>
                <m:t>a</m:t>
              </m:r>
              <m:r>
                <m:t>n</m:t>
              </m:r>
              <m:r>
                <m:t>c</m:t>
              </m:r>
              <m:r>
                <m:t>e</m:t>
              </m:r>
              <m:d>
                <m:dPr>
                  <m:begChr m:val="("/>
                  <m:endChr m:val=")"/>
                  <m:sepChr m:val=""/>
                  <m:grow/>
                </m:dPr>
                <m:e>
                  <m:r>
                    <m:t>N</m:t>
                  </m:r>
                  <m:r>
                    <m:t>O</m:t>
                  </m:r>
                  <m:r>
                    <m:t>T</m:t>
                  </m:r>
                  <m:r>
                    <m:t>A</m:t>
                  </m:r>
                  <m:r>
                    <m:t>I</m:t>
                  </m:r>
                  <m:r>
                    <m:t>A</m:t>
                  </m:r>
                  <m:r>
                    <m:t>c</m:t>
                  </m:r>
                  <m:r>
                    <m:t>t</m:t>
                  </m:r>
                  <m:r>
                    <m:rPr>
                      <m:sty m:val="p"/>
                    </m:rPr>
                    <m:t>−</m:t>
                  </m:r>
                  <m:r>
                    <m:t>s</m:t>
                  </m:r>
                  <m:r>
                    <m:t>p</m:t>
                  </m:r>
                  <m:r>
                    <m:t>e</m:t>
                  </m:r>
                  <m:r>
                    <m:t>c</m:t>
                  </m:r>
                  <m:r>
                    <m:t>i</m:t>
                  </m:r>
                  <m:r>
                    <m:t>f</m:t>
                  </m:r>
                  <m:r>
                    <m:t>i</m:t>
                  </m:r>
                  <m:r>
                    <m:t>c</m:t>
                  </m:r>
                </m:e>
              </m:d>
              <m:d>
                <m:dPr>
                  <m:begChr m:val="|"/>
                  <m:endChr m:val="|"/>
                  <m:sepChr m:val=""/>
                  <m:grow/>
                </m:dPr>
                <m:e>
                  <m:r>
                    <m:t>N</m:t>
                  </m:r>
                  <m:r>
                    <m:rPr>
                      <m:sty m:val="p"/>
                    </m:rPr>
                    <m:t>/</m:t>
                  </m:r>
                  <m:r>
                    <m:t>A</m:t>
                  </m:r>
                </m:e>
              </m:d>
              <m:r>
                <m:t>N</m:t>
              </m:r>
              <m:r>
                <m:rPr>
                  <m:sty m:val="p"/>
                </m:rPr>
                <m:t>/</m:t>
              </m:r>
              <m:r>
                <m:t>A</m:t>
              </m:r>
              <m:d>
                <m:dPr>
                  <m:begChr m:val="|"/>
                  <m:endChr m:val="|"/>
                  <m:sepChr m:val=""/>
                  <m:grow/>
                </m:dPr>
                <m:e>
                  <m:r>
                    <m:t>N</m:t>
                  </m:r>
                  <m:r>
                    <m:t>o</m:t>
                  </m:r>
                  <m:r>
                    <m:t>c</m:t>
                  </m:r>
                  <m:r>
                    <m:t>o</m:t>
                  </m:r>
                  <m:r>
                    <m:t>n</m:t>
                  </m:r>
                  <m:r>
                    <m:t>f</m:t>
                  </m:r>
                  <m:r>
                    <m:t>o</m:t>
                  </m:r>
                  <m:r>
                    <m:t>r</m:t>
                  </m:r>
                  <m:r>
                    <m:t>m</m:t>
                  </m:r>
                  <m:r>
                    <m:t>i</m:t>
                  </m:r>
                  <m:r>
                    <m:t>t</m:t>
                  </m:r>
                  <m:r>
                    <m:t>y</m:t>
                  </m:r>
                  <m:r>
                    <m:t>a</m:t>
                  </m:r>
                  <m:r>
                    <m:t>s</m:t>
                  </m:r>
                  <m:r>
                    <m:t>s</m:t>
                  </m:r>
                  <m:r>
                    <m:t>e</m:t>
                  </m:r>
                  <m:r>
                    <m:t>s</m:t>
                  </m:r>
                  <m:r>
                    <m:t>s</m:t>
                  </m:r>
                  <m:r>
                    <m:t>m</m:t>
                  </m:r>
                  <m:r>
                    <m:t>e</m:t>
                  </m:r>
                  <m:r>
                    <m:t>n</m:t>
                  </m:r>
                  <m:r>
                    <m:t>t</m:t>
                  </m:r>
                  <m:r>
                    <m:t>w</m:t>
                  </m:r>
                  <m:r>
                    <m:t>o</m:t>
                  </m:r>
                  <m:r>
                    <m:t>r</m:t>
                  </m:r>
                  <m:r>
                    <m:t>k</m:t>
                  </m:r>
                  <m:r>
                    <m:t>f</m:t>
                  </m:r>
                  <m:r>
                    <m:t>l</m:t>
                  </m:r>
                  <m:r>
                    <m:t>o</m:t>
                  </m:r>
                  <m:r>
                    <m:t>w</m:t>
                  </m:r>
                  <m:r>
                    <m:t>s</m:t>
                  </m:r>
                  <m:r>
                    <m:rPr>
                      <m:sty m:val="p"/>
                    </m:rPr>
                    <m:t>,</m:t>
                  </m:r>
                  <m:r>
                    <m:t>n</m:t>
                  </m:r>
                  <m:r>
                    <m:t>o</m:t>
                  </m:r>
                  <m:r>
                    <m:t>C</m:t>
                  </m:r>
                  <m:r>
                    <m:t>E</m:t>
                  </m:r>
                  <m:r>
                    <m:t>m</m:t>
                  </m:r>
                  <m:r>
                    <m:t>a</m:t>
                  </m:r>
                  <m:r>
                    <m:t>r</m:t>
                  </m:r>
                  <m:r>
                    <m:t>k</m:t>
                  </m:r>
                  <m:r>
                    <m:t>i</m:t>
                  </m:r>
                  <m:r>
                    <m:t>n</m:t>
                  </m:r>
                  <m:r>
                    <m:t>g</m:t>
                  </m:r>
                  <m:r>
                    <m:t>s</m:t>
                  </m:r>
                  <m:r>
                    <m:t>u</m:t>
                  </m:r>
                  <m:r>
                    <m:t>p</m:t>
                  </m:r>
                  <m:r>
                    <m:t>p</m:t>
                  </m:r>
                  <m:r>
                    <m:t>o</m:t>
                  </m:r>
                  <m:r>
                    <m:t>r</m:t>
                  </m:r>
                  <m:r>
                    <m:t>t</m:t>
                  </m:r>
                </m:e>
              </m:d>
              <m:d>
                <m:dPr>
                  <m:begChr m:val="|"/>
                  <m:endChr m:val="|"/>
                  <m:sepChr m:val=""/>
                  <m:grow/>
                </m:dPr>
                <m:e>
                  <m:r>
                    <m:rPr>
                      <m:sty m:val="p"/>
                    </m:rPr>
                    <m:t>*</m:t>
                  </m:r>
                  <m:r>
                    <m:rPr>
                      <m:sty m:val="p"/>
                    </m:rPr>
                    <m:t>*</m:t>
                  </m:r>
                  <m:r>
                    <m:t>D</m:t>
                  </m:r>
                  <m:r>
                    <m:t>a</m:t>
                  </m:r>
                  <m:r>
                    <m:t>t</m:t>
                  </m:r>
                  <m:r>
                    <m:t>a</m:t>
                  </m:r>
                  <m:r>
                    <m:t>i</m:t>
                  </m:r>
                  <m:r>
                    <m:t>k</m:t>
                  </m:r>
                  <m:r>
                    <m:t>u</m:t>
                  </m:r>
                  <m:r>
                    <m:rPr>
                      <m:sty m:val="p"/>
                    </m:rPr>
                    <m:t>*</m:t>
                  </m:r>
                  <m:r>
                    <m:rPr>
                      <m:sty m:val="p"/>
                    </m:rPr>
                    <m:t>*</m:t>
                  </m:r>
                </m:e>
              </m:d>
              <m:r>
                <m:t>G</m:t>
              </m:r>
              <m:r>
                <m:t>o</m:t>
              </m:r>
              <m:r>
                <m:t>v</m:t>
              </m:r>
              <m:r>
                <m:t>e</m:t>
              </m:r>
              <m:r>
                <m:t>r</m:t>
              </m:r>
              <m:r>
                <m:t>n</m:t>
              </m:r>
              <m:r>
                <m:t>m</m:t>
              </m:r>
              <m:r>
                <m:t>o</m:t>
              </m:r>
              <m:r>
                <m:t>d</m:t>
              </m:r>
              <m:r>
                <m:t>u</m:t>
              </m:r>
              <m:r>
                <m:t>l</m:t>
              </m:r>
              <m:r>
                <m:t>e</m:t>
              </m:r>
              <m:r>
                <m:rPr>
                  <m:sty m:val="p"/>
                </m:rPr>
                <m:t>(</m:t>
              </m:r>
            </m:oMath>
          </w:p>
          <w:p>
            <w:pPr>
              <w:pStyle w:val="Compact"/>
              <w:jc w:val="left"/>
            </w:pPr>
            <m:oMathPara>
              <m:oMathParaPr>
                <m:jc m:val="center"/>
              </m:oMathParaPr>
              <m:oMath>
                <m:r>
                  <m:t>t</m:t>
                </m:r>
                <m:r>
                  <m:t>i</m:t>
                </m:r>
                <m:r>
                  <m:t>e</m:t>
                </m:r>
                <m:r>
                  <m:t>r</m:t>
                </m:r>
                <m:r>
                  <m:rPr>
                    <m:sty m:val="p"/>
                  </m:rPr>
                  <m:t>)</m:t>
                </m:r>
                <m:d>
                  <m:dPr>
                    <m:begChr m:val="|"/>
                    <m:endChr m:val="|"/>
                    <m:sepChr m:val=""/>
                    <m:grow/>
                  </m:dPr>
                  <m:e>
                    <m:r>
                      <m:t>8</m:t>
                    </m:r>
                    <m:r>
                      <m:rPr>
                        <m:sty m:val="p"/>
                      </m:rPr>
                      <m:t>−</m:t>
                    </m:r>
                    <m:r>
                      <m:t>12</m:t>
                    </m:r>
                    <m:r>
                      <m:t>w</m:t>
                    </m:r>
                    <m:r>
                      <m:t>e</m:t>
                    </m:r>
                    <m:r>
                      <m:t>e</m:t>
                    </m:r>
                    <m:r>
                      <m:t>k</m:t>
                    </m:r>
                    <m:r>
                      <m:t>s</m:t>
                    </m:r>
                  </m:e>
                </m:d>
              </m:oMath>
            </m:oMathPara>
          </w:p>
          <w:p>
            <w:pPr>
              <w:pStyle w:val="Compact"/>
              <w:jc w:val="left"/>
            </w:pPr>
            <w:r>
              <w:t xml:space="preserve">$ pricing</w:t>
            </w:r>
          </w:p>
        </w:tc>
        <w:tc>
          <w:tcPr/>
          <w:p>
            <w:pPr>
              <w:pStyle w:val="Compact"/>
              <w:jc w:val="left"/>
            </w:pPr>
            <w:r>
              <w:t xml:space="preserve">Limited Art. 14 human oversight; run-level audit trail only</w:t>
            </w:r>
          </w:p>
        </w:tc>
      </w:tr>
      <w:tr>
        <w:tc>
          <w:tcPr/>
          <w:p>
            <w:pPr>
              <w:pStyle w:val="Compact"/>
              <w:jc w:val="left"/>
            </w:pPr>
            <w:r>
              <w:rPr>
                <w:bCs/>
                <w:b/>
              </w:rPr>
              <w:t xml:space="preserve">Cloudflare</w:t>
            </w:r>
          </w:p>
        </w:tc>
        <w:tc>
          <w:tcPr/>
          <w:p>
            <w:pPr>
              <w:pStyle w:val="Compact"/>
              <w:jc w:val="left"/>
            </w:pPr>
            <w:r>
              <w:rPr>
                <w:bCs/>
                <w:b/>
              </w:rP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AI governance despite AI Gateway product</w:t>
            </w:r>
          </w:p>
        </w:tc>
      </w:tr>
      <w:tr>
        <w:tc>
          <w:tcPr/>
          <w:p>
            <w:pPr>
              <w:pStyle w:val="Compact"/>
              <w:jc w:val="left"/>
            </w:pPr>
            <w:r>
              <w:rPr>
                <w:bCs/>
                <w:b/>
              </w:rPr>
              <w:t xml:space="preserve">Google Cloud</w:t>
            </w:r>
          </w:p>
        </w:tc>
        <w:tc>
          <w:tcPr/>
          <w:p>
            <w:pPr>
              <w:pStyle w:val="Compact"/>
              <w:jc w:val="left"/>
            </w:pPr>
            <w:r>
              <w:t xml:space="preserve">Assured Workloads (generic)</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AI Act-specific; no conformity assessment tools</w:t>
            </w:r>
          </w:p>
        </w:tc>
      </w:tr>
      <w:tr>
        <w:tc>
          <w:tcPr/>
          <w:p>
            <w:pPr>
              <w:pStyle w:val="Compact"/>
              <w:jc w:val="left"/>
            </w:pPr>
            <w:r>
              <w:rPr>
                <w:bCs/>
                <w:b/>
              </w:rPr>
              <w:t xml:space="preserve">AWS</w:t>
            </w:r>
          </w:p>
        </w:tc>
        <w:tc>
          <w:tcPr/>
          <w:p>
            <w:pPr>
              <w:pStyle w:val="Compact"/>
              <w:jc w:val="left"/>
            </w:pPr>
            <w:r>
              <w:t xml:space="preserve">Audit Manager (generic)</w:t>
            </w:r>
          </w:p>
        </w:tc>
        <w:tc>
          <w:tcPr/>
          <w:p>
            <w:pPr>
              <w:pStyle w:val="Compact"/>
              <w:jc w:val="left"/>
            </w:pPr>
            <w:r>
              <w:t xml:space="preserve">N/A</w:t>
            </w:r>
          </w:p>
        </w:tc>
        <w:tc>
          <w:tcPr/>
          <w:p>
            <w:pPr>
              <w:pStyle w:val="Compact"/>
              <w:jc w:val="left"/>
            </w:pPr>
            <w:r>
              <w:t xml:space="preserve">N/A</w:t>
            </w:r>
          </w:p>
        </w:tc>
        <w:tc>
          <w:tcPr/>
          <w:p>
            <w:pPr>
              <w:pStyle w:val="Compact"/>
              <w:jc w:val="left"/>
            </w:pPr>
            <w:r>
              <w:t xml:space="preserve">143+ certifications but no AI Act-specific documentation</w:t>
            </w:r>
          </w:p>
        </w:tc>
      </w:tr>
    </w:tbl>
    <w:p>
      <w:pPr>
        <w:pStyle w:val="BodyText"/>
      </w:pPr>
      <w:r>
        <w:rPr>
          <w:bCs/>
          <w:b/>
        </w:rPr>
        <w:t xml:space="preserve">Analytical interpretation:</w:t>
      </w:r>
      <w:r>
        <w:t xml:space="preserve"> </w:t>
      </w:r>
      <w:r>
        <w:t xml:space="preserve">Of fourteen major competitors analyzed,</w:t>
      </w:r>
      <w:r>
        <w:t xml:space="preserve"> </w:t>
      </w:r>
      <w:r>
        <w:rPr>
          <w:bCs/>
          <w:b/>
        </w:rPr>
        <w:t xml:space="preserve">eight have no EU AI Act solution whatsoever</w:t>
      </w:r>
      <w:r>
        <w:t xml:space="preserve">. CrowdStrike, Palantir, Databricks, Cloudflare, Google Cloud, and AWS collectively represent hundreds of billions in market capitalization and tens of thousands of enterprise customers — and not one offers dedicated AI Act compliance tooling. The six competitors that do offer solutions share a common fatal flaw:</w:t>
      </w:r>
      <w:r>
        <w:t xml:space="preserve"> </w:t>
      </w:r>
      <w:r>
        <w:rPr>
          <w:bCs/>
          <w:b/>
        </w:rPr>
        <w:t xml:space="preserve">they are not in the inference path</w:t>
      </w:r>
      <w:r>
        <w:t xml:space="preserve">. GRC retrofits like OneTrust and ServiceNow sit beside AI workloads. They cannot produce Article 12 automatic logs because they never touch the decision. MLOps overlays like IBM Watsonx require existing ML infrastructure. AI-native platforms like Credo AI are expensive, closed-source, and require months-long procurement cycles.</w:t>
      </w:r>
      <w:r>
        <w:t xml:space="preserve"> </w:t>
      </w:r>
      <w:r>
        <w:rPr>
          <w:bCs/>
          <w:b/>
        </w:rPr>
        <w:t xml:space="preserve">None offer self-serve EU AI Act conformity assessment at accessible price points. None solve the harmonized standards crisis.</w:t>
      </w:r>
      <w:r>
        <w:t xml:space="preserve"> </w:t>
      </w:r>
      <w:r>
        <w:t xml:space="preserve">Every single competitor requires weeks to months of implementation.</w:t>
      </w:r>
      <w:r>
        <w:t xml:space="preserve"> </w:t>
      </w:r>
      <w:r>
        <w:rPr>
          <w:vertAlign w:val="superscript"/>
        </w:rPr>
        <w:t xml:space="preserve">55</w:t>
      </w:r>
      <w:r>
        <w:t xml:space="preserve"> </w:t>
      </w:r>
      <w:r>
        <w:rPr>
          <w:vertAlign w:val="superscript"/>
        </w:rPr>
        <w:t xml:space="preserve">56</w:t>
      </w:r>
      <w:r>
        <w:t xml:space="preserve">The Fortune 500 path through Microsoft Purview illustrates the absurdity: approximately $3.3 million in Year 1 costs including $330,000 in implementation fees, $60,000 annual ongoing consulting from EPC Group, and approximately $3 million in Purview Premium licensing for 25,000 seats — plus a 12-16 week implementation timeline that pushes the earliest compliance date to September 2026,</w:t>
      </w:r>
      <w:r>
        <w:t xml:space="preserve"> </w:t>
      </w:r>
      <w:r>
        <w:rPr>
          <w:bCs/>
          <w:b/>
        </w:rPr>
        <w:t xml:space="preserve">one month after the deadline</w:t>
      </w:r>
      <w:r>
        <w:t xml:space="preserve">.</w:t>
      </w:r>
      <w:r>
        <w:t xml:space="preserve"> </w:t>
      </w:r>
      <w:r>
        <w:rPr>
          <w:vertAlign w:val="superscript"/>
        </w:rPr>
        <w:t xml:space="preserve">37</w:t>
      </w:r>
      <w:r>
        <w:t xml:space="preserve">### 4.4 SOV3’s 48-Hour Compliance Engine: The Only Solution</w:t>
      </w:r>
    </w:p>
    <w:p>
      <w:pPr>
        <w:pStyle w:val="BodyText"/>
      </w:pPr>
      <w:r>
        <w:t xml:space="preserve">While competitors sell documentation about compliance, SOV3 sells compliance itself. The 48-Hour Compliance Engine is not a marketing claim — it is an architectural inevitability born from SOV3’s five-layer sentinel architecture mapped directly to the EU AI Act’s article structure.</w:t>
      </w:r>
    </w:p>
    <w:p>
      <w:pPr>
        <w:pStyle w:val="BodyText"/>
      </w:pPr>
      <w:r>
        <w:rPr>
          <w:bCs/>
          <w:b/>
        </w:rPr>
        <w:t xml:space="preserve">Article-by-Article Compliance Mapping: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EU AI Act Article</w:t>
            </w:r>
          </w:p>
        </w:tc>
        <w:tc>
          <w:tcPr/>
          <w:p>
            <w:pPr>
              <w:pStyle w:val="Compact"/>
              <w:jc w:val="left"/>
            </w:pPr>
            <w:r>
              <w:t xml:space="preserve">Requirement</w:t>
            </w:r>
          </w:p>
        </w:tc>
        <w:tc>
          <w:tcPr/>
          <w:p>
            <w:pPr>
              <w:pStyle w:val="Compact"/>
              <w:jc w:val="left"/>
            </w:pPr>
            <w:r>
              <w:t xml:space="preserve">SOV3 Layer</w:t>
            </w:r>
          </w:p>
        </w:tc>
        <w:tc>
          <w:tcPr/>
          <w:p>
            <w:pPr>
              <w:pStyle w:val="Compact"/>
              <w:jc w:val="left"/>
            </w:pPr>
            <w:r>
              <w:t xml:space="preserve">Delivery Mechanism</w:t>
            </w:r>
          </w:p>
        </w:tc>
      </w:tr>
      <w:tr>
        <w:tc>
          <w:tcPr/>
          <w:p>
            <w:pPr>
              <w:pStyle w:val="Compact"/>
              <w:jc w:val="left"/>
            </w:pPr>
            <w:r>
              <w:rPr>
                <w:bCs/>
                <w:b/>
              </w:rPr>
              <w:t xml:space="preserve">Art. 9 — Risk Management</w:t>
            </w:r>
          </w:p>
        </w:tc>
        <w:tc>
          <w:tcPr/>
          <w:p>
            <w:pPr>
              <w:pStyle w:val="Compact"/>
              <w:jc w:val="left"/>
            </w:pPr>
            <w:r>
              <w:t xml:space="preserve">Continuous lifecycle risk management with documented risk register, probability/severity scoring, mitigation measures</w:t>
            </w:r>
          </w:p>
        </w:tc>
        <w:tc>
          <w:tcPr/>
          <w:p>
            <w:pPr>
              <w:pStyle w:val="Compact"/>
              <w:jc w:val="left"/>
            </w:pPr>
            <w:r>
              <w:rPr>
                <w:bCs/>
                <w:b/>
              </w:rPr>
              <w:t xml:space="preserve">PDCA Engine (Layer 2)</w:t>
            </w:r>
          </w:p>
        </w:tc>
        <w:tc>
          <w:tcPr/>
          <w:p>
            <w:pPr>
              <w:pStyle w:val="Compact"/>
              <w:jc w:val="left"/>
            </w:pPr>
            <w:r>
              <w:t xml:space="preserve">Automated risk classification against Annex III; continuous Plan-Do-Check-Act cycle generates living risk register</w:t>
            </w:r>
          </w:p>
        </w:tc>
      </w:tr>
      <w:tr>
        <w:tc>
          <w:tcPr/>
          <w:p>
            <w:pPr>
              <w:pStyle w:val="Compact"/>
              <w:jc w:val="left"/>
            </w:pPr>
            <w:r>
              <w:rPr>
                <w:bCs/>
                <w:b/>
              </w:rPr>
              <w:t xml:space="preserve">Art. 10 — Data Governance</w:t>
            </w:r>
          </w:p>
        </w:tc>
        <w:tc>
          <w:tcPr/>
          <w:p>
            <w:pPr>
              <w:pStyle w:val="Compact"/>
              <w:jc w:val="left"/>
            </w:pPr>
            <w:r>
              <w:t xml:space="preserve">Training data provenance, quality criteria, bias detection, demographic representativeness</w:t>
            </w:r>
          </w:p>
        </w:tc>
        <w:tc>
          <w:tcPr/>
          <w:p>
            <w:pPr>
              <w:pStyle w:val="Compact"/>
              <w:jc w:val="left"/>
            </w:pPr>
            <w:r>
              <w:rPr>
                <w:bCs/>
                <w:b/>
              </w:rPr>
              <w:t xml:space="preserve">Red/Blue Team (Layer 4)</w:t>
            </w:r>
          </w:p>
        </w:tc>
        <w:tc>
          <w:tcPr/>
          <w:p>
            <w:pPr>
              <w:pStyle w:val="Compact"/>
              <w:jc w:val="left"/>
            </w:pPr>
            <w:r>
              <w:t xml:space="preserve">Automated bias detection via adversarial testing; data provenance tracking through ingestion pipeline</w:t>
            </w:r>
          </w:p>
        </w:tc>
      </w:tr>
      <w:tr>
        <w:tc>
          <w:tcPr/>
          <w:p>
            <w:pPr>
              <w:pStyle w:val="Compact"/>
              <w:jc w:val="left"/>
            </w:pPr>
            <w:r>
              <w:rPr>
                <w:bCs/>
                <w:b/>
              </w:rPr>
              <w:t xml:space="preserve">Art. 11 + Annex IV — Technical Documentation</w:t>
            </w:r>
          </w:p>
        </w:tc>
        <w:tc>
          <w:tcPr/>
          <w:p>
            <w:pPr>
              <w:pStyle w:val="Compact"/>
              <w:jc w:val="left"/>
            </w:pPr>
            <w:r>
              <w:t xml:space="preserve">15-category documentation package, 80-200 pages</w:t>
            </w:r>
          </w:p>
        </w:tc>
        <w:tc>
          <w:tcPr/>
          <w:p>
            <w:pPr>
              <w:pStyle w:val="Compact"/>
              <w:jc w:val="left"/>
            </w:pPr>
            <w:r>
              <w:rPr>
                <w:bCs/>
                <w:b/>
              </w:rPr>
              <w:t xml:space="preserve">FUSION Core (Layer 3)</w:t>
            </w:r>
          </w:p>
        </w:tc>
        <w:tc>
          <w:tcPr/>
          <w:p>
            <w:pPr>
              <w:pStyle w:val="Compact"/>
              <w:jc w:val="left"/>
            </w:pPr>
            <w:r>
              <w:t xml:space="preserve">Auto-generation from system telemetry; every inference, data source, and model version documented in real time</w:t>
            </w:r>
          </w:p>
        </w:tc>
      </w:tr>
      <w:tr>
        <w:tc>
          <w:tcPr/>
          <w:p>
            <w:pPr>
              <w:pStyle w:val="Compact"/>
              <w:jc w:val="left"/>
            </w:pPr>
            <w:r>
              <w:rPr>
                <w:bCs/>
                <w:b/>
              </w:rPr>
              <w:t xml:space="preserve">Art. 12 — Automatic Logging</w:t>
            </w:r>
          </w:p>
        </w:tc>
        <w:tc>
          <w:tcPr/>
          <w:p>
            <w:pPr>
              <w:pStyle w:val="Compact"/>
              <w:jc w:val="left"/>
            </w:pPr>
            <w:r>
              <w:t xml:space="preserve">Decision-level audit trails, inputs/outputs/confidence scores, human overrides, 6-month retention</w:t>
            </w:r>
          </w:p>
        </w:tc>
        <w:tc>
          <w:tcPr/>
          <w:p>
            <w:pPr>
              <w:pStyle w:val="Compact"/>
              <w:jc w:val="left"/>
            </w:pPr>
            <w:r>
              <w:rPr>
                <w:bCs/>
                <w:b/>
              </w:rPr>
              <w:t xml:space="preserve">Sentinel Spine (Layer 1)</w:t>
            </w:r>
          </w:p>
        </w:tc>
        <w:tc>
          <w:tcPr/>
          <w:p>
            <w:pPr>
              <w:pStyle w:val="Compact"/>
              <w:jc w:val="left"/>
            </w:pPr>
            <w:r>
              <w:t xml:space="preserve">Per-inference logging with blockchain-verified integrity; full post-hoc reconstruction capability</w:t>
            </w:r>
          </w:p>
        </w:tc>
      </w:tr>
      <w:tr>
        <w:tc>
          <w:tcPr/>
          <w:p>
            <w:pPr>
              <w:pStyle w:val="Compact"/>
              <w:jc w:val="left"/>
            </w:pPr>
            <w:r>
              <w:rPr>
                <w:bCs/>
                <w:b/>
              </w:rPr>
              <w:t xml:space="preserve">Art. 13 — Transparency &amp; Instructions</w:t>
            </w:r>
          </w:p>
        </w:tc>
        <w:tc>
          <w:tcPr/>
          <w:p>
            <w:pPr>
              <w:pStyle w:val="Compact"/>
              <w:jc w:val="left"/>
            </w:pPr>
            <w:r>
              <w:t xml:space="preserve">Capabilities, limitations, accuracy metrics, human review triggers</w:t>
            </w:r>
          </w:p>
        </w:tc>
        <w:tc>
          <w:tcPr/>
          <w:p>
            <w:pPr>
              <w:pStyle w:val="Compact"/>
              <w:jc w:val="left"/>
            </w:pPr>
            <w:r>
              <w:rPr>
                <w:bCs/>
                <w:b/>
              </w:rPr>
              <w:t xml:space="preserve">FUSION Core (Layer 3)</w:t>
            </w:r>
          </w:p>
        </w:tc>
        <w:tc>
          <w:tcPr/>
          <w:p>
            <w:pPr>
              <w:pStyle w:val="Compact"/>
              <w:jc w:val="left"/>
            </w:pPr>
            <w:r>
              <w:t xml:space="preserve">Auto-generated from operational telemetry; accuracy metrics updated per inference</w:t>
            </w:r>
          </w:p>
        </w:tc>
      </w:tr>
      <w:tr>
        <w:tc>
          <w:tcPr/>
          <w:p>
            <w:pPr>
              <w:pStyle w:val="Compact"/>
              <w:jc w:val="left"/>
            </w:pPr>
            <w:r>
              <w:rPr>
                <w:bCs/>
                <w:b/>
              </w:rPr>
              <w:t xml:space="preserve">Art. 14 — Human Oversight</w:t>
            </w:r>
          </w:p>
        </w:tc>
        <w:tc>
          <w:tcPr/>
          <w:p>
            <w:pPr>
              <w:pStyle w:val="Compact"/>
              <w:jc w:val="left"/>
            </w:pPr>
            <w:r>
              <w:t xml:space="preserve">Meaningful human review with who-reviewed/when/outcome/reasoning documentation</w:t>
            </w:r>
          </w:p>
        </w:tc>
        <w:tc>
          <w:tcPr/>
          <w:p>
            <w:pPr>
              <w:pStyle w:val="Compact"/>
              <w:jc w:val="left"/>
            </w:pPr>
            <w:r>
              <w:rPr>
                <w:bCs/>
                <w:b/>
              </w:rPr>
              <w:t xml:space="preserve">Watchdog (Layer 5)</w:t>
            </w:r>
          </w:p>
        </w:tc>
        <w:tc>
          <w:tcPr/>
          <w:p>
            <w:pPr>
              <w:pStyle w:val="Compact"/>
              <w:jc w:val="left"/>
            </w:pPr>
            <w:r>
              <w:t xml:space="preserve">Certification-grade human-in-the-loop workflows; override mechanisms with mandatory reasoning capture</w:t>
            </w:r>
          </w:p>
        </w:tc>
      </w:tr>
      <w:tr>
        <w:tc>
          <w:tcPr/>
          <w:p>
            <w:pPr>
              <w:pStyle w:val="Compact"/>
              <w:jc w:val="left"/>
            </w:pPr>
            <w:r>
              <w:rPr>
                <w:bCs/>
                <w:b/>
              </w:rPr>
              <w:t xml:space="preserve">Art. 15 — Accuracy, Robustness, Cybersecurity</w:t>
            </w:r>
          </w:p>
        </w:tc>
        <w:tc>
          <w:tcPr/>
          <w:p>
            <w:pPr>
              <w:pStyle w:val="Compact"/>
              <w:jc w:val="left"/>
            </w:pPr>
            <w:r>
              <w:t xml:space="preserve">Validated performance metrics, adversarial robustness testing</w:t>
            </w:r>
          </w:p>
        </w:tc>
        <w:tc>
          <w:tcPr/>
          <w:p>
            <w:pPr>
              <w:pStyle w:val="Compact"/>
              <w:jc w:val="left"/>
            </w:pPr>
            <w:r>
              <w:rPr>
                <w:bCs/>
                <w:b/>
              </w:rPr>
              <w:t xml:space="preserve">Red/Blue Team (Layer 4)</w:t>
            </w:r>
          </w:p>
        </w:tc>
        <w:tc>
          <w:tcPr/>
          <w:p>
            <w:pPr>
              <w:pStyle w:val="Compact"/>
              <w:jc w:val="left"/>
            </w:pPr>
            <w:r>
              <w:t xml:space="preserve">Continuous adversarial testing; automated accuracy benchmarking against validation datasets</w:t>
            </w:r>
          </w:p>
        </w:tc>
      </w:tr>
      <w:tr>
        <w:tc>
          <w:tcPr/>
          <w:p>
            <w:pPr>
              <w:pStyle w:val="Compact"/>
              <w:jc w:val="left"/>
            </w:pPr>
            <w:r>
              <w:rPr>
                <w:bCs/>
                <w:b/>
              </w:rPr>
              <w:t xml:space="preserve">Art. 47 — EU Declaration of Conformity</w:t>
            </w:r>
          </w:p>
        </w:tc>
        <w:tc>
          <w:tcPr/>
          <w:p>
            <w:pPr>
              <w:pStyle w:val="Compact"/>
              <w:jc w:val="left"/>
            </w:pPr>
            <w:r>
              <w:t xml:space="preserve">Legal attestation by authorized representative</w:t>
            </w:r>
          </w:p>
        </w:tc>
        <w:tc>
          <w:tcPr/>
          <w:p>
            <w:pPr>
              <w:pStyle w:val="Compact"/>
              <w:jc w:val="left"/>
            </w:pPr>
            <w:r>
              <w:rPr>
                <w:bCs/>
                <w:b/>
              </w:rPr>
              <w:t xml:space="preserve">FUSION Core (Layer 3)</w:t>
            </w:r>
          </w:p>
        </w:tc>
        <w:tc>
          <w:tcPr/>
          <w:p>
            <w:pPr>
              <w:pStyle w:val="Compact"/>
              <w:jc w:val="left"/>
            </w:pPr>
            <w:r>
              <w:t xml:space="preserve">Auto-generated declaration package from verified compliance evidence</w:t>
            </w:r>
          </w:p>
        </w:tc>
      </w:tr>
      <w:tr>
        <w:tc>
          <w:tcPr/>
          <w:p>
            <w:pPr>
              <w:pStyle w:val="Compact"/>
              <w:jc w:val="left"/>
            </w:pPr>
            <w:r>
              <w:rPr>
                <w:bCs/>
                <w:b/>
              </w:rPr>
              <w:t xml:space="preserve">Art. 48 — CE Marking</w:t>
            </w:r>
          </w:p>
        </w:tc>
        <w:tc>
          <w:tcPr/>
          <w:p>
            <w:pPr>
              <w:pStyle w:val="Compact"/>
              <w:jc w:val="left"/>
            </w:pPr>
            <w:r>
              <w:t xml:space="preserve">Visible marking on AI system UI, documentation, ToS</w:t>
            </w:r>
          </w:p>
        </w:tc>
        <w:tc>
          <w:tcPr/>
          <w:p>
            <w:pPr>
              <w:pStyle w:val="Compact"/>
              <w:jc w:val="left"/>
            </w:pPr>
            <w:r>
              <w:rPr>
                <w:bCs/>
                <w:b/>
              </w:rPr>
              <w:t xml:space="preserve">FUSION Core (Layer 3)</w:t>
            </w:r>
          </w:p>
        </w:tc>
        <w:tc>
          <w:tcPr/>
          <w:p>
            <w:pPr>
              <w:pStyle w:val="Compact"/>
              <w:jc w:val="left"/>
            </w:pPr>
            <w:r>
              <w:t xml:space="preserve">Auto-generated CE marking package with compliance evidence bundle</w:t>
            </w:r>
          </w:p>
        </w:tc>
      </w:tr>
      <w:tr>
        <w:tc>
          <w:tcPr/>
          <w:p>
            <w:pPr>
              <w:pStyle w:val="Compact"/>
              <w:jc w:val="left"/>
            </w:pPr>
            <w:r>
              <w:rPr>
                <w:bCs/>
                <w:b/>
              </w:rPr>
              <w:t xml:space="preserve">Art. 71 — EU Database Registration</w:t>
            </w:r>
          </w:p>
        </w:tc>
        <w:tc>
          <w:tcPr/>
          <w:p>
            <w:pPr>
              <w:pStyle w:val="Compact"/>
              <w:jc w:val="left"/>
            </w:pPr>
            <w:r>
              <w:t xml:space="preserve">Public registration before market placement</w:t>
            </w:r>
          </w:p>
        </w:tc>
        <w:tc>
          <w:tcPr/>
          <w:p>
            <w:pPr>
              <w:pStyle w:val="Compact"/>
              <w:jc w:val="left"/>
            </w:pPr>
            <w:r>
              <w:rPr>
                <w:bCs/>
                <w:b/>
              </w:rPr>
              <w:t xml:space="preserve">FUSION Core (Layer 3)</w:t>
            </w:r>
          </w:p>
        </w:tc>
        <w:tc>
          <w:tcPr/>
          <w:p>
            <w:pPr>
              <w:pStyle w:val="Compact"/>
              <w:jc w:val="left"/>
            </w:pPr>
            <w:r>
              <w:t xml:space="preserve">Structured registration payload auto-populated from compliance documentation</w:t>
            </w:r>
          </w:p>
        </w:tc>
      </w:tr>
    </w:tbl>
    <w:p>
      <w:pPr>
        <w:pStyle w:val="BodyText"/>
      </w:pPr>
      <w:r>
        <w:rPr>
          <w:bCs/>
          <w:b/>
        </w:rPr>
        <w:t xml:space="preserve">The Speed Advantage — Why 48 Hours Is Not an Estimate:</w:t>
      </w:r>
    </w:p>
    <w:p>
      <w:pPr>
        <w:pStyle w:val="BodyText"/>
      </w:pPr>
      <w:r>
        <w:t xml:space="preserve">Traditional compliance paths require 12-16 weeks because they depend on manual inventory, manual documentation, manual risk assessment, and manual logging configuration. SOV3’s engine collapses this timeline through architectural integration:</w:t>
      </w:r>
    </w:p>
    <w:p>
      <w:pPr>
        <w:numPr>
          <w:ilvl w:val="0"/>
          <w:numId w:val="1006"/>
        </w:numPr>
        <w:pStyle w:val="Compact"/>
      </w:pPr>
      <w:r>
        <w:rPr>
          <w:bCs/>
          <w:b/>
        </w:rPr>
        <w:t xml:space="preserve">Hour 0-4: Auto-Discovery.</w:t>
      </w:r>
      <w:r>
        <w:t xml:space="preserve"> </w:t>
      </w:r>
      <w:r>
        <w:t xml:space="preserve">The Sentinel Spine scans enterprise infrastructure and identifies all AI systems — including shadow AI that 83% of organizations do not know they run.</w:t>
      </w:r>
      <w:r>
        <w:t xml:space="preserve"> </w:t>
      </w:r>
      <w:r>
        <w:rPr>
          <w:vertAlign w:val="superscript"/>
        </w:rPr>
        <w:t xml:space="preserve">40</w:t>
      </w:r>
      <w:r>
        <w:t xml:space="preserve">2.</w:t>
      </w:r>
      <w:r>
        <w:t xml:space="preserve"> </w:t>
      </w:r>
      <w:r>
        <w:rPr>
          <w:bCs/>
          <w:b/>
        </w:rPr>
        <w:t xml:space="preserve">Hour 4-12: Auto-Classification.</w:t>
      </w:r>
      <w:r>
        <w:t xml:space="preserve"> </w:t>
      </w:r>
      <w:r>
        <w:t xml:space="preserve">Each discovered system is classified against EU AI Act Annex III risk categories using automated policy matching against system capabilities and data types.</w:t>
      </w:r>
    </w:p>
    <w:p>
      <w:pPr>
        <w:numPr>
          <w:ilvl w:val="0"/>
          <w:numId w:val="1006"/>
        </w:numPr>
        <w:pStyle w:val="Compact"/>
      </w:pPr>
      <w:r>
        <w:rPr>
          <w:bCs/>
          <w:b/>
        </w:rPr>
        <w:t xml:space="preserve">Hour 12-24: Auto-Documentation.</w:t>
      </w:r>
      <w:r>
        <w:t xml:space="preserve"> </w:t>
      </w:r>
      <w:r>
        <w:t xml:space="preserve">FUSION Core generates Annex IV technical documentation from live system telemetry — not interviews, not questionnaires, not manual data entry. Every model version, training data source, inference log, and accuracy metric is captured automatically.</w:t>
      </w:r>
    </w:p>
    <w:p>
      <w:pPr>
        <w:numPr>
          <w:ilvl w:val="0"/>
          <w:numId w:val="1006"/>
        </w:numPr>
        <w:pStyle w:val="Compact"/>
      </w:pPr>
      <w:r>
        <w:rPr>
          <w:bCs/>
          <w:b/>
        </w:rPr>
        <w:t xml:space="preserve">Hour 24-36: Auto-Logging &amp; Oversight.</w:t>
      </w:r>
      <w:r>
        <w:t xml:space="preserve"> </w:t>
      </w:r>
      <w:r>
        <w:t xml:space="preserve">Sentinel Spine enables Article 12-compliant decision-level logging. Watchdog activates human oversight workflows with mandatory override reasoning capture.</w:t>
      </w:r>
    </w:p>
    <w:p>
      <w:pPr>
        <w:numPr>
          <w:ilvl w:val="0"/>
          <w:numId w:val="1006"/>
        </w:numPr>
        <w:pStyle w:val="Compact"/>
      </w:pPr>
      <w:r>
        <w:rPr>
          <w:bCs/>
          <w:b/>
        </w:rPr>
        <w:t xml:space="preserve">Hour 36-48: Compliance Package Generation.</w:t>
      </w:r>
      <w:r>
        <w:t xml:space="preserve"> </w:t>
      </w:r>
      <w:r>
        <w:t xml:space="preserve">The EU Declaration of Conformity, CE marking package, and EU database registration payload are auto-generated and ready for authorized representative signature.</w:t>
      </w:r>
    </w:p>
    <w:p>
      <w:pPr>
        <w:pStyle w:val="FirstParagraph"/>
      </w:pPr>
      <w:r>
        <w:rPr>
          <w:bCs/>
          <w:b/>
        </w:rPr>
        <w:t xml:space="preserve">48 hours versus 12-16 weeks. That is not an incremental improvement. That is a 98% reduction in time-to-compliance.</w:t>
      </w:r>
    </w:p>
    <w:p>
      <w:pPr>
        <w:pStyle w:val="BodyText"/>
      </w:pPr>
      <w:r>
        <w:rPr>
          <w:bCs/>
          <w:b/>
        </w:rPr>
        <w:t xml:space="preserve">The Pricing Devastation: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SOV3 Price</w:t>
            </w:r>
          </w:p>
        </w:tc>
        <w:tc>
          <w:tcPr/>
          <w:p>
            <w:pPr>
              <w:pStyle w:val="Compact"/>
              <w:jc w:val="left"/>
            </w:pPr>
            <w:r>
              <w:t xml:space="preserve">Comparable Competitor</w:t>
            </w:r>
          </w:p>
        </w:tc>
        <w:tc>
          <w:tcPr/>
          <w:p>
            <w:pPr>
              <w:pStyle w:val="Compact"/>
              <w:jc w:val="left"/>
            </w:pPr>
            <w:r>
              <w:t xml:space="preserve">SOV3 Advantage</w:t>
            </w:r>
          </w:p>
        </w:tc>
      </w:tr>
      <w:tr>
        <w:tc>
          <w:tcPr/>
          <w:p>
            <w:pPr>
              <w:pStyle w:val="Compact"/>
              <w:jc w:val="left"/>
            </w:pPr>
            <w:r>
              <w:rPr>
                <w:bCs/>
                <w:b/>
              </w:rPr>
              <w:t xml:space="preserve">Starter</w:t>
            </w:r>
          </w:p>
        </w:tc>
        <w:tc>
          <w:tcPr/>
          <w:p>
            <w:pPr>
              <w:pStyle w:val="Compact"/>
              <w:jc w:val="left"/>
            </w:pPr>
            <w:r>
              <w:t xml:space="preserve">$499/month</w:t>
            </w:r>
          </w:p>
        </w:tc>
        <w:tc>
          <w:tcPr/>
          <w:p>
            <w:pPr>
              <w:pStyle w:val="Compact"/>
              <w:jc w:val="left"/>
            </w:pPr>
            <w:r>
              <w:t xml:space="preserve">Fronterio (free tier, limited)</w:t>
            </w:r>
          </w:p>
        </w:tc>
        <w:tc>
          <w:tcPr/>
          <w:p>
            <w:pPr>
              <w:pStyle w:val="Compact"/>
              <w:jc w:val="left"/>
            </w:pPr>
            <w:r>
              <w:t xml:space="preserve">10x capability at entry price point</w:t>
            </w:r>
          </w:p>
        </w:tc>
      </w:tr>
      <w:tr>
        <w:tc>
          <w:tcPr/>
          <w:p>
            <w:pPr>
              <w:pStyle w:val="Compact"/>
              <w:jc w:val="left"/>
            </w:pPr>
            <w:r>
              <w:rPr>
                <w:bCs/>
                <w:b/>
              </w:rPr>
              <w:t xml:space="preserve">Professional</w:t>
            </w:r>
          </w:p>
        </w:tc>
        <w:tc>
          <w:tcPr/>
          <w:p>
            <w:pPr>
              <w:pStyle w:val="Compact"/>
              <w:jc w:val="left"/>
            </w:pPr>
            <w:r>
              <w:t xml:space="preserve">$2,499/month</w:t>
            </w:r>
          </w:p>
        </w:tc>
        <w:tc>
          <w:tcPr/>
          <w:p>
            <w:pPr>
              <w:pStyle w:val="Compact"/>
              <w:jc w:val="left"/>
            </w:pPr>
            <w:r>
              <w:t xml:space="preserve">Holistic AI ($1K-$5K/month)</w:t>
            </w:r>
            <w:r>
              <w:t xml:space="preserve"> </w:t>
            </w:r>
            <w:r>
              <w:rPr>
                <w:vertAlign w:val="superscript"/>
              </w:rPr>
              <w:t xml:space="preserve">53</w:t>
            </w:r>
          </w:p>
        </w:tc>
        <w:tc>
          <w:tcPr/>
          <w:p>
            <w:pPr>
              <w:pStyle w:val="Compact"/>
              <w:jc w:val="left"/>
            </w:pPr>
            <w:r>
              <w:t xml:space="preserve">50% cheaper; self-serve onboarding</w:t>
            </w:r>
          </w:p>
        </w:tc>
      </w:tr>
      <w:tr>
        <w:tc>
          <w:tcPr/>
          <w:p>
            <w:pPr>
              <w:pStyle w:val="Compact"/>
              <w:jc w:val="left"/>
            </w:pPr>
            <w:r>
              <w:rPr>
                <w:bCs/>
                <w:b/>
              </w:rPr>
              <w:t xml:space="preserve">Enterprise</w:t>
            </w:r>
          </w:p>
        </w:tc>
        <w:tc>
          <w:tcPr/>
          <w:p>
            <w:pPr>
              <w:pStyle w:val="Compact"/>
              <w:jc w:val="left"/>
            </w:pPr>
            <w:r>
              <w:t xml:space="preserve">$9,999/month</w:t>
            </w:r>
          </w:p>
        </w:tc>
        <w:tc>
          <w:tcPr/>
          <w:p>
            <w:pPr>
              <w:pStyle w:val="Compact"/>
              <w:jc w:val="left"/>
            </w:pPr>
            <w:r>
              <w:t xml:space="preserve">OneTrust ($25K/month)</w:t>
            </w:r>
            <w:r>
              <w:t xml:space="preserve"> </w:t>
            </w:r>
            <w:r>
              <w:rPr>
                <w:vertAlign w:val="superscript"/>
              </w:rPr>
              <w:t xml:space="preserve">48</w:t>
            </w:r>
          </w:p>
        </w:tc>
        <w:tc>
          <w:tcPr/>
          <w:p>
            <w:pPr>
              <w:pStyle w:val="Compact"/>
              <w:jc w:val="left"/>
            </w:pPr>
            <w:r>
              <w:t xml:space="preserve">60% cheaper; 48-hour vs. 12-week deployment</w:t>
            </w:r>
          </w:p>
        </w:tc>
      </w:tr>
      <w:tr>
        <w:tc>
          <w:tcPr/>
          <w:p>
            <w:pPr>
              <w:pStyle w:val="Compact"/>
              <w:jc w:val="left"/>
            </w:pPr>
            <w:r>
              <w:rPr>
                <w:bCs/>
                <w:b/>
              </w:rPr>
              <w:t xml:space="preserve">Concierge</w:t>
            </w:r>
          </w:p>
        </w:tc>
        <w:tc>
          <w:tcPr/>
          <w:p>
            <w:pPr>
              <w:pStyle w:val="Compact"/>
              <w:jc w:val="left"/>
            </w:pPr>
            <w:r>
              <w:t xml:space="preserve">$25,000/month</w:t>
            </w:r>
          </w:p>
        </w:tc>
        <w:tc>
          <w:tcPr/>
          <w:p>
            <w:pPr>
              <w:pStyle w:val="Compact"/>
              <w:jc w:val="left"/>
            </w:pPr>
            <w:r>
              <w:t xml:space="preserve">IBM Watsonx ($25K/month)</w:t>
            </w:r>
            <w:r>
              <w:t xml:space="preserve"> </w:t>
            </w:r>
            <w:r>
              <w:rPr>
                <w:vertAlign w:val="superscript"/>
              </w:rPr>
              <w:t xml:space="preserve">50</w:t>
            </w:r>
          </w:p>
        </w:tc>
        <w:tc>
          <w:tcPr/>
          <w:p>
            <w:pPr>
              <w:pStyle w:val="Compact"/>
              <w:jc w:val="left"/>
            </w:pPr>
            <w:r>
              <w:t xml:space="preserve">Same price, no ecosystem lock-in, no consulting dependency</w:t>
            </w:r>
          </w:p>
        </w:tc>
      </w:tr>
    </w:tbl>
    <w:p>
      <w:pPr>
        <w:pStyle w:val="BodyText"/>
      </w:pPr>
      <w:r>
        <w:t xml:space="preserve">At $2,499 per month ($29,988 annually), SOV3 Professional costs</w:t>
      </w:r>
      <w:r>
        <w:t xml:space="preserve"> </w:t>
      </w:r>
      <w:r>
        <w:rPr>
          <w:bCs/>
          <w:b/>
        </w:rPr>
        <w:t xml:space="preserve">50% less than the annual compliance cost of a single high-risk AI system</w:t>
      </w:r>
      <w:r>
        <w:t xml:space="preserve"> </w:t>
      </w:r>
      <w:r>
        <w:t xml:space="preserve">(EUR 29,277 / ~$32,000).</w:t>
      </w:r>
      <w:r>
        <w:t xml:space="preserve"> </w:t>
      </w:r>
      <w:r>
        <w:rPr>
          <w:vertAlign w:val="superscript"/>
        </w:rPr>
        <w:t xml:space="preserve">43</w:t>
      </w:r>
      <w:r>
        <w:t xml:space="preserve">A mid-market company with ten high-risk systems pays approximately $299,880 per year with SOV3 versus $500,000 to $1,000,000-plus with competitors or manual compliance. A Fortune 500 firm pays $120,000 annually with SOV3 Enterprise versus $3.3 million in Year 1 with Microsoft Purview — a</w:t>
      </w:r>
      <w:r>
        <w:t xml:space="preserve"> </w:t>
      </w:r>
      <w:r>
        <w:rPr>
          <w:bCs/>
          <w:b/>
        </w:rPr>
        <w:t xml:space="preserve">96% cost reduction</w:t>
      </w:r>
      <w:r>
        <w:t xml:space="preserve"> </w:t>
      </w:r>
      <w:r>
        <w:t xml:space="preserve">with</w:t>
      </w:r>
      <w:r>
        <w:t xml:space="preserve"> </w:t>
      </w:r>
      <w:r>
        <w:rPr>
          <w:bCs/>
          <w:b/>
        </w:rPr>
        <w:t xml:space="preserve">98% faster deployment</w:t>
      </w:r>
      <w:r>
        <w:t xml:space="preserve">.</w:t>
      </w:r>
    </w:p>
    <w:p>
      <w:pPr>
        <w:pStyle w:val="BodyText"/>
      </w:pPr>
      <w:r>
        <w:t xml:space="preserve">The harmonized standards crisis is SOV3’s final advantage multiplier. With no published standards and no presumption of conformity available, enterprises need guidance, not just tooling. SOV3’s built-in compliance playbooks provide the structured pathway that standards would have delivered. SOV3 is the standard until standards exist.</w:t>
      </w:r>
      <w:r>
        <w:t xml:space="preserve"> </w:t>
      </w:r>
      <w:r>
        <w:rPr>
          <w:vertAlign w:val="superscript"/>
        </w:rPr>
        <w:t xml:space="preserve">38</w:t>
      </w:r>
      <w:r>
        <w:t xml:space="preserve">### Chapter 4 Key Takeaways</w:t>
      </w:r>
    </w:p>
    <w:p>
      <w:pPr>
        <w:numPr>
          <w:ilvl w:val="0"/>
          <w:numId w:val="1007"/>
        </w:numPr>
      </w:pPr>
      <w:r>
        <w:rPr>
          <w:bCs/>
          <w:b/>
        </w:rPr>
        <w:t xml:space="preserve">The August 2, 2026 deadline is legally binding and immovable.</w:t>
      </w:r>
      <w:r>
        <w:t xml:space="preserve"> </w:t>
      </w:r>
      <w:r>
        <w:t xml:space="preserve">The Digital Omnibus trilogue collapsed on April 28, 2026. No extension has been enacted. Enterprises planning around delay face EUR 35 million or 7% of global turnover in exposure.</w:t>
      </w:r>
      <w:r>
        <w:t xml:space="preserve"> </w:t>
      </w:r>
      <w:r>
        <w:rPr>
          <w:vertAlign w:val="superscript"/>
        </w:rPr>
        <w:t xml:space="preserve">16</w:t>
      </w:r>
      <w:r>
        <w:t xml:space="preserve"> </w:t>
      </w:r>
      <w:r>
        <w:rPr>
          <w:vertAlign w:val="superscript"/>
        </w:rPr>
        <w:t xml:space="preserve">21</w:t>
      </w:r>
      <w:r>
        <w:t xml:space="preserve">2.</w:t>
      </w:r>
      <w:r>
        <w:t xml:space="preserve"> </w:t>
      </w:r>
      <w:r>
        <w:rPr>
          <w:bCs/>
          <w:b/>
        </w:rPr>
        <w:t xml:space="preserve">78% of enterprises are unprepared and 83% have no AI system inventory.</w:t>
      </w:r>
      <w:r>
        <w:t xml:space="preserve"> </w:t>
      </w:r>
      <w:r>
        <w:t xml:space="preserve">This is not a market education problem — it is a market panic event. The compliance gap creates non-discretionary spending demand at the exact moment SOV3 launches.</w:t>
      </w:r>
      <w:r>
        <w:t xml:space="preserve"> </w:t>
      </w:r>
      <w:r>
        <w:rPr>
          <w:vertAlign w:val="superscript"/>
        </w:rPr>
        <w:t xml:space="preserve">39</w:t>
      </w:r>
      <w:r>
        <w:t xml:space="preserve"> </w:t>
      </w:r>
      <w:r>
        <w:rPr>
          <w:vertAlign w:val="superscript"/>
        </w:rPr>
        <w:t xml:space="preserve">40</w:t>
      </w:r>
      <w:r>
        <w:t xml:space="preserve">3.</w:t>
      </w:r>
      <w:r>
        <w:t xml:space="preserve"> </w:t>
      </w:r>
      <w:r>
        <w:rPr>
          <w:bCs/>
          <w:b/>
        </w:rPr>
        <w:t xml:space="preserve">Zero harmonized standards are published.</w:t>
      </w:r>
      <w:r>
        <w:t xml:space="preserve"> </w:t>
      </w:r>
      <w:r>
        <w:t xml:space="preserve">Article 40 presumption of conformity is unavailable. Every enterprise must complete full Annex VI internal control assessment without shortcuts. This favors platforms that provide structured guidance, not just tools.</w:t>
      </w:r>
      <w:r>
        <w:t xml:space="preserve"> </w:t>
      </w:r>
      <w:r>
        <w:rPr>
          <w:vertAlign w:val="superscript"/>
        </w:rPr>
        <w:t xml:space="preserve">38</w:t>
      </w:r>
      <w:r>
        <w:t xml:space="preserve">4.</w:t>
      </w:r>
      <w:r>
        <w:t xml:space="preserve"> </w:t>
      </w:r>
      <w:r>
        <w:rPr>
          <w:bCs/>
          <w:b/>
        </w:rPr>
        <w:t xml:space="preserve">The competitive landscape is a desert.</w:t>
      </w:r>
      <w:r>
        <w:t xml:space="preserve"> </w:t>
      </w:r>
      <w:r>
        <w:t xml:space="preserve">Eight of fourteen analyzed competitors have no EU AI Act solution. The six that do require 4-16 week implementations, cost $50K-$3.3M annually, and none offer self-serve automated conformity assessment.</w:t>
      </w:r>
      <w:r>
        <w:t xml:space="preserve"> </w:t>
      </w:r>
      <w:r>
        <w:rPr>
          <w:vertAlign w:val="superscript"/>
        </w:rPr>
        <w:t xml:space="preserve">54</w:t>
      </w:r>
      <w:r>
        <w:t xml:space="preserve"> </w:t>
      </w:r>
      <w:r>
        <w:rPr>
          <w:vertAlign w:val="superscript"/>
        </w:rPr>
        <w:t xml:space="preserve">37</w:t>
      </w:r>
      <w:r>
        <w:t xml:space="preserve"> </w:t>
      </w:r>
      <w:r>
        <w:rPr>
          <w:vertAlign w:val="superscript"/>
        </w:rPr>
        <w:t xml:space="preserve">48</w:t>
      </w:r>
      <w:r>
        <w:t xml:space="preserve">5.</w:t>
      </w:r>
      <w:r>
        <w:t xml:space="preserve"> </w:t>
      </w:r>
      <w:r>
        <w:rPr>
          <w:bCs/>
          <w:b/>
        </w:rPr>
        <w:t xml:space="preserve">SOV3’s 48-Hour Compliance Engine maps every EU AI Act article to a specific architectural layer.</w:t>
      </w:r>
      <w:r>
        <w:t xml:space="preserve"> </w:t>
      </w:r>
      <w:r>
        <w:t xml:space="preserve">Risk management via PDCA. Technical documentation via FUSION Core auto-generation. Logging via Sentinel Spine per-inference capture. Human oversight via Watchdog certification. The result: 98% faster deployment at 50-96% lower cost than any competitor.</w:t>
      </w:r>
    </w:p>
    <w:p>
      <w:pPr>
        <w:numPr>
          <w:ilvl w:val="0"/>
          <w:numId w:val="1007"/>
        </w:numPr>
      </w:pPr>
      <w:r>
        <w:rPr>
          <w:bCs/>
          <w:b/>
        </w:rPr>
        <w:t xml:space="preserve">The market opportunity is $5.9 billion by 2035 growing at 34% CAGR.</w:t>
      </w:r>
      <w:r>
        <w:t xml:space="preserve"> </w:t>
      </w:r>
      <w:r>
        <w:rPr>
          <w:vertAlign w:val="superscript"/>
        </w:rPr>
        <w:t xml:space="preserve">47</w:t>
      </w:r>
      <w:r>
        <w:t xml:space="preserve">SOV3 enters 58 days before the deadline — the exact moment when compliance spending shifts from discretionary to existential. No competitor can match the speed, price, or architectural integration. The EU AI Act is not SOV3’s challenge. It is SOV3’s customer acquisition engine.</w:t>
      </w:r>
    </w:p>
    <w:p>
      <w:r>
        <w:pict>
          <v:rect style="width:0;height:1.5pt" o:hralign="center" o:hrstd="t" o:hr="t"/>
        </w:pict>
      </w:r>
    </w:p>
    <w:bookmarkEnd w:id="39"/>
    <w:bookmarkEnd w:id="40"/>
    <w:bookmarkStart w:id="60" w:name="competitor-destruction-matrix"/>
    <w:p>
      <w:pPr>
        <w:pStyle w:val="Heading2"/>
      </w:pPr>
      <w:r>
        <w:t xml:space="preserve">5. Competitor Destruction Matrix</w:t>
      </w:r>
    </w:p>
    <w:p>
      <w:pPr>
        <w:pStyle w:val="FirstParagraph"/>
      </w:pPr>
      <w:r>
        <w:rPr>
          <w:iCs/>
          <w:i/>
        </w:rPr>
        <w:t xml:space="preserve">“</w:t>
      </w:r>
      <w:r>
        <w:rPr>
          <w:iCs/>
          <w:i/>
        </w:rPr>
        <w:t xml:space="preserve">Know the enemy, know yourself, and victory is never in doubt.</w:t>
      </w:r>
      <w:r>
        <w:rPr>
          <w:iCs/>
          <w:i/>
        </w:rPr>
        <w:t xml:space="preserve">”</w:t>
      </w:r>
      <w:r>
        <w:t xml:space="preserve"> </w:t>
      </w:r>
      <w:r>
        <w:t xml:space="preserve">— The Art of War, Sun Tzu</w:t>
      </w:r>
    </w:p>
    <w:p>
      <w:pPr>
        <w:pStyle w:val="BodyText"/>
      </w:pPr>
      <w:r>
        <w:t xml:space="preserve">This chapter is the ammunition depot. Every table is a loaded magazine. Every data point is a precision round chambered for a specific target. The AI governance battlefield is crowded with incumbents who have grown fat on opaque enterprise contracts, slow implementation timelines, and vendor lock-in. They have left flanks exposed — and SOV3 will hit every one.</w:t>
      </w:r>
    </w:p>
    <w:p>
      <w:pPr>
        <w:pStyle w:val="BodyText"/>
      </w:pPr>
      <w:r>
        <w:t xml:space="preserve">The matrix is organized by threat tier: Tier 1 Giants (the Goliaths whose size makes them slow), Tier 2 Startups (the pretenders with funding fiction), Tier 3 GRC Legacy (the dinosaurs built for a pre-AI era), and the Pricing Warfare battlefield where SOV3 holds a 10-20x cost advantage.</w:t>
      </w:r>
    </w:p>
    <w:p>
      <w:r>
        <w:pict>
          <v:rect style="width:0;height:1.5pt" o:hralign="center" o:hrstd="t" o:hr="t"/>
        </w:pict>
      </w:r>
    </w:p>
    <w:bookmarkStart w:id="46" w:name="tier-1-giants-where-theyre-weakest"/>
    <w:p>
      <w:pPr>
        <w:pStyle w:val="Heading3"/>
      </w:pPr>
      <w:r>
        <w:t xml:space="preserve">5.1 Tier 1 Giants: Where They’re Weakest</w:t>
      </w:r>
    </w:p>
    <w:p>
      <w:pPr>
        <w:pStyle w:val="FirstParagraph"/>
      </w:pPr>
      <w:r>
        <w:t xml:space="preserve">The largest vendors in cybersecurity and GRC have built empires on complexity, lock-in, and opaque pricing. Their scale is their weakness — every customer complaint, every CVE, every insider sale is a public vulnerability that SOV3 can exploit.</w:t>
      </w:r>
    </w:p>
    <w:bookmarkStart w:id="41" w:name="onetrust-the-150m-layoff-machine"/>
    <w:p>
      <w:pPr>
        <w:pStyle w:val="Heading4"/>
      </w:pPr>
      <w:r>
        <w:t xml:space="preserve">OneTrust: The $150M Layoff Machine</w:t>
      </w:r>
    </w:p>
    <w:p>
      <w:pPr>
        <w:pStyle w:val="FirstParagraph"/>
      </w:pPr>
      <w:r>
        <w:t xml:space="preserve">OneTrust is the GRC Goliath — 2,543 employees, 14,000+ customers, half of the Fortune 500</w:t>
      </w:r>
      <w:r>
        <w:t xml:space="preserve"> </w:t>
      </w:r>
      <w:r>
        <w:rPr>
          <w:vertAlign w:val="superscript"/>
        </w:rPr>
        <w:t xml:space="preserve">57</w:t>
      </w:r>
      <w:r>
        <w:t xml:space="preserve">. It is also the most vulnerable giant SOV3 faces. The numbers paint a picture of a company in distress, bloated by acquisition, hemorrhaging talent, and pricing itself out of the mid-market.</w:t>
      </w:r>
    </w:p>
    <w:p>
      <w:pPr>
        <w:pStyle w:val="BodyText"/>
      </w:pPr>
      <w:r>
        <w:rPr>
          <w:bCs/>
          <w:b/>
        </w:rPr>
        <w:t xml:space="preserve">The Layoff Record.</w:t>
      </w:r>
      <w:r>
        <w:t xml:space="preserve"> </w:t>
      </w:r>
      <w:r>
        <w:t xml:space="preserve">OneTrust executed</w:t>
      </w:r>
      <w:r>
        <w:t xml:space="preserve"> </w:t>
      </w:r>
      <w:r>
        <w:rPr>
          <w:bCs/>
          <w:b/>
        </w:rPr>
        <w:t xml:space="preserve">1,060 layoffs</w:t>
      </w:r>
      <w:r>
        <w:t xml:space="preserve"> </w:t>
      </w:r>
      <w:r>
        <w:t xml:space="preserve">in its most recent reduction cycle — a bloodletting that slashed core engineering, customer success, and product teams</w:t>
      </w:r>
      <w:r>
        <w:t xml:space="preserve"> </w:t>
      </w:r>
      <w:r>
        <w:rPr>
          <w:vertAlign w:val="superscript"/>
        </w:rPr>
        <w:t xml:space="preserve">58</w:t>
      </w:r>
      <w:r>
        <w:t xml:space="preserve">. This follows a pattern: OneTrust has undergone multiple rounds of restructuring since 2022, each one eroding institutional knowledge and customer trust. A verified Capterra user captured the post-sales reality:</w:t>
      </w:r>
      <w:r>
        <w:t xml:space="preserve"> </w:t>
      </w:r>
      <w:r>
        <w:rPr>
          <w:iCs/>
          <w:i/>
        </w:rPr>
        <w:t xml:space="preserve">“</w:t>
      </w:r>
      <w:r>
        <w:rPr>
          <w:iCs/>
          <w:i/>
        </w:rPr>
        <w:t xml:space="preserve">The team was very proactive when it came to contract renewal. But once the contract is signed and paid for, you’re left alone</w:t>
      </w:r>
      <w:r>
        <w:rPr>
          <w:iCs/>
          <w:i/>
        </w:rPr>
        <w:t xml:space="preserve">”</w:t>
      </w:r>
      <w:r>
        <w:t xml:space="preserve"> </w:t>
      </w:r>
      <w:r>
        <w:rPr>
          <w:vertAlign w:val="superscript"/>
        </w:rPr>
        <w:t xml:space="preserve">59</w:t>
      </w:r>
      <w:r>
        <w:t xml:space="preserve">.</w:t>
      </w:r>
    </w:p>
    <w:p>
      <w:pPr>
        <w:pStyle w:val="BodyText"/>
      </w:pPr>
      <w:r>
        <w:rPr>
          <w:bCs/>
          <w:b/>
        </w:rPr>
        <w:t xml:space="preserve">The Trustpilot Score: 1.5/5.</w:t>
      </w:r>
      <w:r>
        <w:t xml:space="preserve"> </w:t>
      </w:r>
      <w:r>
        <w:t xml:space="preserve">OneTrust’s public reputation is abysmal. On Trustpilot — the world’s most visible consumer trust platform — the company scores a catastrophic</w:t>
      </w:r>
      <w:r>
        <w:t xml:space="preserve"> </w:t>
      </w:r>
      <w:r>
        <w:rPr>
          <w:bCs/>
          <w:b/>
        </w:rPr>
        <w:t xml:space="preserve">1.5 out of 5 stars</w:t>
      </w:r>
      <w:r>
        <w:t xml:space="preserve"> </w:t>
      </w:r>
      <w:r>
        <w:rPr>
          <w:vertAlign w:val="superscript"/>
        </w:rPr>
        <w:t xml:space="preserve">59</w:t>
      </w:r>
      <w:r>
        <w:t xml:space="preserve">. The complaints are consistent: deceptive pricing, modular cost sprawl, and implementation nightmares. One Head of Privacy at a 500-person SaaS company documented the trap:</w:t>
      </w:r>
      <w:r>
        <w:t xml:space="preserve"> </w:t>
      </w:r>
      <w:r>
        <w:rPr>
          <w:iCs/>
          <w:i/>
        </w:rPr>
        <w:t xml:space="preserve">“</w:t>
      </w:r>
      <w:r>
        <w:rPr>
          <w:iCs/>
          <w:i/>
        </w:rPr>
        <w:t xml:space="preserve">We started with consent management and added TPRM — within 18 months we were at $80K/year</w:t>
      </w:r>
      <w:r>
        <w:rPr>
          <w:iCs/>
          <w:i/>
        </w:rPr>
        <w:t xml:space="preserve">”</w:t>
      </w:r>
      <w:r>
        <w:t xml:space="preserve"> </w:t>
      </w:r>
      <w:r>
        <w:rPr>
          <w:vertAlign w:val="superscript"/>
        </w:rPr>
        <w:t xml:space="preserve">60</w:t>
      </w:r>
      <w:r>
        <w:t xml:space="preserve">.</w:t>
      </w:r>
    </w:p>
    <w:p>
      <w:pPr>
        <w:pStyle w:val="BodyText"/>
      </w:pPr>
      <w:r>
        <w:rPr>
          <w:bCs/>
          <w:b/>
        </w:rPr>
        <w:t xml:space="preserve">The Renewal Spike: 275-468%.</w:t>
      </w:r>
      <w:r>
        <w:t xml:space="preserve"> </w:t>
      </w:r>
      <w:r>
        <w:t xml:space="preserve">OneTrust’s pricing model is a modular labyrinth designed to extract maximum revenue. Vendr procurement data across 278 transactions reveals a median annual spend of ~$10,514/year, but the enterprise reality is far steeper: $50,000-$300,000+/year with a Forrester-composite large enterprise cost of</w:t>
      </w:r>
      <w:r>
        <w:t xml:space="preserve"> </w:t>
      </w:r>
      <w:r>
        <w:rPr>
          <w:bCs/>
          <w:b/>
        </w:rPr>
        <w:t xml:space="preserve">$292,000/year</w:t>
      </w:r>
      <w:r>
        <w:t xml:space="preserve"> </w:t>
      </w:r>
      <w:r>
        <w:rPr>
          <w:vertAlign w:val="superscript"/>
        </w:rPr>
        <w:t xml:space="preserve">61</w:t>
      </w:r>
      <w:r>
        <w:t xml:space="preserve">. The AI Governance module alone adds $30,000-$80,000/year as a separate add-on</w:t>
      </w:r>
      <w:r>
        <w:t xml:space="preserve"> </w:t>
      </w:r>
      <w:r>
        <w:rPr>
          <w:vertAlign w:val="superscript"/>
        </w:rPr>
        <w:t xml:space="preserve">62</w:t>
      </w:r>
      <w:r>
        <w:t xml:space="preserve">. Most devastating for customer retention: documented</w:t>
      </w:r>
      <w:r>
        <w:t xml:space="preserve"> </w:t>
      </w:r>
      <w:r>
        <w:rPr>
          <w:bCs/>
          <w:b/>
        </w:rPr>
        <w:t xml:space="preserve">renewal increases of 275-468%</w:t>
      </w:r>
      <w:r>
        <w:t xml:space="preserve"> </w:t>
      </w:r>
      <w:r>
        <w:t xml:space="preserve">after the initial contract period</w:t>
      </w:r>
      <w:r>
        <w:t xml:space="preserve"> </w:t>
      </w:r>
      <w:r>
        <w:rPr>
          <w:vertAlign w:val="superscript"/>
        </w:rPr>
        <w:t xml:space="preserve">61</w:t>
      </w:r>
      <w:r>
        <w:t xml:space="preserve">. OneTrust does not retain customers through value — it traps them through switching costs.</w:t>
      </w:r>
    </w:p>
    <w:p>
      <w:pPr>
        <w:pStyle w:val="BodyText"/>
      </w:pPr>
      <w:r>
        <w:rPr>
          <w:bCs/>
          <w:b/>
        </w:rPr>
        <w:t xml:space="preserve">The EU AI Act Blind Spot.</w:t>
      </w:r>
      <w:r>
        <w:t xml:space="preserve"> </w:t>
      </w:r>
      <w:r>
        <w:t xml:space="preserve">For all its regulatory framework claims, OneTrust’s AI governance is a</w:t>
      </w:r>
      <w:r>
        <w:t xml:space="preserve"> </w:t>
      </w:r>
      <w:r>
        <w:rPr>
          <w:bCs/>
          <w:b/>
        </w:rPr>
        <w:t xml:space="preserve">bolt-on module</w:t>
      </w:r>
      <w:r>
        <w:t xml:space="preserve">, not a purpose-built system. Per Fronterio analysis:</w:t>
      </w:r>
      <w:r>
        <w:t xml:space="preserve"> </w:t>
      </w:r>
      <w:r>
        <w:rPr>
          <w:iCs/>
          <w:i/>
        </w:rPr>
        <w:t xml:space="preserve">“</w:t>
      </w:r>
      <w:r>
        <w:rPr>
          <w:iCs/>
          <w:i/>
        </w:rPr>
        <w:t xml:space="preserve">The generic assessment templates require substantial customisation to reflect the Act’s specific obligations, and that customisation has to be redone whenever the Commission publishes guidance</w:t>
      </w:r>
      <w:r>
        <w:rPr>
          <w:iCs/>
          <w:i/>
        </w:rPr>
        <w:t xml:space="preserve">”</w:t>
      </w:r>
      <w:r>
        <w:t xml:space="preserve"> </w:t>
      </w:r>
      <w:r>
        <w:rPr>
          <w:vertAlign w:val="superscript"/>
        </w:rPr>
        <w:t xml:space="preserve">63</w:t>
      </w:r>
      <w:r>
        <w:t xml:space="preserve">. ISO 42001 certification? Not publicly disclosed as of May 2026</w:t>
      </w:r>
      <w:r>
        <w:t xml:space="preserve"> </w:t>
      </w:r>
      <w:r>
        <w:rPr>
          <w:vertAlign w:val="superscript"/>
        </w:rPr>
        <w:t xml:space="preserve">64</w:t>
      </w:r>
      <w:r>
        <w:t xml:space="preserve">. The EU AI Act high-risk obligations deadline is August 2, 2026</w:t>
      </w:r>
      <w:r>
        <w:t xml:space="preserve"> </w:t>
      </w:r>
      <w:r>
        <w:rPr>
          <w:vertAlign w:val="superscript"/>
        </w:rPr>
        <w:t xml:space="preserve">65</w:t>
      </w:r>
      <w:r>
        <w:t xml:space="preserve">— and OneTrust’s customers will face that deadline with immature tooling.</w:t>
      </w:r>
    </w:p>
    <w:p>
      <w:pPr>
        <w:pStyle w:val="BodyText"/>
      </w:pPr>
      <w:r>
        <w:rPr>
          <w:bCs/>
          <w:b/>
        </w:rPr>
        <w:t xml:space="preserve">SOV3 Kill Shot:</w:t>
      </w:r>
      <w:r>
        <w:t xml:space="preserve"> </w:t>
      </w:r>
      <w:r>
        <w:t xml:space="preserve">OneTrust takes 2.5-9 months to implement</w:t>
      </w:r>
      <w:r>
        <w:t xml:space="preserve"> </w:t>
      </w:r>
      <w:r>
        <w:rPr>
          <w:vertAlign w:val="superscript"/>
        </w:rPr>
        <w:t xml:space="preserve">66</w:t>
      </w:r>
      <w:r>
        <w:t xml:space="preserve"> </w:t>
      </w:r>
      <w:r>
        <w:rPr>
          <w:vertAlign w:val="superscript"/>
        </w:rPr>
        <w:t xml:space="preserve">58</w:t>
      </w:r>
      <w:r>
        <w:t xml:space="preserve">, costs $50K-$500K+/year</w:t>
      </w:r>
      <w:r>
        <w:t xml:space="preserve"> </w:t>
      </w:r>
      <w:r>
        <w:rPr>
          <w:vertAlign w:val="superscript"/>
        </w:rPr>
        <w:t xml:space="preserve">67</w:t>
      </w:r>
      <w:r>
        <w:t xml:space="preserve">, and its AI governance is a bolt-on with immature EU AI Act workflows. SOV3 deploys in 48 hours at 1/10th the price with native compliance architecture.</w:t>
      </w:r>
    </w:p>
    <w:bookmarkEnd w:id="41"/>
    <w:bookmarkStart w:id="42" w:name="crowdstrike-the-bsod-legacy"/>
    <w:p>
      <w:pPr>
        <w:pStyle w:val="Heading4"/>
      </w:pPr>
      <w:r>
        <w:t xml:space="preserve">CrowdStrike: The BSOD Legacy</w:t>
      </w:r>
    </w:p>
    <w:p>
      <w:pPr>
        <w:pStyle w:val="FirstParagraph"/>
      </w:pPr>
      <w:r>
        <w:t xml:space="preserve">CrowdStrike’s July 2024 global outage — the infamous BSOD (Blue Screen of Death) event that grounded airlines, halted hospitals, and froze financial systems — remains the single most damaging operational security incident in enterprise software history. The company’s Falcon platform, while dominant in endpoint detection, has a governance gap: AI governance is an add-on module, not a core capability. At $185/endpoint/year for Falcon Enterprise</w:t>
      </w:r>
      <w:r>
        <w:t xml:space="preserve"> </w:t>
      </w:r>
      <w:r>
        <w:rPr>
          <w:vertAlign w:val="superscript"/>
        </w:rPr>
        <w:t xml:space="preserve">68</w:t>
      </w:r>
      <w:r>
        <w:t xml:space="preserve">, a 500-endpoint organization pays $92,500 annually just for endpoint security before adding any AI governance layer. CrowdStrike’s strength is threat detection. Its weakness is everything else — governance, compliance, certification, transparency.</w:t>
      </w:r>
    </w:p>
    <w:p>
      <w:pPr>
        <w:pStyle w:val="BodyText"/>
      </w:pPr>
      <w:r>
        <w:rPr>
          <w:bCs/>
          <w:b/>
        </w:rPr>
        <w:t xml:space="preserve">SOV3 Kill Shot:</w:t>
      </w:r>
      <w:r>
        <w:t xml:space="preserve"> </w:t>
      </w:r>
      <w:r>
        <w:t xml:space="preserve">CrowdStrike Falcon Complete costs ~$125/endpoint/year</w:t>
      </w:r>
      <w:r>
        <w:t xml:space="preserve"> </w:t>
      </w:r>
      <w:r>
        <w:rPr>
          <w:vertAlign w:val="superscript"/>
        </w:rPr>
        <w:t xml:space="preserve">68</w:t>
      </w:r>
      <w:r>
        <w:t xml:space="preserve">for security alone. SOV3 delivers dedicated AI governance at a fraction of that cost without requiring a massive platform migration.</w:t>
      </w:r>
    </w:p>
    <w:bookmarkEnd w:id="42"/>
    <w:bookmarkStart w:id="43" w:name="microsoft-the-lock-in-tax"/>
    <w:p>
      <w:pPr>
        <w:pStyle w:val="Heading4"/>
      </w:pPr>
      <w:r>
        <w:t xml:space="preserve">Microsoft: The Lock-in Tax</w:t>
      </w:r>
    </w:p>
    <w:p>
      <w:pPr>
        <w:pStyle w:val="FirstParagraph"/>
      </w:pPr>
      <w:r>
        <w:t xml:space="preserve">Microsoft’s AI governance strategy is built on Azure AI Foundry and the Security Graph — a deeply integrated but deeply locked-in ecosystem. Customers cannot use Microsoft’s AI governance capabilities without being full Azure subscribers, and the platform’s governance features are designed to keep customers inside the Microsoft walled garden. Azure’s CVE history is extensive — 40+ CVEs in the past 24 months across Azure AI services, identity management, and data platforms</w:t>
      </w:r>
      <w:r>
        <w:t xml:space="preserve"> </w:t>
      </w:r>
      <w:r>
        <w:rPr>
          <w:vertAlign w:val="superscript"/>
        </w:rPr>
        <w:t xml:space="preserve">69</w:t>
      </w:r>
      <w:r>
        <w:t xml:space="preserve">. The fundamental weakness is architectural: Microsoft’s governance is built to govern Azure AI, not to govern AI universally. Organizations running multi-cloud or hybrid AI deployments face a governance fragmentation problem that Microsoft has no incentive to solve.</w:t>
      </w:r>
    </w:p>
    <w:p>
      <w:pPr>
        <w:pStyle w:val="BodyText"/>
      </w:pPr>
      <w:r>
        <w:rPr>
          <w:bCs/>
          <w:b/>
        </w:rPr>
        <w:t xml:space="preserve">SOV3 Kill Shot:</w:t>
      </w:r>
      <w:r>
        <w:t xml:space="preserve"> </w:t>
      </w:r>
      <w:r>
        <w:t xml:space="preserve">Microsoft’s governance only works if you’re all-in on Azure. SOV3 is cloud-agnostic by design — govern AI wherever it lives.</w:t>
      </w:r>
    </w:p>
    <w:bookmarkEnd w:id="43"/>
    <w:bookmarkStart w:id="44" w:name="palo-alto-networks-the-cisa-deadline"/>
    <w:p>
      <w:pPr>
        <w:pStyle w:val="Heading4"/>
      </w:pPr>
      <w:r>
        <w:t xml:space="preserve">Palo Alto Networks: The CISA Deadline</w:t>
      </w:r>
    </w:p>
    <w:p>
      <w:pPr>
        <w:pStyle w:val="FirstParagraph"/>
      </w:pPr>
      <w:r>
        <w:t xml:space="preserve">Palo Alto Networks made its AI governance play in July 2025 by acquiring Protect AI for an estimated</w:t>
      </w:r>
      <w:r>
        <w:t xml:space="preserve"> </w:t>
      </w:r>
      <w:r>
        <w:rPr>
          <w:bCs/>
          <w:b/>
        </w:rPr>
        <w:t xml:space="preserve">$300M+</w:t>
      </w:r>
      <w:r>
        <w:t xml:space="preserve"> </w:t>
      </w:r>
      <w:r>
        <w:t xml:space="preserve">— a company with</w:t>
      </w:r>
      <w:r>
        <w:t xml:space="preserve"> </w:t>
      </w:r>
      <w:r>
        <w:rPr>
          <w:bCs/>
          <w:b/>
        </w:rPr>
        <w:t xml:space="preserve">less than $5M in revenue</w:t>
      </w:r>
      <w:r>
        <w:t xml:space="preserve"> </w:t>
      </w:r>
      <w:r>
        <w:rPr>
          <w:vertAlign w:val="superscript"/>
        </w:rPr>
        <w:t xml:space="preserve">26</w:t>
      </w:r>
      <w:r>
        <w:t xml:space="preserve">. This validates the AI security market but also reveals desperation: PANW is buying capability because it cannot build it. The acquisition followed CEO Nikesh Arora’s aggressive platform consolidation strategy, but integration timelines for Prisma AIRS (where Protect AI was absorbed) remain unclear. PANW faces a CISA deadline for federal compliance requirements that its legacy firewall-centric architecture struggles to meet in the AI governance domain.</w:t>
      </w:r>
    </w:p>
    <w:p>
      <w:pPr>
        <w:pStyle w:val="BodyText"/>
      </w:pPr>
      <w:r>
        <w:rPr>
          <w:bCs/>
          <w:b/>
        </w:rPr>
        <w:t xml:space="preserve">SOV3 Kill Shot:</w:t>
      </w:r>
      <w:r>
        <w:t xml:space="preserve"> </w:t>
      </w:r>
      <w:r>
        <w:t xml:space="preserve">PANW paid $300M for an AI governance product that generates &lt;$5M in revenue. SOV3 can deliver comparable governance coverage at 1/100th the TCO without the platform baggage.</w:t>
      </w:r>
    </w:p>
    <w:bookmarkEnd w:id="44"/>
    <w:bookmarkStart w:id="45" w:name="ibm-the-300kyear-relic"/>
    <w:p>
      <w:pPr>
        <w:pStyle w:val="Heading4"/>
      </w:pPr>
      <w:r>
        <w:t xml:space="preserve">IBM: The $300K/Year Relic</w:t>
      </w:r>
    </w:p>
    <w:p>
      <w:pPr>
        <w:pStyle w:val="FirstParagraph"/>
      </w:pPr>
      <w:r>
        <w:t xml:space="preserve">IBM watsonx.governance represents everything wrong with legacy AI governance. Pricing starts from $795/instance for the Lite tier, but enterprise implementations routinely exceed</w:t>
      </w:r>
      <w:r>
        <w:t xml:space="preserve"> </w:t>
      </w:r>
      <w:r>
        <w:rPr>
          <w:bCs/>
          <w:b/>
        </w:rPr>
        <w:t xml:space="preserve">$300,000/year</w:t>
      </w:r>
      <w:r>
        <w:t xml:space="preserve"> </w:t>
      </w:r>
      <w:r>
        <w:t xml:space="preserve">when including the mandatory IBM services engagement, implementation consulting, and ongoing professional services</w:t>
      </w:r>
      <w:r>
        <w:t xml:space="preserve"> </w:t>
      </w:r>
      <w:r>
        <w:rPr>
          <w:vertAlign w:val="superscript"/>
        </w:rPr>
        <w:t xml:space="preserve">70</w:t>
      </w:r>
      <w:r>
        <w:t xml:space="preserve">. The platform requires dedicated IBM-certified consultants to configure, maintain, and operate — a staffing dependency that most mid-market organizations cannot afford. watsonx.governance is not a product; it is a consulting engagement disguised as software.</w:t>
      </w:r>
    </w:p>
    <w:p>
      <w:pPr>
        <w:pStyle w:val="BodyText"/>
      </w:pPr>
      <w:r>
        <w:rPr>
          <w:bCs/>
          <w:b/>
        </w:rPr>
        <w:t xml:space="preserve">SOV3 Kill Shot:</w:t>
      </w:r>
      <w:r>
        <w:t xml:space="preserve"> </w:t>
      </w:r>
      <w:r>
        <w:t xml:space="preserve">IBM charges more for implementation than SOV3 charges for the entire platform. SOV3’s self-serve model eliminates the IBM services tax entirely.</w:t>
      </w:r>
    </w:p>
    <w:p>
      <w:r>
        <w:pict>
          <v:rect style="width:0;height:1.5pt" o:hralign="center" o:hrstd="t" o:hr="t"/>
        </w:pict>
      </w:r>
    </w:p>
    <w:bookmarkEnd w:id="45"/>
    <w:bookmarkEnd w:id="46"/>
    <w:bookmarkStart w:id="50" w:name="X2fc2d8d046d88f98cf3a04e18b7c99d8addcf4c"/>
    <w:p>
      <w:pPr>
        <w:pStyle w:val="Heading3"/>
      </w:pPr>
      <w:r>
        <w:t xml:space="preserve">5.2 Tier 2 Startups: Funding Fiction &amp; Product Gaps</w:t>
      </w:r>
    </w:p>
    <w:p>
      <w:pPr>
        <w:pStyle w:val="FirstParagraph"/>
      </w:pPr>
      <w:r>
        <w:t xml:space="preserve">The startup tier presents a different target profile: agile but fragile, well-marketed but thinly engineered, and — most critically — dependent on venture capital narratives that collapse under scrutiny. Our intelligence operation uncovered</w:t>
      </w:r>
      <w:r>
        <w:t xml:space="preserve"> </w:t>
      </w:r>
      <w:r>
        <w:rPr>
          <w:bCs/>
          <w:b/>
        </w:rPr>
        <w:t xml:space="preserve">systematic funding inflation</w:t>
      </w:r>
      <w:r>
        <w:t xml:space="preserve">,</w:t>
      </w:r>
      <w:r>
        <w:t xml:space="preserve"> </w:t>
      </w:r>
      <w:r>
        <w:rPr>
          <w:bCs/>
          <w:b/>
        </w:rPr>
        <w:t xml:space="preserve">zero certification ecosystems</w:t>
      </w:r>
      <w:r>
        <w:t xml:space="preserve">, and</w:t>
      </w:r>
      <w:r>
        <w:t xml:space="preserve"> </w:t>
      </w:r>
      <w:r>
        <w:rPr>
          <w:bCs/>
          <w:b/>
        </w:rPr>
        <w:t xml:space="preserve">complete pricing opacity</w:t>
      </w:r>
      <w:r>
        <w:t xml:space="preserve"> </w:t>
      </w:r>
      <w:r>
        <w:t xml:space="preserve">across the entire cohort.</w:t>
      </w:r>
    </w:p>
    <w:bookmarkStart w:id="47" w:name="the-funding-fiction-table"/>
    <w:p>
      <w:pPr>
        <w:pStyle w:val="Heading4"/>
      </w:pPr>
      <w:r>
        <w:t xml:space="preserve">The Funding Fiction Table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Company</w:t>
            </w:r>
          </w:p>
        </w:tc>
        <w:tc>
          <w:tcPr/>
          <w:p>
            <w:pPr>
              <w:pStyle w:val="Compact"/>
              <w:jc w:val="left"/>
            </w:pPr>
            <w:r>
              <w:t xml:space="preserve">Claimed Funding</w:t>
            </w:r>
          </w:p>
        </w:tc>
        <w:tc>
          <w:tcPr/>
          <w:p>
            <w:pPr>
              <w:pStyle w:val="Compact"/>
              <w:jc w:val="left"/>
            </w:pPr>
            <w:r>
              <w:t xml:space="preserve">Verified Funding</w:t>
            </w:r>
          </w:p>
        </w:tc>
        <w:tc>
          <w:tcPr/>
          <w:p>
            <w:pPr>
              <w:pStyle w:val="Compact"/>
              <w:jc w:val="left"/>
            </w:pPr>
            <w:r>
              <w:t xml:space="preserve">Overstatement</w:t>
            </w:r>
          </w:p>
        </w:tc>
        <w:tc>
          <w:tcPr/>
          <w:p>
            <w:pPr>
              <w:pStyle w:val="Compact"/>
              <w:jc w:val="left"/>
            </w:pPr>
            <w:r>
              <w:t xml:space="preserve">Employees</w:t>
            </w:r>
          </w:p>
        </w:tc>
        <w:tc>
          <w:tcPr/>
          <w:p>
            <w:pPr>
              <w:pStyle w:val="Compact"/>
              <w:jc w:val="left"/>
            </w:pPr>
            <w:r>
              <w:t xml:space="preserve">Status</w:t>
            </w:r>
          </w:p>
        </w:tc>
        <w:tc>
          <w:tcPr/>
          <w:p>
            <w:pPr>
              <w:pStyle w:val="Compact"/>
              <w:jc w:val="left"/>
            </w:pPr>
            <w:r>
              <w:t xml:space="preserve">Kill Shot</w:t>
            </w:r>
          </w:p>
        </w:tc>
      </w:tr>
      <w:tr>
        <w:tc>
          <w:tcPr/>
          <w:p>
            <w:pPr>
              <w:pStyle w:val="Compact"/>
              <w:jc w:val="left"/>
            </w:pPr>
            <w:r>
              <w:rPr>
                <w:bCs/>
                <w:b/>
              </w:rPr>
              <w:t xml:space="preserve">NanoCo</w:t>
            </w:r>
          </w:p>
        </w:tc>
        <w:tc>
          <w:tcPr/>
          <w:p>
            <w:pPr>
              <w:pStyle w:val="Compact"/>
              <w:jc w:val="left"/>
            </w:pPr>
            <w:r>
              <w:t xml:space="preserve">$63M</w:t>
            </w:r>
          </w:p>
        </w:tc>
        <w:tc>
          <w:tcPr/>
          <w:p>
            <w:pPr>
              <w:pStyle w:val="Compact"/>
              <w:jc w:val="left"/>
            </w:pPr>
            <w:r>
              <w:rPr>
                <w:bCs/>
                <w:b/>
              </w:rPr>
              <w:t xml:space="preserve">$12M</w:t>
            </w:r>
          </w:p>
        </w:tc>
        <w:tc>
          <w:tcPr/>
          <w:p>
            <w:pPr>
              <w:pStyle w:val="Compact"/>
              <w:jc w:val="left"/>
            </w:pPr>
            <w:r>
              <w:rPr>
                <w:bCs/>
                <w:b/>
              </w:rPr>
              <w:t xml:space="preserve">5.25x</w:t>
            </w:r>
          </w:p>
        </w:tc>
        <w:tc>
          <w:tcPr/>
          <w:p>
            <w:pPr>
              <w:pStyle w:val="Compact"/>
              <w:jc w:val="left"/>
            </w:pPr>
            <w:r>
              <w:t xml:space="preserve">~4</w:t>
            </w:r>
            <w:r>
              <w:t xml:space="preserve"> </w:t>
            </w:r>
            <w:r>
              <w:rPr>
                <w:vertAlign w:val="superscript"/>
              </w:rPr>
              <w:t xml:space="preserve">35</w:t>
            </w:r>
          </w:p>
        </w:tc>
        <w:tc>
          <w:tcPr/>
          <w:p>
            <w:pPr>
              <w:pStyle w:val="Compact"/>
              <w:jc w:val="left"/>
            </w:pPr>
            <w:r>
              <w:t xml:space="preserve">Gaslighting</w:t>
            </w:r>
          </w:p>
        </w:tc>
        <w:tc>
          <w:tcPr/>
          <w:p>
            <w:pPr>
              <w:pStyle w:val="Compact"/>
              <w:jc w:val="left"/>
            </w:pPr>
            <w:r>
              <w:t xml:space="preserve">5x funding fiction; 4-person team</w:t>
            </w:r>
          </w:p>
        </w:tc>
      </w:tr>
      <w:tr>
        <w:tc>
          <w:tcPr/>
          <w:p>
            <w:pPr>
              <w:pStyle w:val="Compact"/>
              <w:jc w:val="left"/>
            </w:pPr>
            <w:r>
              <w:rPr>
                <w:bCs/>
                <w:b/>
              </w:rPr>
              <w:t xml:space="preserve">Torch Security</w:t>
            </w:r>
          </w:p>
        </w:tc>
        <w:tc>
          <w:tcPr/>
          <w:p>
            <w:pPr>
              <w:pStyle w:val="Compact"/>
              <w:jc w:val="left"/>
            </w:pPr>
            <w:r>
              <w:t xml:space="preserve">$30M</w:t>
            </w:r>
          </w:p>
        </w:tc>
        <w:tc>
          <w:tcPr/>
          <w:p>
            <w:pPr>
              <w:pStyle w:val="Compact"/>
              <w:jc w:val="left"/>
            </w:pPr>
            <w:r>
              <w:rPr>
                <w:bCs/>
                <w:b/>
              </w:rPr>
              <w:t xml:space="preserve">Undisclosed</w:t>
            </w:r>
          </w:p>
        </w:tc>
        <w:tc>
          <w:tcPr/>
          <w:p>
            <w:pPr>
              <w:pStyle w:val="Compact"/>
              <w:jc w:val="left"/>
            </w:pPr>
            <w:r>
              <w:rPr>
                <w:bCs/>
                <w:b/>
              </w:rPr>
              <w:t xml:space="preserve">Unverified</w:t>
            </w:r>
          </w:p>
        </w:tc>
        <w:tc>
          <w:tcPr/>
          <w:p>
            <w:pPr>
              <w:pStyle w:val="Compact"/>
              <w:jc w:val="left"/>
            </w:pPr>
            <w:r>
              <w:t xml:space="preserve">Unknown</w:t>
            </w:r>
          </w:p>
        </w:tc>
        <w:tc>
          <w:tcPr/>
          <w:p>
            <w:pPr>
              <w:pStyle w:val="Compact"/>
              <w:jc w:val="left"/>
            </w:pPr>
            <w:r>
              <w:t xml:space="preserve">Ghost</w:t>
            </w:r>
          </w:p>
        </w:tc>
        <w:tc>
          <w:tcPr/>
          <w:p>
            <w:pPr>
              <w:pStyle w:val="Compact"/>
              <w:jc w:val="left"/>
            </w:pPr>
            <w:r>
              <w:t xml:space="preserve">No funding data; likely bootstrapped</w:t>
            </w:r>
          </w:p>
        </w:tc>
      </w:tr>
      <w:tr>
        <w:tc>
          <w:tcPr/>
          <w:p>
            <w:pPr>
              <w:pStyle w:val="Compact"/>
              <w:jc w:val="left"/>
            </w:pPr>
            <w:r>
              <w:rPr>
                <w:bCs/>
                <w:b/>
              </w:rPr>
              <w:t xml:space="preserve">Euno</w:t>
            </w:r>
          </w:p>
        </w:tc>
        <w:tc>
          <w:tcPr/>
          <w:p>
            <w:pPr>
              <w:pStyle w:val="Compact"/>
              <w:jc w:val="left"/>
            </w:pPr>
            <w:r>
              <w:t xml:space="preserve">$12.5M</w:t>
            </w:r>
          </w:p>
        </w:tc>
        <w:tc>
          <w:tcPr/>
          <w:p>
            <w:pPr>
              <w:pStyle w:val="Compact"/>
              <w:jc w:val="left"/>
            </w:pPr>
            <w:r>
              <w:rPr>
                <w:bCs/>
                <w:b/>
              </w:rPr>
              <w:t xml:space="preserve">$6.25M</w:t>
            </w:r>
          </w:p>
        </w:tc>
        <w:tc>
          <w:tcPr/>
          <w:p>
            <w:pPr>
              <w:pStyle w:val="Compact"/>
              <w:jc w:val="left"/>
            </w:pPr>
            <w:r>
              <w:rPr>
                <w:bCs/>
                <w:b/>
              </w:rPr>
              <w:t xml:space="preserve">2x</w:t>
            </w:r>
          </w:p>
        </w:tc>
        <w:tc>
          <w:tcPr/>
          <w:p>
            <w:pPr>
              <w:pStyle w:val="Compact"/>
              <w:jc w:val="left"/>
            </w:pPr>
            <w:r>
              <w:t xml:space="preserve">19</w:t>
            </w:r>
            <w:r>
              <w:t xml:space="preserve"> </w:t>
            </w:r>
            <w:r>
              <w:rPr>
                <w:vertAlign w:val="superscript"/>
              </w:rPr>
              <w:t xml:space="preserve">26</w:t>
            </w:r>
          </w:p>
        </w:tc>
        <w:tc>
          <w:tcPr/>
          <w:p>
            <w:pPr>
              <w:pStyle w:val="Compact"/>
              <w:jc w:val="left"/>
            </w:pPr>
            <w:r>
              <w:t xml:space="preserve">Inflated</w:t>
            </w:r>
          </w:p>
        </w:tc>
        <w:tc>
          <w:tcPr/>
          <w:p>
            <w:pPr>
              <w:pStyle w:val="Compact"/>
              <w:jc w:val="left"/>
            </w:pPr>
            <w:r>
              <w:t xml:space="preserve">No follow-on in 18+ months</w:t>
            </w:r>
          </w:p>
        </w:tc>
      </w:tr>
      <w:tr>
        <w:tc>
          <w:tcPr/>
          <w:p>
            <w:pPr>
              <w:pStyle w:val="Compact"/>
              <w:jc w:val="left"/>
            </w:pPr>
            <w:r>
              <w:rPr>
                <w:bCs/>
                <w:b/>
              </w:rPr>
              <w:t xml:space="preserve">Straion</w:t>
            </w:r>
          </w:p>
        </w:tc>
        <w:tc>
          <w:tcPr/>
          <w:p>
            <w:pPr>
              <w:pStyle w:val="Compact"/>
              <w:jc w:val="left"/>
            </w:pPr>
            <w:r>
              <w:t xml:space="preserve">~$3M implied</w:t>
            </w:r>
          </w:p>
        </w:tc>
        <w:tc>
          <w:tcPr/>
          <w:p>
            <w:pPr>
              <w:pStyle w:val="Compact"/>
              <w:jc w:val="left"/>
            </w:pPr>
            <w:r>
              <w:rPr>
                <w:bCs/>
                <w:b/>
              </w:rPr>
              <w:t xml:space="preserve">~$1.5M</w:t>
            </w:r>
            <w:r>
              <w:t xml:space="preserve"> </w:t>
            </w:r>
            <w:r>
              <w:t xml:space="preserve">(EUR 1.1M + EUR 280K grants)</w:t>
            </w:r>
          </w:p>
        </w:tc>
        <w:tc>
          <w:tcPr/>
          <w:p>
            <w:pPr>
              <w:pStyle w:val="Compact"/>
              <w:jc w:val="left"/>
            </w:pPr>
            <w:r>
              <w:t xml:space="preserve">~2x</w:t>
            </w:r>
          </w:p>
        </w:tc>
        <w:tc>
          <w:tcPr/>
          <w:p>
            <w:pPr>
              <w:pStyle w:val="Compact"/>
              <w:jc w:val="left"/>
            </w:pPr>
            <w:r>
              <w:t xml:space="preserve">12</w:t>
            </w:r>
            <w:r>
              <w:t xml:space="preserve"> </w:t>
            </w:r>
            <w:r>
              <w:rPr>
                <w:vertAlign w:val="superscript"/>
              </w:rPr>
              <w:t xml:space="preserve">26</w:t>
            </w:r>
          </w:p>
        </w:tc>
        <w:tc>
          <w:tcPr/>
          <w:p>
            <w:pPr>
              <w:pStyle w:val="Compact"/>
              <w:jc w:val="left"/>
            </w:pPr>
            <w:r>
              <w:rPr>
                <w:bCs/>
                <w:b/>
              </w:rPr>
              <w:t xml:space="preserve">Dying</w:t>
            </w:r>
          </w:p>
        </w:tc>
        <w:tc>
          <w:tcPr/>
          <w:p>
            <w:pPr>
              <w:pStyle w:val="Compact"/>
              <w:jc w:val="left"/>
            </w:pPr>
            <w:r>
              <w:t xml:space="preserve">Pre-revenue; Greek seed fund; no runway</w:t>
            </w:r>
          </w:p>
        </w:tc>
      </w:tr>
      <w:tr>
        <w:tc>
          <w:tcPr/>
          <w:p>
            <w:pPr>
              <w:pStyle w:val="Compact"/>
              <w:jc w:val="left"/>
            </w:pPr>
            <w:r>
              <w:rPr>
                <w:bCs/>
                <w:b/>
              </w:rPr>
              <w:t xml:space="preserve">Holistic AI</w:t>
            </w:r>
          </w:p>
        </w:tc>
        <w:tc>
          <w:tcPr/>
          <w:p>
            <w:pPr>
              <w:pStyle w:val="Compact"/>
              <w:jc w:val="left"/>
            </w:pPr>
            <w:r>
              <w:t xml:space="preserve">“</w:t>
            </w:r>
            <w:r>
              <w:t xml:space="preserve">Well-funded</w:t>
            </w:r>
            <w:r>
              <w:t xml:space="preserve">”</w:t>
            </w:r>
          </w:p>
        </w:tc>
        <w:tc>
          <w:tcPr/>
          <w:p>
            <w:pPr>
              <w:pStyle w:val="Compact"/>
              <w:jc w:val="left"/>
            </w:pPr>
            <w:r>
              <w:rPr>
                <w:bCs/>
                <w:b/>
              </w:rPr>
              <w:t xml:space="preserve">Undisclosed</w:t>
            </w:r>
            <w:r>
              <w:t xml:space="preserve"> </w:t>
            </w:r>
            <w:r>
              <w:t xml:space="preserve">(Mozilla strategic only)</w:t>
            </w:r>
          </w:p>
        </w:tc>
        <w:tc>
          <w:tcPr/>
          <w:p>
            <w:pPr>
              <w:pStyle w:val="Compact"/>
              <w:jc w:val="left"/>
            </w:pPr>
            <w:r>
              <w:t xml:space="preserve">Unknown</w:t>
            </w:r>
          </w:p>
        </w:tc>
        <w:tc>
          <w:tcPr/>
          <w:p>
            <w:pPr>
              <w:pStyle w:val="Compact"/>
              <w:jc w:val="left"/>
            </w:pPr>
            <w:r>
              <w:t xml:space="preserve">~50-100</w:t>
            </w:r>
          </w:p>
        </w:tc>
        <w:tc>
          <w:tcPr/>
          <w:p>
            <w:pPr>
              <w:pStyle w:val="Compact"/>
              <w:jc w:val="left"/>
            </w:pPr>
            <w:r>
              <w:t xml:space="preserve">Opaque</w:t>
            </w:r>
          </w:p>
        </w:tc>
        <w:tc>
          <w:tcPr/>
          <w:p>
            <w:pPr>
              <w:pStyle w:val="Compact"/>
              <w:jc w:val="left"/>
            </w:pPr>
            <w:r>
              <w:t xml:space="preserve">Minimal funding visibility since 2024</w:t>
            </w:r>
          </w:p>
        </w:tc>
      </w:tr>
      <w:tr>
        <w:tc>
          <w:tcPr/>
          <w:p>
            <w:pPr>
              <w:pStyle w:val="Compact"/>
              <w:jc w:val="left"/>
            </w:pPr>
            <w:r>
              <w:rPr>
                <w:bCs/>
                <w:b/>
              </w:rPr>
              <w:t xml:space="preserve">Credo AI</w:t>
            </w:r>
          </w:p>
        </w:tc>
        <w:tc>
          <w:tcPr/>
          <w:p>
            <w:pPr>
              <w:pStyle w:val="Compact"/>
              <w:jc w:val="left"/>
            </w:pPr>
            <w:r>
              <w:t xml:space="preserve">$41.3M</w:t>
            </w:r>
            <w:r>
              <w:t xml:space="preserve"> </w:t>
            </w:r>
            <w:r>
              <w:rPr>
                <w:vertAlign w:val="superscript"/>
              </w:rPr>
              <w:t xml:space="preserve">9</w:t>
            </w:r>
          </w:p>
        </w:tc>
        <w:tc>
          <w:tcPr/>
          <w:p>
            <w:pPr>
              <w:pStyle w:val="Compact"/>
              <w:jc w:val="left"/>
            </w:pPr>
            <w:r>
              <w:t xml:space="preserve">$41.3M</w:t>
            </w:r>
          </w:p>
        </w:tc>
        <w:tc>
          <w:tcPr/>
          <w:p>
            <w:pPr>
              <w:pStyle w:val="Compact"/>
              <w:jc w:val="left"/>
            </w:pPr>
            <w:r>
              <w:rPr>
                <w:bCs/>
                <w:b/>
              </w:rPr>
              <w:t xml:space="preserve">Confirmed</w:t>
            </w:r>
          </w:p>
        </w:tc>
        <w:tc>
          <w:tcPr/>
          <w:p>
            <w:pPr>
              <w:pStyle w:val="Compact"/>
              <w:jc w:val="left"/>
            </w:pPr>
            <w:r>
              <w:t xml:space="preserve">51-200</w:t>
            </w:r>
          </w:p>
        </w:tc>
        <w:tc>
          <w:tcPr/>
          <w:p>
            <w:pPr>
              <w:pStyle w:val="Compact"/>
              <w:jc w:val="left"/>
            </w:pPr>
            <w:r>
              <w:t xml:space="preserve">Growth-stage</w:t>
            </w:r>
          </w:p>
        </w:tc>
        <w:tc>
          <w:tcPr/>
          <w:p>
            <w:pPr>
              <w:pStyle w:val="Compact"/>
              <w:jc w:val="left"/>
            </w:pPr>
            <w:r>
              <w:t xml:space="preserve">No free tier; $45K+ entry; zero reviews</w:t>
            </w:r>
            <w:r>
              <w:t xml:space="preserve"> </w:t>
            </w:r>
            <w:r>
              <w:rPr>
                <w:vertAlign w:val="superscript"/>
              </w:rPr>
              <w:t xml:space="preserve">2</w:t>
            </w:r>
          </w:p>
        </w:tc>
      </w:tr>
      <w:tr>
        <w:tc>
          <w:tcPr/>
          <w:p>
            <w:pPr>
              <w:pStyle w:val="Compact"/>
              <w:jc w:val="left"/>
            </w:pPr>
            <w:r>
              <w:rPr>
                <w:bCs/>
                <w:b/>
              </w:rPr>
              <w:t xml:space="preserve">Cranium</w:t>
            </w:r>
          </w:p>
        </w:tc>
        <w:tc>
          <w:tcPr/>
          <w:p>
            <w:pPr>
              <w:pStyle w:val="Compact"/>
              <w:jc w:val="left"/>
            </w:pPr>
            <w:r>
              <w:t xml:space="preserve">$46M</w:t>
            </w:r>
            <w:r>
              <w:t xml:space="preserve"> </w:t>
            </w:r>
            <w:r>
              <w:rPr>
                <w:vertAlign w:val="superscript"/>
              </w:rPr>
              <w:t xml:space="preserve">27</w:t>
            </w:r>
          </w:p>
        </w:tc>
        <w:tc>
          <w:tcPr/>
          <w:p>
            <w:pPr>
              <w:pStyle w:val="Compact"/>
              <w:jc w:val="left"/>
            </w:pPr>
            <w:r>
              <w:t xml:space="preserve">$46M</w:t>
            </w:r>
          </w:p>
        </w:tc>
        <w:tc>
          <w:tcPr/>
          <w:p>
            <w:pPr>
              <w:pStyle w:val="Compact"/>
              <w:jc w:val="left"/>
            </w:pPr>
            <w:r>
              <w:rPr>
                <w:bCs/>
                <w:b/>
              </w:rPr>
              <w:t xml:space="preserve">Confirmed</w:t>
            </w:r>
          </w:p>
        </w:tc>
        <w:tc>
          <w:tcPr/>
          <w:p>
            <w:pPr>
              <w:pStyle w:val="Compact"/>
              <w:jc w:val="left"/>
            </w:pPr>
            <w:r>
              <w:t xml:space="preserve">Unknown</w:t>
            </w:r>
          </w:p>
        </w:tc>
        <w:tc>
          <w:tcPr/>
          <w:p>
            <w:pPr>
              <w:pStyle w:val="Compact"/>
              <w:jc w:val="left"/>
            </w:pPr>
            <w:r>
              <w:t xml:space="preserve">Strong</w:t>
            </w:r>
          </w:p>
        </w:tc>
        <w:tc>
          <w:tcPr/>
          <w:p>
            <w:pPr>
              <w:pStyle w:val="Compact"/>
              <w:jc w:val="left"/>
            </w:pPr>
            <w:r>
              <w:t xml:space="preserve">KPMG dependency; no public pricing</w:t>
            </w:r>
          </w:p>
        </w:tc>
      </w:tr>
      <w:tr>
        <w:tc>
          <w:tcPr/>
          <w:p>
            <w:pPr>
              <w:pStyle w:val="Compact"/>
              <w:jc w:val="left"/>
            </w:pPr>
            <w:r>
              <w:rPr>
                <w:bCs/>
                <w:b/>
              </w:rPr>
              <w:t xml:space="preserve">WitnessAI</w:t>
            </w:r>
          </w:p>
        </w:tc>
        <w:tc>
          <w:tcPr/>
          <w:p>
            <w:pPr>
              <w:pStyle w:val="Compact"/>
              <w:jc w:val="left"/>
            </w:pPr>
            <w:r>
              <w:t xml:space="preserve">$85.5M</w:t>
            </w:r>
            <w:r>
              <w:t xml:space="preserve"> </w:t>
            </w:r>
            <w:r>
              <w:rPr>
                <w:vertAlign w:val="superscript"/>
              </w:rPr>
              <w:t xml:space="preserve">17</w:t>
            </w:r>
          </w:p>
        </w:tc>
        <w:tc>
          <w:tcPr/>
          <w:p>
            <w:pPr>
              <w:pStyle w:val="Compact"/>
              <w:jc w:val="left"/>
            </w:pPr>
            <w:r>
              <w:t xml:space="preserve">$85.5M</w:t>
            </w:r>
          </w:p>
        </w:tc>
        <w:tc>
          <w:tcPr/>
          <w:p>
            <w:pPr>
              <w:pStyle w:val="Compact"/>
              <w:jc w:val="left"/>
            </w:pPr>
            <w:r>
              <w:rPr>
                <w:bCs/>
                <w:b/>
              </w:rPr>
              <w:t xml:space="preserve">Confirmed</w:t>
            </w:r>
          </w:p>
        </w:tc>
        <w:tc>
          <w:tcPr/>
          <w:p>
            <w:pPr>
              <w:pStyle w:val="Compact"/>
              <w:jc w:val="left"/>
            </w:pPr>
            <w:r>
              <w:t xml:space="preserve">73</w:t>
            </w:r>
            <w:r>
              <w:t xml:space="preserve"> </w:t>
            </w:r>
            <w:r>
              <w:rPr>
                <w:vertAlign w:val="superscript"/>
              </w:rPr>
              <w:t xml:space="preserve">17</w:t>
            </w:r>
          </w:p>
        </w:tc>
        <w:tc>
          <w:tcPr/>
          <w:p>
            <w:pPr>
              <w:pStyle w:val="Compact"/>
              <w:jc w:val="left"/>
            </w:pPr>
            <w:r>
              <w:t xml:space="preserve">Strong</w:t>
            </w:r>
          </w:p>
        </w:tc>
        <w:tc>
          <w:tcPr/>
          <w:p>
            <w:pPr>
              <w:pStyle w:val="Compact"/>
              <w:jc w:val="left"/>
            </w:pPr>
            <w:r>
              <w:t xml:space="preserve">Only 2-5 reviews across ALL platforms</w:t>
            </w:r>
            <w:r>
              <w:t xml:space="preserve"> </w:t>
            </w:r>
            <w:r>
              <w:rPr>
                <w:vertAlign w:val="superscript"/>
              </w:rPr>
              <w:t xml:space="preserve">11</w:t>
            </w:r>
          </w:p>
        </w:tc>
      </w:tr>
      <w:tr>
        <w:tc>
          <w:tcPr/>
          <w:p>
            <w:pPr>
              <w:pStyle w:val="Compact"/>
              <w:jc w:val="left"/>
            </w:pPr>
            <w:r>
              <w:rPr>
                <w:bCs/>
                <w:b/>
              </w:rPr>
              <w:t xml:space="preserve">Zenity</w:t>
            </w:r>
          </w:p>
        </w:tc>
        <w:tc>
          <w:tcPr/>
          <w:p>
            <w:pPr>
              <w:pStyle w:val="Compact"/>
              <w:jc w:val="left"/>
            </w:pPr>
            <w:r>
              <w:t xml:space="preserve">$55M+</w:t>
            </w:r>
            <w:r>
              <w:t xml:space="preserve"> </w:t>
            </w:r>
            <w:r>
              <w:rPr>
                <w:vertAlign w:val="superscript"/>
              </w:rPr>
              <w:t xml:space="preserve">5</w:t>
            </w:r>
          </w:p>
        </w:tc>
        <w:tc>
          <w:tcPr/>
          <w:p>
            <w:pPr>
              <w:pStyle w:val="Compact"/>
              <w:jc w:val="left"/>
            </w:pPr>
            <w:r>
              <w:t xml:space="preserve">$55M+</w:t>
            </w:r>
          </w:p>
        </w:tc>
        <w:tc>
          <w:tcPr/>
          <w:p>
            <w:pPr>
              <w:pStyle w:val="Compact"/>
              <w:jc w:val="left"/>
            </w:pPr>
            <w:r>
              <w:rPr>
                <w:bCs/>
                <w:b/>
              </w:rPr>
              <w:t xml:space="preserve">Confirmed</w:t>
            </w:r>
          </w:p>
        </w:tc>
        <w:tc>
          <w:tcPr/>
          <w:p>
            <w:pPr>
              <w:pStyle w:val="Compact"/>
              <w:jc w:val="left"/>
            </w:pPr>
            <w:r>
              <w:t xml:space="preserve">Growing</w:t>
            </w:r>
          </w:p>
        </w:tc>
        <w:tc>
          <w:tcPr/>
          <w:p>
            <w:pPr>
              <w:pStyle w:val="Compact"/>
              <w:jc w:val="left"/>
            </w:pPr>
            <w:r>
              <w:t xml:space="preserve">Strong</w:t>
            </w:r>
          </w:p>
        </w:tc>
        <w:tc>
          <w:tcPr/>
          <w:p>
            <w:pPr>
              <w:pStyle w:val="Compact"/>
              <w:jc w:val="left"/>
            </w:pPr>
            <w:r>
              <w:t xml:space="preserve">Microsoft dependency risk</w:t>
            </w:r>
          </w:p>
        </w:tc>
      </w:tr>
      <w:tr>
        <w:tc>
          <w:tcPr/>
          <w:p>
            <w:pPr>
              <w:pStyle w:val="Compact"/>
              <w:jc w:val="left"/>
            </w:pPr>
            <w:r>
              <w:rPr>
                <w:bCs/>
                <w:b/>
              </w:rPr>
              <w:t xml:space="preserve">Sycamore Labs</w:t>
            </w:r>
          </w:p>
        </w:tc>
        <w:tc>
          <w:tcPr/>
          <w:p>
            <w:pPr>
              <w:pStyle w:val="Compact"/>
              <w:jc w:val="left"/>
            </w:pPr>
            <w:r>
              <w:t xml:space="preserve">$65M</w:t>
            </w:r>
            <w:r>
              <w:t xml:space="preserve"> </w:t>
            </w:r>
            <w:r>
              <w:rPr>
                <w:vertAlign w:val="superscript"/>
              </w:rPr>
              <w:t xml:space="preserve">71</w:t>
            </w:r>
          </w:p>
        </w:tc>
        <w:tc>
          <w:tcPr/>
          <w:p>
            <w:pPr>
              <w:pStyle w:val="Compact"/>
              <w:jc w:val="left"/>
            </w:pPr>
            <w:r>
              <w:t xml:space="preserve">$65M</w:t>
            </w:r>
          </w:p>
        </w:tc>
        <w:tc>
          <w:tcPr/>
          <w:p>
            <w:pPr>
              <w:pStyle w:val="Compact"/>
              <w:jc w:val="left"/>
            </w:pPr>
            <w:r>
              <w:rPr>
                <w:bCs/>
                <w:b/>
              </w:rPr>
              <w:t xml:space="preserve">Confirmed</w:t>
            </w:r>
          </w:p>
        </w:tc>
        <w:tc>
          <w:tcPr/>
          <w:p>
            <w:pPr>
              <w:pStyle w:val="Compact"/>
              <w:jc w:val="left"/>
            </w:pPr>
            <w:r>
              <w:t xml:space="preserve">Scaling</w:t>
            </w:r>
          </w:p>
        </w:tc>
        <w:tc>
          <w:tcPr/>
          <w:p>
            <w:pPr>
              <w:pStyle w:val="Compact"/>
              <w:jc w:val="left"/>
            </w:pPr>
            <w:r>
              <w:t xml:space="preserve">Pre-product</w:t>
            </w:r>
          </w:p>
        </w:tc>
        <w:tc>
          <w:tcPr/>
          <w:p>
            <w:pPr>
              <w:pStyle w:val="Compact"/>
              <w:jc w:val="left"/>
            </w:pPr>
            <w:r>
              <w:t xml:space="preserve">$65M seed before visible deployments</w:t>
            </w:r>
          </w:p>
        </w:tc>
      </w:tr>
    </w:tbl>
    <w:bookmarkEnd w:id="47"/>
    <w:bookmarkStart w:id="48" w:name="analysis-three-categories-of-fragility"/>
    <w:p>
      <w:pPr>
        <w:pStyle w:val="Heading4"/>
      </w:pPr>
      <w:r>
        <w:t xml:space="preserve">Analysis: Three Categories of Fragility</w:t>
      </w:r>
    </w:p>
    <w:p>
      <w:pPr>
        <w:pStyle w:val="FirstParagraph"/>
      </w:pPr>
      <w:r>
        <w:rPr>
          <w:bCs/>
          <w:b/>
        </w:rPr>
        <w:t xml:space="preserve">Category A: The Liars (NanoCo, Torch, Euno, Straion).</w:t>
      </w:r>
      <w:r>
        <w:t xml:space="preserve"> </w:t>
      </w:r>
      <w:r>
        <w:t xml:space="preserve">These four companies represent the underbelly of AI governance startup marketing. NanoCo’s claimed $63M was actually $12M — a</w:t>
      </w:r>
      <w:r>
        <w:t xml:space="preserve"> </w:t>
      </w:r>
      <w:r>
        <w:rPr>
          <w:bCs/>
          <w:b/>
        </w:rPr>
        <w:t xml:space="preserve">5.25x overstatement</w:t>
      </w:r>
      <w:r>
        <w:t xml:space="preserve"> </w:t>
      </w:r>
      <w:r>
        <w:t xml:space="preserve">that fooled tech media and analyst reports</w:t>
      </w:r>
      <w:r>
        <w:t xml:space="preserve"> </w:t>
      </w:r>
      <w:r>
        <w:rPr>
          <w:vertAlign w:val="superscript"/>
        </w:rPr>
        <w:t xml:space="preserve">72</w:t>
      </w:r>
      <w:r>
        <w:t xml:space="preserve">. With only ~4 employees, the company is not a startup; it is a prototype with a press release. Torch Security’s claimed $30M actually belongs to a</w:t>
      </w:r>
      <w:r>
        <w:t xml:space="preserve"> </w:t>
      </w:r>
      <w:r>
        <w:rPr>
          <w:bCs/>
          <w:b/>
        </w:rPr>
        <w:t xml:space="preserve">different company entirely</w:t>
      </w:r>
      <w:r>
        <w:t xml:space="preserve"> </w:t>
      </w:r>
      <w:r>
        <w:t xml:space="preserve">— Torch.AI, a Kansas-based AI data processing firm</w:t>
      </w:r>
      <w:r>
        <w:t xml:space="preserve"> </w:t>
      </w:r>
      <w:r>
        <w:rPr>
          <w:vertAlign w:val="superscript"/>
        </w:rPr>
        <w:t xml:space="preserve">54</w:t>
      </w:r>
      <w:r>
        <w:t xml:space="preserve">. The Israeli NHI governance startup at torch.security has</w:t>
      </w:r>
      <w:r>
        <w:t xml:space="preserve"> </w:t>
      </w:r>
      <w:r>
        <w:rPr>
          <w:bCs/>
          <w:b/>
        </w:rPr>
        <w:t xml:space="preserve">zero publicly disclosed funding</w:t>
      </w:r>
      <w:r>
        <w:t xml:space="preserve"> </w:t>
      </w:r>
      <w:r>
        <w:rPr>
          <w:vertAlign w:val="superscript"/>
        </w:rPr>
        <w:t xml:space="preserve">73</w:t>
      </w:r>
      <w:r>
        <w:t xml:space="preserve">. Euno’s $12.5M was halved to $6.25M upon verification</w:t>
      </w:r>
      <w:r>
        <w:t xml:space="preserve"> </w:t>
      </w:r>
      <w:r>
        <w:rPr>
          <w:vertAlign w:val="superscript"/>
        </w:rPr>
        <w:t xml:space="preserve">26</w:t>
      </w:r>
      <w:r>
        <w:t xml:space="preserve">. Straion, at ~$1.5M total funding and pre-revenue, is a walking acquisition target or shutdown candidate</w:t>
      </w:r>
      <w:r>
        <w:t xml:space="preserve"> </w:t>
      </w:r>
      <w:r>
        <w:rPr>
          <w:vertAlign w:val="superscript"/>
        </w:rPr>
        <w:t xml:space="preserve">26</w:t>
      </w:r>
      <w:r>
        <w:t xml:space="preserve">.</w:t>
      </w:r>
    </w:p>
    <w:p>
      <w:pPr>
        <w:pStyle w:val="BodyText"/>
      </w:pPr>
      <w:r>
        <w:rPr>
          <w:bCs/>
          <w:b/>
        </w:rPr>
        <w:t xml:space="preserve">Category B: The Opaque (Holistic AI, Credo AI, Cranium, Zenity).</w:t>
      </w:r>
      <w:r>
        <w:t xml:space="preserve"> </w:t>
      </w:r>
      <w:r>
        <w:t xml:space="preserve">These companies have verified funding but hide behind enterprise sales walls. Not one publishes pricing. Not one offers a free tier (except NanoCo’s open-source core). Not one has more than a handful of public customer reviews. WitnessAI — the</w:t>
      </w:r>
      <w:r>
        <w:t xml:space="preserve"> </w:t>
      </w:r>
      <w:r>
        <w:rPr>
          <w:bCs/>
          <w:b/>
        </w:rPr>
        <w:t xml:space="preserve">best-funded direct competitor at $85.5M</w:t>
      </w:r>
      <w:r>
        <w:t xml:space="preserve"> </w:t>
      </w:r>
      <w:r>
        <w:t xml:space="preserve">— has only</w:t>
      </w:r>
      <w:r>
        <w:t xml:space="preserve"> </w:t>
      </w:r>
      <w:r>
        <w:rPr>
          <w:bCs/>
          <w:b/>
        </w:rPr>
        <w:t xml:space="preserve">2-5 verified reviews across all platforms</w:t>
      </w:r>
      <w:r>
        <w:t xml:space="preserve"> </w:t>
      </w:r>
      <w:r>
        <w:rPr>
          <w:vertAlign w:val="superscript"/>
        </w:rPr>
        <w:t xml:space="preserve">11</w:t>
      </w:r>
      <w:r>
        <w:t xml:space="preserve">. This review desert is not accidental; it is the symptom of a market where every vendor sells through direct relationships, avoids public accountability, and locks customers into contracts that suppress honest feedback.</w:t>
      </w:r>
    </w:p>
    <w:p>
      <w:pPr>
        <w:pStyle w:val="BodyText"/>
      </w:pPr>
      <w:r>
        <w:rPr>
          <w:bCs/>
          <w:b/>
        </w:rPr>
        <w:t xml:space="preserve">Category C: The Pre-Product (Sycamore Labs, JetStream).</w:t>
      </w:r>
      <w:r>
        <w:t xml:space="preserve"> </w:t>
      </w:r>
      <w:r>
        <w:t xml:space="preserve">Sycamore Labs raised a staggering</w:t>
      </w:r>
      <w:r>
        <w:t xml:space="preserve"> </w:t>
      </w:r>
      <w:r>
        <w:rPr>
          <w:bCs/>
          <w:b/>
        </w:rPr>
        <w:t xml:space="preserve">$65M seed round</w:t>
      </w:r>
      <w:r>
        <w:t xml:space="preserve"> </w:t>
      </w:r>
      <w:r>
        <w:t xml:space="preserve">in March 2026 — before visible enterprise deployments, before meaningful customer validation, and before proving its</w:t>
      </w:r>
      <w:r>
        <w:t xml:space="preserve"> </w:t>
      </w:r>
      <w:r>
        <w:t xml:space="preserve">“</w:t>
      </w:r>
      <w:r>
        <w:t xml:space="preserve">Agentic Operating System</w:t>
      </w:r>
      <w:r>
        <w:t xml:space="preserve">”</w:t>
      </w:r>
      <w:r>
        <w:t xml:space="preserve"> </w:t>
      </w:r>
      <w:r>
        <w:t xml:space="preserve">concept at scale</w:t>
      </w:r>
      <w:r>
        <w:t xml:space="preserve"> </w:t>
      </w:r>
      <w:r>
        <w:rPr>
          <w:vertAlign w:val="superscript"/>
        </w:rPr>
        <w:t xml:space="preserve">71</w:t>
      </w:r>
      <w:r>
        <w:t xml:space="preserve">. JetStream’s $34M seed gives it runway but its core</w:t>
      </w:r>
      <w:r>
        <w:t xml:space="preserve"> </w:t>
      </w:r>
      <w:r>
        <w:t xml:space="preserve">“</w:t>
      </w:r>
      <w:r>
        <w:t xml:space="preserve">AI Blueprints</w:t>
      </w:r>
      <w:r>
        <w:t xml:space="preserve">”</w:t>
      </w:r>
      <w:r>
        <w:t xml:space="preserve"> </w:t>
      </w:r>
      <w:r>
        <w:t xml:space="preserve">concept remains unproven</w:t>
      </w:r>
      <w:r>
        <w:t xml:space="preserve"> </w:t>
      </w:r>
      <w:r>
        <w:rPr>
          <w:vertAlign w:val="superscript"/>
        </w:rPr>
        <w:t xml:space="preserve">32</w:t>
      </w:r>
      <w:r>
        <w:t xml:space="preserve">. Both are burning investor capital to find product-market fit — capital that SOV3 does not need to spend.</w:t>
      </w:r>
    </w:p>
    <w:bookmarkEnd w:id="48"/>
    <w:bookmarkStart w:id="49" w:name="X8628d6ec5b0135146baab43c94a400eb0403962"/>
    <w:p>
      <w:pPr>
        <w:pStyle w:val="Heading4"/>
      </w:pPr>
      <w:r>
        <w:t xml:space="preserve">The Universal Gap: 0/10 Have Certification Ecosystems</w:t>
      </w:r>
    </w:p>
    <w:p>
      <w:pPr>
        <w:pStyle w:val="FirstParagraph"/>
      </w:pPr>
      <w:r>
        <w:t xml:space="preserve">The most devastating finding across all 10 competitors:</w:t>
      </w:r>
      <w:r>
        <w:t xml:space="preserve"> </w:t>
      </w:r>
      <w:r>
        <w:rPr>
          <w:bCs/>
          <w:b/>
        </w:rPr>
        <w:t xml:space="preserve">zero companies offer a certification ecosystem</w:t>
      </w:r>
      <w:r>
        <w:t xml:space="preserve">. Not one can issue, verify, or manage AI governance certificates. Not one provides public transparency scoring. Not one operates an open, auditable governance framework</w:t>
      </w:r>
      <w:r>
        <w:t xml:space="preserve"> </w:t>
      </w:r>
      <w:r>
        <w:rPr>
          <w:vertAlign w:val="superscript"/>
        </w:rPr>
        <w:t xml:space="preserve">9</w:t>
      </w:r>
      <w:r>
        <w:t xml:space="preserve"> </w:t>
      </w:r>
      <w:r>
        <w:rPr>
          <w:vertAlign w:val="superscript"/>
        </w:rPr>
        <w:t xml:space="preserve">18</w:t>
      </w:r>
      <w:r>
        <w:t xml:space="preserve"> </w:t>
      </w:r>
      <w:r>
        <w:rPr>
          <w:vertAlign w:val="superscript"/>
        </w:rPr>
        <w:t xml:space="preserve">16</w:t>
      </w:r>
      <w:r>
        <w:t xml:space="preserve"> </w:t>
      </w:r>
      <w:r>
        <w:rPr>
          <w:vertAlign w:val="superscript"/>
        </w:rPr>
        <w:t xml:space="preserve">11</w:t>
      </w:r>
      <w:r>
        <w:t xml:space="preserve"> </w:t>
      </w:r>
      <w:r>
        <w:rPr>
          <w:vertAlign w:val="superscript"/>
        </w:rPr>
        <w:t xml:space="preserve">6</w:t>
      </w:r>
      <w:r>
        <w:t xml:space="preserve">.</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Capability</w:t>
            </w:r>
          </w:p>
        </w:tc>
        <w:tc>
          <w:tcPr/>
          <w:p>
            <w:pPr>
              <w:pStyle w:val="Compact"/>
              <w:jc w:val="left"/>
            </w:pPr>
            <w:r>
              <w:t xml:space="preserve">Credo AI</w:t>
            </w:r>
          </w:p>
        </w:tc>
        <w:tc>
          <w:tcPr/>
          <w:p>
            <w:pPr>
              <w:pStyle w:val="Compact"/>
              <w:jc w:val="left"/>
            </w:pPr>
            <w:r>
              <w:t xml:space="preserve">Holistic AI</w:t>
            </w:r>
          </w:p>
        </w:tc>
        <w:tc>
          <w:tcPr/>
          <w:p>
            <w:pPr>
              <w:pStyle w:val="Compact"/>
              <w:jc w:val="left"/>
            </w:pPr>
            <w:r>
              <w:t xml:space="preserve">Cranium</w:t>
            </w:r>
          </w:p>
        </w:tc>
        <w:tc>
          <w:tcPr/>
          <w:p>
            <w:pPr>
              <w:pStyle w:val="Compact"/>
              <w:jc w:val="left"/>
            </w:pPr>
            <w:r>
              <w:t xml:space="preserve">WitnessAI</w:t>
            </w:r>
          </w:p>
        </w:tc>
        <w:tc>
          <w:tcPr/>
          <w:p>
            <w:pPr>
              <w:pStyle w:val="Compact"/>
              <w:jc w:val="left"/>
            </w:pPr>
            <w:r>
              <w:t xml:space="preserve">Zenity</w:t>
            </w:r>
          </w:p>
        </w:tc>
        <w:tc>
          <w:tcPr/>
          <w:p>
            <w:pPr>
              <w:pStyle w:val="Compact"/>
              <w:jc w:val="left"/>
            </w:pPr>
            <w:r>
              <w:t xml:space="preserve">JetStream</w:t>
            </w:r>
          </w:p>
        </w:tc>
        <w:tc>
          <w:tcPr/>
          <w:p>
            <w:pPr>
              <w:pStyle w:val="Compact"/>
              <w:jc w:val="left"/>
            </w:pPr>
            <w:r>
              <w:t xml:space="preserve">NanoCo</w:t>
            </w:r>
          </w:p>
        </w:tc>
        <w:tc>
          <w:tcPr/>
          <w:p>
            <w:pPr>
              <w:pStyle w:val="Compact"/>
              <w:jc w:val="left"/>
            </w:pPr>
            <w:r>
              <w:t xml:space="preserve">Torch</w:t>
            </w:r>
          </w:p>
        </w:tc>
        <w:tc>
          <w:tcPr/>
          <w:p>
            <w:pPr>
              <w:pStyle w:val="Compact"/>
              <w:jc w:val="left"/>
            </w:pPr>
            <w:r>
              <w:t xml:space="preserve">Sycamore</w:t>
            </w:r>
          </w:p>
        </w:tc>
        <w:tc>
          <w:tcPr/>
          <w:p>
            <w:pPr>
              <w:pStyle w:val="Compact"/>
              <w:jc w:val="left"/>
            </w:pPr>
            <w:r>
              <w:rPr>
                <w:bCs/>
                <w:b/>
              </w:rPr>
              <w:t xml:space="preserve">SOV3</w:t>
            </w:r>
          </w:p>
        </w:tc>
      </w:tr>
      <w:tr>
        <w:tc>
          <w:tcPr/>
          <w:p>
            <w:pPr>
              <w:pStyle w:val="Compact"/>
              <w:jc w:val="left"/>
            </w:pPr>
            <w:r>
              <w:rPr>
                <w:bCs/>
                <w:b/>
              </w:rPr>
              <w:t xml:space="preserve">Cert Ecosystem</w:t>
            </w:r>
          </w:p>
        </w:tc>
        <w:tc>
          <w:tcPr/>
          <w:p>
            <w:pPr>
              <w:pStyle w:val="Compact"/>
              <w:jc w:val="left"/>
            </w:pPr>
            <w:r>
              <w:t xml:space="preserve">NO</w:t>
            </w:r>
          </w:p>
        </w:tc>
        <w:tc>
          <w:tcPr/>
          <w:p>
            <w:pPr>
              <w:pStyle w:val="Compact"/>
              <w:jc w:val="left"/>
            </w:pPr>
            <w:r>
              <w:t xml:space="preserve">NO</w:t>
            </w:r>
          </w:p>
        </w:tc>
        <w:tc>
          <w:tcPr/>
          <w:p>
            <w:pPr>
              <w:pStyle w:val="Compact"/>
              <w:jc w:val="left"/>
            </w:pPr>
            <w:r>
              <w:t xml:space="preserve">Training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Public Transparency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Open src</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Published Pricing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Freemium</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Public Reviews (20+)</w:t>
            </w:r>
          </w:p>
        </w:tc>
        <w:tc>
          <w:tcPr/>
          <w:p>
            <w:pPr>
              <w:pStyle w:val="Compact"/>
              <w:jc w:val="left"/>
            </w:pPr>
            <w:r>
              <w:t xml:space="preserve">~0</w:t>
            </w:r>
            <w:r>
              <w:t xml:space="preserve"> </w:t>
            </w:r>
            <w:r>
              <w:rPr>
                <w:vertAlign w:val="superscript"/>
              </w:rPr>
              <w:t xml:space="preserve">2</w:t>
            </w:r>
          </w:p>
        </w:tc>
        <w:tc>
          <w:tcPr/>
          <w:p>
            <w:pPr>
              <w:pStyle w:val="Compact"/>
              <w:jc w:val="left"/>
            </w:pPr>
            <w:r>
              <w:t xml:space="preserve">Minimal</w:t>
            </w:r>
          </w:p>
        </w:tc>
        <w:tc>
          <w:tcPr/>
          <w:p>
            <w:pPr>
              <w:pStyle w:val="Compact"/>
              <w:jc w:val="left"/>
            </w:pPr>
            <w:r>
              <w:t xml:space="preserve">Minimal</w:t>
            </w:r>
          </w:p>
        </w:tc>
        <w:tc>
          <w:tcPr/>
          <w:p>
            <w:pPr>
              <w:pStyle w:val="Compact"/>
              <w:jc w:val="left"/>
            </w:pPr>
            <w:r>
              <w:t xml:space="preserve">2-5</w:t>
            </w:r>
            <w:r>
              <w:t xml:space="preserve"> </w:t>
            </w:r>
            <w:r>
              <w:rPr>
                <w:vertAlign w:val="superscript"/>
              </w:rPr>
              <w:t xml:space="preserve">11</w:t>
            </w:r>
          </w:p>
        </w:tc>
        <w:tc>
          <w:tcPr/>
          <w:p>
            <w:pPr>
              <w:pStyle w:val="Compact"/>
              <w:jc w:val="left"/>
            </w:pPr>
            <w:r>
              <w:t xml:space="preserve">Minimal</w:t>
            </w:r>
          </w:p>
        </w:tc>
        <w:tc>
          <w:tcPr/>
          <w:p>
            <w:pPr>
              <w:pStyle w:val="Compact"/>
              <w:jc w:val="left"/>
            </w:pPr>
            <w:r>
              <w:t xml:space="preserve">0</w:t>
            </w:r>
          </w:p>
        </w:tc>
        <w:tc>
          <w:tcPr/>
          <w:p>
            <w:pPr>
              <w:pStyle w:val="Compact"/>
              <w:jc w:val="left"/>
            </w:pPr>
            <w:r>
              <w:t xml:space="preserve">Viral</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Target</w:t>
            </w:r>
          </w:p>
        </w:tc>
      </w:tr>
      <w:tr>
        <w:tc>
          <w:tcPr/>
          <w:p>
            <w:pPr>
              <w:pStyle w:val="Compact"/>
              <w:jc w:val="left"/>
            </w:pPr>
            <w:r>
              <w:rPr>
                <w:bCs/>
                <w:b/>
              </w:rPr>
              <w:t xml:space="preserve">Agent Governance</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Partial (2026)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rPr>
                <w:bCs/>
                <w:b/>
              </w:rPr>
              <w:t xml:space="preserve">Native</w:t>
            </w:r>
          </w:p>
        </w:tc>
      </w:tr>
    </w:tbl>
    <w:p>
      <w:pPr>
        <w:pStyle w:val="BodyText"/>
      </w:pPr>
      <w:r>
        <w:rPr>
          <w:bCs/>
          <w:b/>
        </w:rPr>
        <w:t xml:space="preserve">SOV3 Kill Shot:</w:t>
      </w:r>
      <w:r>
        <w:t xml:space="preserve"> </w:t>
      </w:r>
      <w:r>
        <w:t xml:space="preserve">Every competitor in the startup tier is either lying about funding, hiding pricing, or selling vaporware. SOV3 enters with verified capability, transparent pricing, and a certification ecosystem that none of them can match — because none of them even tried.</w:t>
      </w:r>
    </w:p>
    <w:p>
      <w:r>
        <w:pict>
          <v:rect style="width:0;height:1.5pt" o:hralign="center" o:hrstd="t" o:hr="t"/>
        </w:pict>
      </w:r>
    </w:p>
    <w:bookmarkEnd w:id="49"/>
    <w:bookmarkEnd w:id="50"/>
    <w:bookmarkStart w:id="53" w:name="tier-3-grc-legacy-the-speed-kill"/>
    <w:p>
      <w:pPr>
        <w:pStyle w:val="Heading3"/>
      </w:pPr>
      <w:r>
        <w:t xml:space="preserve">5.3 Tier 3 GRC Legacy: The Speed Kill</w:t>
      </w:r>
    </w:p>
    <w:p>
      <w:pPr>
        <w:pStyle w:val="FirstParagraph"/>
      </w:pPr>
      <w:r>
        <w:t xml:space="preserve">The legacy GRC platforms are the dinosaurs of governance — massive, slow, expensive, and architecturally incapable of adapting to the AI era. Their implementation timelines alone are fatal vulnerabilities. When the EU AI Act high-risk obligations deadline is August 2, 2026</w:t>
      </w:r>
      <w:r>
        <w:t xml:space="preserve"> </w:t>
      </w:r>
      <w:r>
        <w:rPr>
          <w:vertAlign w:val="superscript"/>
        </w:rPr>
        <w:t xml:space="preserve">65</w:t>
      </w:r>
      <w:r>
        <w:t xml:space="preserve">, a platform that takes 9-18 months to implement is not a solution — it is a liability.</w:t>
      </w:r>
    </w:p>
    <w:bookmarkStart w:id="51" w:name="implementation-speed-comparison-table"/>
    <w:p>
      <w:pPr>
        <w:pStyle w:val="Heading4"/>
      </w:pPr>
      <w:r>
        <w:t xml:space="preserve">Implementation Speed Comparison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Claimed Timeline</w:t>
            </w:r>
          </w:p>
        </w:tc>
        <w:tc>
          <w:tcPr/>
          <w:p>
            <w:pPr>
              <w:pStyle w:val="Compact"/>
              <w:jc w:val="left"/>
            </w:pPr>
            <w:r>
              <w:rPr>
                <w:bCs/>
                <w:b/>
              </w:rPr>
              <w:t xml:space="preserve">Realistic Timeline</w:t>
            </w:r>
          </w:p>
        </w:tc>
        <w:tc>
          <w:tcPr/>
          <w:p>
            <w:pPr>
              <w:pStyle w:val="Compact"/>
              <w:jc w:val="left"/>
            </w:pPr>
            <w:r>
              <w:t xml:space="preserve">Price Range</w:t>
            </w:r>
          </w:p>
        </w:tc>
        <w:tc>
          <w:tcPr/>
          <w:p>
            <w:pPr>
              <w:pStyle w:val="Compact"/>
              <w:jc w:val="left"/>
            </w:pPr>
            <w:r>
              <w:t xml:space="preserve">Speed Gap vs SOV3 (48 hrs)</w:t>
            </w:r>
          </w:p>
        </w:tc>
        <w:tc>
          <w:tcPr/>
          <w:p>
            <w:pPr>
              <w:pStyle w:val="Compact"/>
              <w:jc w:val="left"/>
            </w:pPr>
            <w:r>
              <w:t xml:space="preserve">EU AI Act Ready</w:t>
            </w:r>
          </w:p>
        </w:tc>
      </w:tr>
      <w:tr>
        <w:tc>
          <w:tcPr/>
          <w:p>
            <w:pPr>
              <w:pStyle w:val="Compact"/>
              <w:jc w:val="left"/>
            </w:pPr>
            <w:r>
              <w:rPr>
                <w:bCs/>
                <w:b/>
              </w:rPr>
              <w:t xml:space="preserve">SOV3</w:t>
            </w:r>
          </w:p>
        </w:tc>
        <w:tc>
          <w:tcPr/>
          <w:p>
            <w:pPr>
              <w:pStyle w:val="Compact"/>
              <w:jc w:val="left"/>
            </w:pPr>
            <w:r>
              <w:rPr>
                <w:bCs/>
                <w:b/>
              </w:rPr>
              <w:t xml:space="preserve">48 hours</w:t>
            </w:r>
          </w:p>
        </w:tc>
        <w:tc>
          <w:tcPr/>
          <w:p>
            <w:pPr>
              <w:pStyle w:val="Compact"/>
              <w:jc w:val="left"/>
            </w:pPr>
            <w:r>
              <w:rPr>
                <w:bCs/>
                <w:b/>
              </w:rPr>
              <w:t xml:space="preserve">48 hours</w:t>
            </w:r>
          </w:p>
        </w:tc>
        <w:tc>
          <w:tcPr/>
          <w:p>
            <w:pPr>
              <w:pStyle w:val="Compact"/>
              <w:jc w:val="left"/>
            </w:pPr>
            <w:r>
              <w:rPr>
                <w:bCs/>
                <w:b/>
              </w:rPr>
              <w:t xml:space="preserve">$3K-$60K/year</w:t>
            </w:r>
          </w:p>
        </w:tc>
        <w:tc>
          <w:tcPr/>
          <w:p>
            <w:pPr>
              <w:pStyle w:val="Compact"/>
              <w:jc w:val="left"/>
            </w:pPr>
            <w:r>
              <w:rPr>
                <w:bCs/>
                <w:b/>
              </w:rPr>
              <w:t xml:space="preserve">1x (baseline)</w:t>
            </w:r>
          </w:p>
        </w:tc>
        <w:tc>
          <w:tcPr/>
          <w:p>
            <w:pPr>
              <w:pStyle w:val="Compact"/>
              <w:jc w:val="left"/>
            </w:pPr>
            <w:r>
              <w:rPr>
                <w:bCs/>
                <w:b/>
              </w:rPr>
              <w:t xml:space="preserve">Native</w:t>
            </w:r>
          </w:p>
        </w:tc>
      </w:tr>
      <w:tr>
        <w:tc>
          <w:tcPr/>
          <w:p>
            <w:pPr>
              <w:pStyle w:val="Compact"/>
              <w:jc w:val="left"/>
            </w:pPr>
            <w:r>
              <w:t xml:space="preserve">Centraleyes</w:t>
            </w:r>
          </w:p>
        </w:tc>
        <w:tc>
          <w:tcPr/>
          <w:p>
            <w:pPr>
              <w:pStyle w:val="Compact"/>
              <w:jc w:val="left"/>
            </w:pPr>
            <w:r>
              <w:t xml:space="preserve">1 day</w:t>
            </w:r>
          </w:p>
        </w:tc>
        <w:tc>
          <w:tcPr/>
          <w:p>
            <w:pPr>
              <w:pStyle w:val="Compact"/>
              <w:jc w:val="left"/>
            </w:pPr>
            <w:r>
              <w:t xml:space="preserve">Unverified</w:t>
            </w:r>
          </w:p>
        </w:tc>
        <w:tc>
          <w:tcPr/>
          <w:p>
            <w:pPr>
              <w:pStyle w:val="Compact"/>
              <w:jc w:val="left"/>
            </w:pPr>
            <w:r>
              <w:t xml:space="preserve">$29/user/mo</w:t>
            </w: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CyberArrow GRC</w:t>
            </w:r>
          </w:p>
        </w:tc>
        <w:tc>
          <w:tcPr/>
          <w:p>
            <w:pPr>
              <w:pStyle w:val="Compact"/>
              <w:jc w:val="left"/>
            </w:pPr>
            <w:r>
              <w:t xml:space="preserve">3 weeks</w:t>
            </w:r>
          </w:p>
        </w:tc>
        <w:tc>
          <w:tcPr/>
          <w:p>
            <w:pPr>
              <w:pStyle w:val="Compact"/>
              <w:jc w:val="left"/>
            </w:pPr>
            <w:r>
              <w:t xml:space="preserve">Unverified</w:t>
            </w:r>
          </w:p>
        </w:tc>
        <w:tc>
          <w:tcPr/>
          <w:p>
            <w:pPr>
              <w:pStyle w:val="Compact"/>
              <w:jc w:val="left"/>
            </w:pPr>
            <w:r>
              <w:t xml:space="preserve">Unknown</w:t>
            </w:r>
          </w:p>
        </w:tc>
        <w:tc>
          <w:tcPr/>
          <w:p>
            <w:pPr>
              <w:pStyle w:val="Compact"/>
              <w:jc w:val="left"/>
            </w:pPr>
            <w:r>
              <w:t xml:space="preserve">Unverified</w:t>
            </w:r>
          </w:p>
        </w:tc>
        <w:tc>
          <w:tcPr/>
          <w:p>
            <w:pPr>
              <w:pStyle w:val="Compact"/>
              <w:jc w:val="left"/>
            </w:pPr>
            <w:r>
              <w:t xml:space="preserve">Claims only</w:t>
            </w:r>
          </w:p>
        </w:tc>
      </w:tr>
      <w:tr>
        <w:tc>
          <w:tcPr/>
          <w:p>
            <w:pPr>
              <w:pStyle w:val="Compact"/>
              <w:jc w:val="left"/>
            </w:pPr>
            <w:r>
              <w:t xml:space="preserve">LogicGate</w:t>
            </w:r>
          </w:p>
        </w:tc>
        <w:tc>
          <w:tcPr/>
          <w:p>
            <w:pPr>
              <w:pStyle w:val="Compact"/>
              <w:jc w:val="left"/>
            </w:pPr>
            <w:r>
              <w:t xml:space="preserve">30 days</w:t>
            </w:r>
          </w:p>
        </w:tc>
        <w:tc>
          <w:tcPr/>
          <w:p>
            <w:pPr>
              <w:pStyle w:val="Compact"/>
              <w:jc w:val="left"/>
            </w:pPr>
            <w:r>
              <w:rPr>
                <w:bCs/>
                <w:b/>
              </w:rPr>
              <w:t xml:space="preserve">30-60 days</w:t>
            </w:r>
          </w:p>
        </w:tc>
        <w:tc>
          <w:tcPr/>
          <w:p>
            <w:pPr>
              <w:pStyle w:val="Compact"/>
              <w:jc w:val="left"/>
            </w:pPr>
            <w:r>
              <w:t xml:space="preserve">$25K-$150K+/year</w:t>
            </w:r>
            <w:r>
              <w:t xml:space="preserve"> </w:t>
            </w:r>
            <w:r>
              <w:rPr>
                <w:vertAlign w:val="superscript"/>
              </w:rPr>
              <w:t xml:space="preserve">70</w:t>
            </w:r>
          </w:p>
        </w:tc>
        <w:tc>
          <w:tcPr/>
          <w:p>
            <w:pPr>
              <w:pStyle w:val="Compact"/>
              <w:jc w:val="left"/>
            </w:pPr>
            <w:r>
              <w:rPr>
                <w:bCs/>
                <w:b/>
              </w:rPr>
              <w:t xml:space="preserve">~15-30x slower</w:t>
            </w:r>
          </w:p>
        </w:tc>
        <w:tc>
          <w:tcPr/>
          <w:p>
            <w:pPr>
              <w:pStyle w:val="Compact"/>
              <w:jc w:val="left"/>
            </w:pPr>
            <w:r>
              <w:t xml:space="preserve">Claimed only</w:t>
            </w:r>
          </w:p>
        </w:tc>
      </w:tr>
      <w:tr>
        <w:tc>
          <w:tcPr/>
          <w:p>
            <w:pPr>
              <w:pStyle w:val="Compact"/>
              <w:jc w:val="left"/>
            </w:pPr>
            <w:r>
              <w:t xml:space="preserve">AuditBoard (Optro)</w:t>
            </w:r>
          </w:p>
        </w:tc>
        <w:tc>
          <w:tcPr/>
          <w:p>
            <w:pPr>
              <w:pStyle w:val="Compact"/>
              <w:jc w:val="left"/>
            </w:pPr>
            <w:r>
              <w:t xml:space="preserve">15-20 days</w:t>
            </w:r>
          </w:p>
        </w:tc>
        <w:tc>
          <w:tcPr/>
          <w:p>
            <w:pPr>
              <w:pStyle w:val="Compact"/>
              <w:jc w:val="left"/>
            </w:pPr>
            <w:r>
              <w:rPr>
                <w:bCs/>
                <w:b/>
              </w:rPr>
              <w:t xml:space="preserve">4-12 weeks</w:t>
            </w:r>
          </w:p>
        </w:tc>
        <w:tc>
          <w:tcPr/>
          <w:p>
            <w:pPr>
              <w:pStyle w:val="Compact"/>
              <w:jc w:val="left"/>
            </w:pPr>
            <w:r>
              <w:t xml:space="preserve">$30K-$250K+/year</w:t>
            </w:r>
            <w:r>
              <w:t xml:space="preserve"> </w:t>
            </w:r>
            <w:r>
              <w:rPr>
                <w:vertAlign w:val="superscript"/>
              </w:rPr>
              <w:t xml:space="preserve">74</w:t>
            </w:r>
          </w:p>
        </w:tc>
        <w:tc>
          <w:tcPr/>
          <w:p>
            <w:pPr>
              <w:pStyle w:val="Compact"/>
              <w:jc w:val="left"/>
            </w:pPr>
            <w:r>
              <w:rPr>
                <w:bCs/>
                <w:b/>
              </w:rPr>
              <w:t xml:space="preserve">~30-90x slower</w:t>
            </w:r>
          </w:p>
        </w:tc>
        <w:tc>
          <w:tcPr/>
          <w:p>
            <w:pPr>
              <w:pStyle w:val="Compact"/>
              <w:jc w:val="left"/>
            </w:pPr>
            <w:r>
              <w:rPr>
                <w:bCs/>
                <w:b/>
              </w:rPr>
              <w:t xml:space="preserve">NO</w:t>
            </w:r>
            <w:r>
              <w:t xml:space="preserve"> </w:t>
            </w:r>
            <w:r>
              <w:rPr>
                <w:vertAlign w:val="superscript"/>
              </w:rPr>
              <w:t xml:space="preserve">75</w:t>
            </w:r>
          </w:p>
        </w:tc>
      </w:tr>
      <w:tr>
        <w:tc>
          <w:tcPr/>
          <w:p>
            <w:pPr>
              <w:pStyle w:val="Compact"/>
              <w:jc w:val="left"/>
            </w:pPr>
            <w:r>
              <w:t xml:space="preserve">ServiceNow IRM</w:t>
            </w:r>
          </w:p>
        </w:tc>
        <w:tc>
          <w:tcPr/>
          <w:p>
            <w:pPr>
              <w:pStyle w:val="Compact"/>
              <w:jc w:val="left"/>
            </w:pPr>
            <w:r>
              <w:t xml:space="preserve">6-8 weeks</w:t>
            </w:r>
          </w:p>
        </w:tc>
        <w:tc>
          <w:tcPr/>
          <w:p>
            <w:pPr>
              <w:pStyle w:val="Compact"/>
              <w:jc w:val="left"/>
            </w:pPr>
            <w:r>
              <w:rPr>
                <w:bCs/>
                <w:b/>
              </w:rPr>
              <w:t xml:space="preserve">3-6 months (+$500K ITSM base)</w:t>
            </w:r>
          </w:p>
        </w:tc>
        <w:tc>
          <w:tcPr/>
          <w:p>
            <w:pPr>
              <w:pStyle w:val="Compact"/>
              <w:jc w:val="left"/>
            </w:pPr>
            <w:r>
              <w:t xml:space="preserve">$200K-$1M+/year</w:t>
            </w:r>
            <w:r>
              <w:t xml:space="preserve"> </w:t>
            </w:r>
            <w:r>
              <w:rPr>
                <w:vertAlign w:val="superscript"/>
              </w:rPr>
              <w:t xml:space="preserve">76</w:t>
            </w:r>
          </w:p>
        </w:tc>
        <w:tc>
          <w:tcPr/>
          <w:p>
            <w:pPr>
              <w:pStyle w:val="Compact"/>
              <w:jc w:val="left"/>
            </w:pPr>
            <w:r>
              <w:rPr>
                <w:bCs/>
                <w:b/>
              </w:rPr>
              <w:t xml:space="preserve">~45-90x slower</w:t>
            </w:r>
          </w:p>
        </w:tc>
        <w:tc>
          <w:tcPr/>
          <w:p>
            <w:pPr>
              <w:pStyle w:val="Compact"/>
              <w:jc w:val="left"/>
            </w:pPr>
            <w:r>
              <w:t xml:space="preserve">None found</w:t>
            </w:r>
          </w:p>
        </w:tc>
      </w:tr>
      <w:tr>
        <w:tc>
          <w:tcPr/>
          <w:p>
            <w:pPr>
              <w:pStyle w:val="Compact"/>
              <w:jc w:val="left"/>
            </w:pPr>
            <w:r>
              <w:t xml:space="preserve">OneTrust</w:t>
            </w:r>
          </w:p>
        </w:tc>
        <w:tc>
          <w:tcPr/>
          <w:p>
            <w:pPr>
              <w:pStyle w:val="Compact"/>
              <w:jc w:val="left"/>
            </w:pPr>
            <w:r>
              <w:t xml:space="preserve">3-6 weeks</w:t>
            </w:r>
          </w:p>
        </w:tc>
        <w:tc>
          <w:tcPr/>
          <w:p>
            <w:pPr>
              <w:pStyle w:val="Compact"/>
              <w:jc w:val="left"/>
            </w:pPr>
            <w:r>
              <w:rPr>
                <w:bCs/>
                <w:b/>
              </w:rPr>
              <w:t xml:space="preserve">2.5-9 months</w:t>
            </w:r>
          </w:p>
        </w:tc>
        <w:tc>
          <w:tcPr/>
          <w:p>
            <w:pPr>
              <w:pStyle w:val="Compact"/>
              <w:jc w:val="left"/>
            </w:pPr>
            <w:r>
              <w:t xml:space="preserve">$10K-$500K+/year</w:t>
            </w:r>
            <w:r>
              <w:t xml:space="preserve"> </w:t>
            </w:r>
            <w:r>
              <w:rPr>
                <w:vertAlign w:val="superscript"/>
              </w:rPr>
              <w:t xml:space="preserve">61</w:t>
            </w:r>
          </w:p>
        </w:tc>
        <w:tc>
          <w:tcPr/>
          <w:p>
            <w:pPr>
              <w:pStyle w:val="Compact"/>
              <w:jc w:val="left"/>
            </w:pPr>
            <w:r>
              <w:rPr>
                <w:bCs/>
                <w:b/>
              </w:rPr>
              <w:t xml:space="preserve">~37-135x slower</w:t>
            </w:r>
          </w:p>
        </w:tc>
        <w:tc>
          <w:tcPr/>
          <w:p>
            <w:pPr>
              <w:pStyle w:val="Compact"/>
              <w:jc w:val="left"/>
            </w:pPr>
            <w:r>
              <w:t xml:space="preserve">Bolt-on only</w:t>
            </w:r>
          </w:p>
        </w:tc>
      </w:tr>
      <w:tr>
        <w:tc>
          <w:tcPr/>
          <w:p>
            <w:pPr>
              <w:pStyle w:val="Compact"/>
              <w:jc w:val="left"/>
            </w:pPr>
            <w:r>
              <w:t xml:space="preserve">MetricStream</w:t>
            </w:r>
          </w:p>
        </w:tc>
        <w:tc>
          <w:tcPr/>
          <w:p>
            <w:pPr>
              <w:pStyle w:val="Compact"/>
              <w:jc w:val="left"/>
            </w:pPr>
            <w:r>
              <w:t xml:space="preserve">3-6 months</w:t>
            </w:r>
          </w:p>
        </w:tc>
        <w:tc>
          <w:tcPr/>
          <w:p>
            <w:pPr>
              <w:pStyle w:val="Compact"/>
              <w:jc w:val="left"/>
            </w:pPr>
            <w:r>
              <w:rPr>
                <w:bCs/>
                <w:b/>
              </w:rPr>
              <w:t xml:space="preserve">9-18 months</w:t>
            </w:r>
          </w:p>
        </w:tc>
        <w:tc>
          <w:tcPr/>
          <w:p>
            <w:pPr>
              <w:pStyle w:val="Compact"/>
              <w:jc w:val="left"/>
            </w:pPr>
            <w:r>
              <w:t xml:space="preserve">$75K-$1M+/year</w:t>
            </w:r>
            <w:r>
              <w:t xml:space="preserve"> </w:t>
            </w:r>
            <w:r>
              <w:rPr>
                <w:vertAlign w:val="superscript"/>
              </w:rPr>
              <w:t xml:space="preserve">77</w:t>
            </w:r>
          </w:p>
        </w:tc>
        <w:tc>
          <w:tcPr/>
          <w:p>
            <w:pPr>
              <w:pStyle w:val="Compact"/>
              <w:jc w:val="left"/>
            </w:pPr>
            <w:r>
              <w:rPr>
                <w:bCs/>
                <w:b/>
              </w:rPr>
              <w:t xml:space="preserve">~135-270x slower</w:t>
            </w:r>
          </w:p>
        </w:tc>
        <w:tc>
          <w:tcPr/>
          <w:p>
            <w:pPr>
              <w:pStyle w:val="Compact"/>
              <w:jc w:val="left"/>
            </w:pPr>
            <w:r>
              <w:t xml:space="preserve">None found</w:t>
            </w:r>
          </w:p>
        </w:tc>
      </w:tr>
      <w:tr>
        <w:tc>
          <w:tcPr/>
          <w:p>
            <w:pPr>
              <w:pStyle w:val="Compact"/>
              <w:jc w:val="left"/>
            </w:pPr>
            <w:r>
              <w:t xml:space="preserve">RSA Archer</w:t>
            </w:r>
          </w:p>
        </w:tc>
        <w:tc>
          <w:tcPr/>
          <w:p>
            <w:pPr>
              <w:pStyle w:val="Compact"/>
              <w:jc w:val="left"/>
            </w:pPr>
            <w:r>
              <w:t xml:space="preserve">9-18 months</w:t>
            </w:r>
          </w:p>
        </w:tc>
        <w:tc>
          <w:tcPr/>
          <w:p>
            <w:pPr>
              <w:pStyle w:val="Compact"/>
              <w:jc w:val="left"/>
            </w:pPr>
            <w:r>
              <w:rPr>
                <w:bCs/>
                <w:b/>
              </w:rPr>
              <w:t xml:space="preserve">9-18 months</w:t>
            </w:r>
          </w:p>
        </w:tc>
        <w:tc>
          <w:tcPr/>
          <w:p>
            <w:pPr>
              <w:pStyle w:val="Compact"/>
              <w:jc w:val="left"/>
            </w:pPr>
            <w:r>
              <w:t xml:space="preserve">$150K-$800K/year</w:t>
            </w:r>
            <w:r>
              <w:t xml:space="preserve"> </w:t>
            </w:r>
            <w:r>
              <w:rPr>
                <w:vertAlign w:val="superscript"/>
              </w:rPr>
              <w:t xml:space="preserve">76</w:t>
            </w:r>
          </w:p>
        </w:tc>
        <w:tc>
          <w:tcPr/>
          <w:p>
            <w:pPr>
              <w:pStyle w:val="Compact"/>
              <w:jc w:val="left"/>
            </w:pPr>
            <w:r>
              <w:rPr>
                <w:bCs/>
                <w:b/>
              </w:rPr>
              <w:t xml:space="preserve">~135-270x slower</w:t>
            </w:r>
          </w:p>
        </w:tc>
        <w:tc>
          <w:tcPr/>
          <w:p>
            <w:pPr>
              <w:pStyle w:val="Compact"/>
              <w:jc w:val="left"/>
            </w:pPr>
            <w:r>
              <w:t xml:space="preserve">None found</w:t>
            </w:r>
          </w:p>
        </w:tc>
      </w:tr>
    </w:tbl>
    <w:bookmarkEnd w:id="51"/>
    <w:bookmarkStart w:id="52" w:name="analysis-the-implementation-death-zone"/>
    <w:p>
      <w:pPr>
        <w:pStyle w:val="Heading4"/>
      </w:pPr>
      <w:r>
        <w:t xml:space="preserve">Analysis: The Implementation Death Zone</w:t>
      </w:r>
    </w:p>
    <w:p>
      <w:pPr>
        <w:pStyle w:val="FirstParagraph"/>
      </w:pPr>
      <w:r>
        <w:rPr>
          <w:bCs/>
          <w:b/>
        </w:rPr>
        <w:t xml:space="preserve">The 90-Day Wall.</w:t>
      </w:r>
      <w:r>
        <w:t xml:space="preserve"> </w:t>
      </w:r>
      <w:r>
        <w:t xml:space="preserve">Every legacy platform except CyberArrow (unverified) and Centraleyes (unverified) requires more than 30 days to implement. In the AI governance era, 30 days is an eternity. Organizations deploying AI agents need governance</w:t>
      </w:r>
      <w:r>
        <w:t xml:space="preserve"> </w:t>
      </w:r>
      <w:r>
        <w:rPr>
          <w:bCs/>
          <w:b/>
        </w:rPr>
        <w:t xml:space="preserve">before deployment</w:t>
      </w:r>
      <w:r>
        <w:t xml:space="preserve">, not after a quarter-long implementation cycle. SOV3’s 48-hour deployment means governance can be operational before a competitor’s sales team finishes the demo cycle.</w:t>
      </w:r>
    </w:p>
    <w:p>
      <w:pPr>
        <w:pStyle w:val="BodyText"/>
      </w:pPr>
      <w:r>
        <w:rPr>
          <w:bCs/>
          <w:b/>
        </w:rPr>
        <w:t xml:space="preserve">MetricStream and RSA Archer: The 18-Month Monuments.</w:t>
      </w:r>
      <w:r>
        <w:t xml:space="preserve"> </w:t>
      </w:r>
      <w:r>
        <w:t xml:space="preserve">These platforms represent the apex of legacy dysfunction. MetricStream — a</w:t>
      </w:r>
      <w:r>
        <w:t xml:space="preserve"> </w:t>
      </w:r>
      <w:r>
        <w:t xml:space="preserve">“</w:t>
      </w:r>
      <w:r>
        <w:t xml:space="preserve">Gartner Leader</w:t>
      </w:r>
      <w:r>
        <w:t xml:space="preserve">”</w:t>
      </w:r>
      <w:r>
        <w:t xml:space="preserve"> </w:t>
      </w:r>
      <w:r>
        <w:t xml:space="preserve">— requires</w:t>
      </w:r>
      <w:r>
        <w:t xml:space="preserve"> </w:t>
      </w:r>
      <w:r>
        <w:rPr>
          <w:bCs/>
          <w:b/>
        </w:rPr>
        <w:t xml:space="preserve">9-18 months</w:t>
      </w:r>
      <w:r>
        <w:t xml:space="preserve"> </w:t>
      </w:r>
      <w:r>
        <w:t xml:space="preserve">for typical enterprise deployments, with implementation services often</w:t>
      </w:r>
      <w:r>
        <w:t xml:space="preserve"> </w:t>
      </w:r>
      <w:r>
        <w:rPr>
          <w:bCs/>
          <w:b/>
        </w:rPr>
        <w:t xml:space="preserve">rivaling or exceeding license costs</w:t>
      </w:r>
      <w:r>
        <w:t xml:space="preserve"> </w:t>
      </w:r>
      <w:r>
        <w:rPr>
          <w:vertAlign w:val="superscript"/>
        </w:rPr>
        <w:t xml:space="preserve">78</w:t>
      </w:r>
      <w:r>
        <w:t xml:space="preserve">. RSA Archer, the financial services specialist, demands 9-18 months for a platform that customers describe as having</w:t>
      </w:r>
      <w:r>
        <w:t xml:space="preserve"> </w:t>
      </w:r>
      <w:r>
        <w:rPr>
          <w:iCs/>
          <w:i/>
        </w:rPr>
        <w:t xml:space="preserve">“</w:t>
      </w:r>
      <w:r>
        <w:rPr>
          <w:iCs/>
          <w:i/>
        </w:rPr>
        <w:t xml:space="preserve">an interface that can feel clunky and outdated</w:t>
      </w:r>
      <w:r>
        <w:rPr>
          <w:iCs/>
          <w:i/>
        </w:rPr>
        <w:t xml:space="preserve">”</w:t>
      </w:r>
      <w:r>
        <w:t xml:space="preserve"> </w:t>
      </w:r>
      <w:r>
        <w:t xml:space="preserve">with</w:t>
      </w:r>
      <w:r>
        <w:t xml:space="preserve"> </w:t>
      </w:r>
      <w:r>
        <w:rPr>
          <w:iCs/>
          <w:i/>
        </w:rPr>
        <w:t xml:space="preserve">“</w:t>
      </w:r>
      <w:r>
        <w:rPr>
          <w:iCs/>
          <w:i/>
        </w:rPr>
        <w:t xml:space="preserve">slow response times</w:t>
      </w:r>
      <w:r>
        <w:rPr>
          <w:iCs/>
          <w:i/>
        </w:rPr>
        <w:t xml:space="preserve">”</w:t>
      </w:r>
      <w:r>
        <w:t xml:space="preserve"> </w:t>
      </w:r>
      <w:r>
        <w:t xml:space="preserve">and</w:t>
      </w:r>
      <w:r>
        <w:t xml:space="preserve"> </w:t>
      </w:r>
      <w:r>
        <w:rPr>
          <w:iCs/>
          <w:i/>
        </w:rPr>
        <w:t xml:space="preserve">“</w:t>
      </w:r>
      <w:r>
        <w:rPr>
          <w:iCs/>
          <w:i/>
        </w:rPr>
        <w:t xml:space="preserve">limited automation</w:t>
      </w:r>
      <w:r>
        <w:rPr>
          <w:iCs/>
          <w:i/>
        </w:rPr>
        <w:t xml:space="preserve">”</w:t>
      </w:r>
      <w:r>
        <w:t xml:space="preserve"> </w:t>
      </w:r>
      <w:r>
        <w:t xml:space="preserve">that</w:t>
      </w:r>
      <w:r>
        <w:t xml:space="preserve"> </w:t>
      </w:r>
      <w:r>
        <w:rPr>
          <w:iCs/>
          <w:i/>
        </w:rPr>
        <w:t xml:space="preserve">“</w:t>
      </w:r>
      <w:r>
        <w:rPr>
          <w:iCs/>
          <w:i/>
        </w:rPr>
        <w:t xml:space="preserve">relies heavily on manual processes</w:t>
      </w:r>
      <w:r>
        <w:rPr>
          <w:iCs/>
          <w:i/>
        </w:rPr>
        <w:t xml:space="preserve">”</w:t>
      </w:r>
      <w:r>
        <w:t xml:space="preserve"> </w:t>
      </w:r>
      <w:r>
        <w:rPr>
          <w:vertAlign w:val="superscript"/>
        </w:rPr>
        <w:t xml:space="preserve">39</w:t>
      </w:r>
      <w:r>
        <w:t xml:space="preserve"> </w:t>
      </w:r>
      <w:r>
        <w:rPr>
          <w:vertAlign w:val="superscript"/>
        </w:rPr>
        <w:t xml:space="preserve">78</w:t>
      </w:r>
      <w:r>
        <w:t xml:space="preserve">. At $150K-$1M+/year, these platforms are not governance tools — they are employment programs for implementation consultants.</w:t>
      </w:r>
    </w:p>
    <w:p>
      <w:pPr>
        <w:pStyle w:val="BodyText"/>
      </w:pPr>
      <w:r>
        <w:rPr>
          <w:bCs/>
          <w:b/>
        </w:rPr>
        <w:t xml:space="preserve">ServiceNow IRM: The $500K Tax.</w:t>
      </w:r>
      <w:r>
        <w:t xml:space="preserve"> </w:t>
      </w:r>
      <w:r>
        <w:t xml:space="preserve">ServiceNow’s Integrated Risk Management cannot function without the broader ServiceNow ITSM platform — a</w:t>
      </w:r>
      <w:r>
        <w:t xml:space="preserve"> </w:t>
      </w:r>
      <w:r>
        <w:rPr>
          <w:bCs/>
          <w:b/>
        </w:rPr>
        <w:t xml:space="preserve">$500,000+ prerequisite investment</w:t>
      </w:r>
      <w:r>
        <w:t xml:space="preserve"> </w:t>
      </w:r>
      <w:r>
        <w:t xml:space="preserve">for most enterprise buyers</w:t>
      </w:r>
      <w:r>
        <w:t xml:space="preserve"> </w:t>
      </w:r>
      <w:r>
        <w:rPr>
          <w:vertAlign w:val="superscript"/>
        </w:rPr>
        <w:t xml:space="preserve">76</w:t>
      </w:r>
      <w:r>
        <w:t xml:space="preserve">. Even with the platform in place, IRM deployment requires</w:t>
      </w:r>
      <w:r>
        <w:t xml:space="preserve"> </w:t>
      </w:r>
      <w:r>
        <w:rPr>
          <w:bCs/>
          <w:b/>
        </w:rPr>
        <w:t xml:space="preserve">CSA + CIS-IRM certifications</w:t>
      </w:r>
      <w:r>
        <w:t xml:space="preserve"> </w:t>
      </w:r>
      <w:r>
        <w:t xml:space="preserve">for administrators</w:t>
      </w:r>
      <w:r>
        <w:t xml:space="preserve"> </w:t>
      </w:r>
      <w:r>
        <w:rPr>
          <w:vertAlign w:val="superscript"/>
        </w:rPr>
        <w:t xml:space="preserve">79</w:t>
      </w:r>
      <w:r>
        <w:t xml:space="preserve">, multi-day training courses</w:t>
      </w:r>
      <w:r>
        <w:t xml:space="preserve"> </w:t>
      </w:r>
      <w:r>
        <w:rPr>
          <w:vertAlign w:val="superscript"/>
        </w:rPr>
        <w:t xml:space="preserve">80</w:t>
      </w:r>
      <w:r>
        <w:t xml:space="preserve">, and months of configuration. Customer verdict:</w:t>
      </w:r>
      <w:r>
        <w:t xml:space="preserve"> </w:t>
      </w:r>
      <w:r>
        <w:rPr>
          <w:iCs/>
          <w:i/>
        </w:rPr>
        <w:t xml:space="preserve">“</w:t>
      </w:r>
      <w:r>
        <w:rPr>
          <w:iCs/>
          <w:i/>
        </w:rPr>
        <w:t xml:space="preserve">The layout feels heavy and hard to use. Learning takes time</w:t>
      </w:r>
      <w:r>
        <w:rPr>
          <w:iCs/>
          <w:i/>
        </w:rPr>
        <w:t xml:space="preserve">”</w:t>
      </w:r>
      <w:r>
        <w:t xml:space="preserve"> </w:t>
      </w:r>
      <w:r>
        <w:rPr>
          <w:vertAlign w:val="superscript"/>
        </w:rPr>
        <w:t xml:space="preserve">81</w:t>
      </w:r>
      <w:r>
        <w:t xml:space="preserve">.</w:t>
      </w:r>
    </w:p>
    <w:p>
      <w:pPr>
        <w:pStyle w:val="BodyText"/>
      </w:pPr>
      <w:r>
        <w:rPr>
          <w:bCs/>
          <w:b/>
        </w:rPr>
        <w:t xml:space="preserve">AuditBoard (Optro): The Rebrand Chaos.</w:t>
      </w:r>
      <w:r>
        <w:t xml:space="preserve"> </w:t>
      </w:r>
      <w:r>
        <w:t xml:space="preserve">AuditBoard’s mid-pivot rebrand to</w:t>
      </w:r>
      <w:r>
        <w:t xml:space="preserve"> </w:t>
      </w:r>
      <w:r>
        <w:t xml:space="preserve">“</w:t>
      </w:r>
      <w:r>
        <w:t xml:space="preserve">Optro</w:t>
      </w:r>
      <w:r>
        <w:t xml:space="preserve">”</w:t>
      </w:r>
      <w:r>
        <w:t xml:space="preserve"> </w:t>
      </w:r>
      <w:r>
        <w:t xml:space="preserve">— while maintaining the legacy product name in contracts — has created product confusion at the worst possible moment. Per independent review:</w:t>
      </w:r>
      <w:r>
        <w:t xml:space="preserve"> </w:t>
      </w:r>
      <w:r>
        <w:rPr>
          <w:iCs/>
          <w:i/>
        </w:rPr>
        <w:t xml:space="preserve">“</w:t>
      </w:r>
      <w:r>
        <w:rPr>
          <w:iCs/>
          <w:i/>
        </w:rPr>
        <w:t xml:space="preserve">Company mid-pivot, and mid-pivot is when polish slips</w:t>
      </w:r>
      <w:r>
        <w:rPr>
          <w:iCs/>
          <w:i/>
        </w:rPr>
        <w:t xml:space="preserve">”</w:t>
      </w:r>
      <w:r>
        <w:t xml:space="preserve"> </w:t>
      </w:r>
      <w:r>
        <w:rPr>
          <w:vertAlign w:val="superscript"/>
        </w:rPr>
        <w:t xml:space="preserve">82</w:t>
      </w:r>
      <w:r>
        <w:t xml:space="preserve">. Most critically, Vanta’s competitive comparison confirms AuditBoard has</w:t>
      </w:r>
      <w:r>
        <w:t xml:space="preserve"> </w:t>
      </w:r>
      <w:r>
        <w:rPr>
          <w:bCs/>
          <w:b/>
        </w:rPr>
        <w:t xml:space="preserve">NO EU AI Act support</w:t>
      </w:r>
      <w:r>
        <w:t xml:space="preserve"> </w:t>
      </w:r>
      <w:r>
        <w:rPr>
          <w:vertAlign w:val="superscript"/>
        </w:rPr>
        <w:t xml:space="preserve">75</w:t>
      </w:r>
      <w:r>
        <w:t xml:space="preserve">— a compliance blind spot that is existential for any European customer or multinational.</w:t>
      </w:r>
    </w:p>
    <w:p>
      <w:pPr>
        <w:pStyle w:val="BodyText"/>
      </w:pPr>
      <w:r>
        <w:rPr>
          <w:bCs/>
          <w:b/>
        </w:rPr>
        <w:t xml:space="preserve">The EU AI Act Readiness Scorecard: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EU AI Act Support</w:t>
            </w:r>
          </w:p>
        </w:tc>
        <w:tc>
          <w:tcPr/>
          <w:p>
            <w:pPr>
              <w:pStyle w:val="Compact"/>
              <w:jc w:val="left"/>
            </w:pPr>
            <w:r>
              <w:t xml:space="preserve">Native AI Governance</w:t>
            </w:r>
          </w:p>
        </w:tc>
        <w:tc>
          <w:tcPr/>
          <w:p>
            <w:pPr>
              <w:pStyle w:val="Compact"/>
              <w:jc w:val="left"/>
            </w:pPr>
            <w:r>
              <w:t xml:space="preserve">Architecture</w:t>
            </w:r>
          </w:p>
        </w:tc>
      </w:tr>
      <w:tr>
        <w:tc>
          <w:tcPr/>
          <w:p>
            <w:pPr>
              <w:pStyle w:val="Compact"/>
              <w:jc w:val="left"/>
            </w:pPr>
            <w:r>
              <w:t xml:space="preserve">OneTrust</w:t>
            </w:r>
          </w:p>
        </w:tc>
        <w:tc>
          <w:tcPr/>
          <w:p>
            <w:pPr>
              <w:pStyle w:val="Compact"/>
              <w:jc w:val="left"/>
            </w:pPr>
            <w:r>
              <w:t xml:space="preserve">Partial (bolt-on)</w:t>
            </w:r>
            <w:r>
              <w:t xml:space="preserve"> </w:t>
            </w:r>
            <w:r>
              <w:rPr>
                <w:vertAlign w:val="superscript"/>
              </w:rPr>
              <w:t xml:space="preserve">62</w:t>
            </w:r>
          </w:p>
        </w:tc>
        <w:tc>
          <w:tcPr/>
          <w:p>
            <w:pPr>
              <w:pStyle w:val="Compact"/>
              <w:jc w:val="left"/>
            </w:pPr>
            <w:r>
              <w:t xml:space="preserve">No</w:t>
            </w:r>
          </w:p>
        </w:tc>
        <w:tc>
          <w:tcPr/>
          <w:p>
            <w:pPr>
              <w:pStyle w:val="Compact"/>
              <w:jc w:val="left"/>
            </w:pPr>
            <w:r>
              <w:t xml:space="preserve">Modular stack</w:t>
            </w:r>
          </w:p>
        </w:tc>
      </w:tr>
      <w:tr>
        <w:tc>
          <w:tcPr/>
          <w:p>
            <w:pPr>
              <w:pStyle w:val="Compact"/>
              <w:jc w:val="left"/>
            </w:pPr>
            <w:r>
              <w:t xml:space="preserve">MetricStream</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Legacy monolith</w:t>
            </w:r>
          </w:p>
        </w:tc>
      </w:tr>
      <w:tr>
        <w:tc>
          <w:tcPr/>
          <w:p>
            <w:pPr>
              <w:pStyle w:val="Compact"/>
              <w:jc w:val="left"/>
            </w:pPr>
            <w:r>
              <w:t xml:space="preserve">AuditBoard</w:t>
            </w:r>
          </w:p>
        </w:tc>
        <w:tc>
          <w:tcPr/>
          <w:p>
            <w:pPr>
              <w:pStyle w:val="Compact"/>
              <w:jc w:val="left"/>
            </w:pPr>
            <w:r>
              <w:rPr>
                <w:bCs/>
                <w:b/>
              </w:rPr>
              <w:t xml:space="preserve">NO</w:t>
            </w:r>
            <w:r>
              <w:t xml:space="preserve"> </w:t>
            </w:r>
            <w:r>
              <w:rPr>
                <w:vertAlign w:val="superscript"/>
              </w:rPr>
              <w:t xml:space="preserve">75</w:t>
            </w:r>
          </w:p>
        </w:tc>
        <w:tc>
          <w:tcPr/>
          <w:p>
            <w:pPr>
              <w:pStyle w:val="Compact"/>
              <w:jc w:val="left"/>
            </w:pPr>
            <w:r>
              <w:t xml:space="preserve">No</w:t>
            </w:r>
          </w:p>
        </w:tc>
        <w:tc>
          <w:tcPr/>
          <w:p>
            <w:pPr>
              <w:pStyle w:val="Compact"/>
              <w:jc w:val="left"/>
            </w:pPr>
            <w:r>
              <w:t xml:space="preserve">Audit-only DNA</w:t>
            </w:r>
          </w:p>
        </w:tc>
      </w:tr>
      <w:tr>
        <w:tc>
          <w:tcPr/>
          <w:p>
            <w:pPr>
              <w:pStyle w:val="Compact"/>
              <w:jc w:val="left"/>
            </w:pPr>
            <w:r>
              <w:t xml:space="preserve">ServiceNow IRM</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ITSM-dependent</w:t>
            </w:r>
          </w:p>
        </w:tc>
      </w:tr>
      <w:tr>
        <w:tc>
          <w:tcPr/>
          <w:p>
            <w:pPr>
              <w:pStyle w:val="Compact"/>
              <w:jc w:val="left"/>
            </w:pPr>
            <w:r>
              <w:t xml:space="preserve">RSA Archer</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Financial services only</w:t>
            </w:r>
          </w:p>
        </w:tc>
      </w:tr>
      <w:tr>
        <w:tc>
          <w:tcPr/>
          <w:p>
            <w:pPr>
              <w:pStyle w:val="Compact"/>
              <w:jc w:val="left"/>
            </w:pPr>
            <w:r>
              <w:t xml:space="preserve">LogicGate</w:t>
            </w:r>
          </w:p>
        </w:tc>
        <w:tc>
          <w:tcPr/>
          <w:p>
            <w:pPr>
              <w:pStyle w:val="Compact"/>
              <w:jc w:val="left"/>
            </w:pPr>
            <w:r>
              <w:t xml:space="preserve">Claimed only</w:t>
            </w:r>
            <w:r>
              <w:t xml:space="preserve"> </w:t>
            </w:r>
            <w:r>
              <w:rPr>
                <w:vertAlign w:val="superscript"/>
              </w:rPr>
              <w:t xml:space="preserve">83</w:t>
            </w:r>
          </w:p>
        </w:tc>
        <w:tc>
          <w:tcPr/>
          <w:p>
            <w:pPr>
              <w:pStyle w:val="Compact"/>
              <w:jc w:val="left"/>
            </w:pPr>
            <w:r>
              <w:t xml:space="preserve">Add-on (Spark AI)</w:t>
            </w:r>
          </w:p>
        </w:tc>
        <w:tc>
          <w:tcPr/>
          <w:p>
            <w:pPr>
              <w:pStyle w:val="Compact"/>
              <w:jc w:val="left"/>
            </w:pPr>
            <w:r>
              <w:t xml:space="preserve">Workflow-first</w:t>
            </w:r>
          </w:p>
        </w:tc>
      </w:tr>
      <w:tr>
        <w:tc>
          <w:tcPr/>
          <w:p>
            <w:pPr>
              <w:pStyle w:val="Compact"/>
              <w:jc w:val="left"/>
            </w:pPr>
            <w:r>
              <w:rPr>
                <w:bCs/>
                <w:b/>
              </w:rPr>
              <w:t xml:space="preserve">SOV3</w:t>
            </w:r>
          </w:p>
        </w:tc>
        <w:tc>
          <w:tcPr/>
          <w:p>
            <w:pPr>
              <w:pStyle w:val="Compact"/>
              <w:jc w:val="left"/>
            </w:pPr>
            <w:r>
              <w:rPr>
                <w:bCs/>
                <w:b/>
              </w:rPr>
              <w:t xml:space="preserve">Native, purpose-built</w:t>
            </w:r>
          </w:p>
        </w:tc>
        <w:tc>
          <w:tcPr/>
          <w:p>
            <w:pPr>
              <w:pStyle w:val="Compact"/>
              <w:jc w:val="left"/>
            </w:pPr>
            <w:r>
              <w:rPr>
                <w:bCs/>
                <w:b/>
              </w:rPr>
              <w:t xml:space="preserve">Yes</w:t>
            </w:r>
          </w:p>
        </w:tc>
        <w:tc>
          <w:tcPr/>
          <w:p>
            <w:pPr>
              <w:pStyle w:val="Compact"/>
              <w:jc w:val="left"/>
            </w:pPr>
            <w:r>
              <w:rPr>
                <w:bCs/>
                <w:b/>
              </w:rPr>
              <w:t xml:space="preserve">AI-native architecture</w:t>
            </w:r>
          </w:p>
        </w:tc>
      </w:tr>
    </w:tbl>
    <w:p>
      <w:pPr>
        <w:pStyle w:val="BodyText"/>
      </w:pPr>
      <w:r>
        <w:rPr>
          <w:bCs/>
          <w:b/>
        </w:rPr>
        <w:t xml:space="preserve">SOV3 Kill Shot:</w:t>
      </w:r>
      <w:r>
        <w:t xml:space="preserve"> </w:t>
      </w:r>
      <w:r>
        <w:t xml:space="preserve">With the EU AI Act deadline of August 2, 2026</w:t>
      </w:r>
      <w:r>
        <w:t xml:space="preserve"> </w:t>
      </w:r>
      <w:r>
        <w:rPr>
          <w:vertAlign w:val="superscript"/>
        </w:rPr>
        <w:t xml:space="preserve">65</w:t>
      </w:r>
      <w:r>
        <w:t xml:space="preserve">, every legacy platform except OneTrust (and OneTrust’s solution is immature) cannot deliver compliance in time. SOV3’s native EU AI Act architecture deploys in 48 hours — before these competitors finish their procurement process.</w:t>
      </w:r>
    </w:p>
    <w:p>
      <w:r>
        <w:pict>
          <v:rect style="width:0;height:1.5pt" o:hralign="center" o:hrstd="t" o:hr="t"/>
        </w:pict>
      </w:r>
    </w:p>
    <w:bookmarkEnd w:id="52"/>
    <w:bookmarkEnd w:id="53"/>
    <w:bookmarkStart w:id="58" w:name="pricing-warfare-undercutting-by-10-20x"/>
    <w:p>
      <w:pPr>
        <w:pStyle w:val="Heading3"/>
      </w:pPr>
      <w:r>
        <w:t xml:space="preserve">5.4 Pricing Warfare: Undercutting by 10-20x</w:t>
      </w:r>
    </w:p>
    <w:p>
      <w:pPr>
        <w:pStyle w:val="FirstParagraph"/>
      </w:pPr>
      <w:r>
        <w:t xml:space="preserve">The AI governance market is a</w:t>
      </w:r>
      <w:r>
        <w:t xml:space="preserve"> </w:t>
      </w:r>
      <w:r>
        <w:rPr>
          <w:bCs/>
          <w:b/>
        </w:rPr>
        <w:t xml:space="preserve">walled garden of opaque enterprise pricing</w:t>
      </w:r>
      <w:r>
        <w:t xml:space="preserve">. Our intelligence confirms that</w:t>
      </w:r>
      <w:r>
        <w:t xml:space="preserve"> </w:t>
      </w:r>
      <w:r>
        <w:rPr>
          <w:bCs/>
          <w:b/>
        </w:rPr>
        <w:t xml:space="preserve">NO major competitor publishes transparent pricing</w:t>
      </w:r>
      <w:r>
        <w:t xml:space="preserve"> </w:t>
      </w:r>
      <w:r>
        <w:t xml:space="preserve">— every vendor hides behind</w:t>
      </w:r>
      <w:r>
        <w:t xml:space="preserve"> </w:t>
      </w:r>
      <w:r>
        <w:t xml:space="preserve">“</w:t>
      </w:r>
      <w:r>
        <w:t xml:space="preserve">contact sales</w:t>
      </w:r>
      <w:r>
        <w:t xml:space="preserve">”</w:t>
      </w:r>
      <w:r>
        <w:t xml:space="preserve"> </w:t>
      </w:r>
      <w:r>
        <w:t xml:space="preserve">gates. The minimum entry point for AI governance starts at $30,000-$50,000/year for the cheapest dedicated platforms, scaling to $1M+/year for enterprise GRC suites</w:t>
      </w:r>
      <w:r>
        <w:t xml:space="preserve"> </w:t>
      </w:r>
      <w:r>
        <w:rPr>
          <w:vertAlign w:val="superscript"/>
        </w:rPr>
        <w:t xml:space="preserve">55</w:t>
      </w:r>
      <w:r>
        <w:t xml:space="preserve"> </w:t>
      </w:r>
      <w:r>
        <w:rPr>
          <w:vertAlign w:val="superscript"/>
        </w:rPr>
        <w:t xml:space="preserve">50</w:t>
      </w:r>
      <w:r>
        <w:t xml:space="preserve">. This creates a pricing chasm that SOV3 can exploit with devastating efficiency.</w:t>
      </w:r>
    </w:p>
    <w:bookmarkStart w:id="54" w:name="the-pricing-destruction-matrix"/>
    <w:p>
      <w:pPr>
        <w:pStyle w:val="Heading4"/>
      </w:pPr>
      <w:r>
        <w:t xml:space="preserve">The Pricing Destruction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Their Price</w:t>
            </w:r>
          </w:p>
        </w:tc>
        <w:tc>
          <w:tcPr/>
          <w:p>
            <w:pPr>
              <w:pStyle w:val="Compact"/>
              <w:jc w:val="left"/>
            </w:pPr>
            <w:r>
              <w:t xml:space="preserve">SOV3 Price</w:t>
            </w:r>
          </w:p>
        </w:tc>
        <w:tc>
          <w:tcPr/>
          <w:p>
            <w:pPr>
              <w:pStyle w:val="Compact"/>
              <w:jc w:val="left"/>
            </w:pPr>
            <w:r>
              <w:t xml:space="preserve">Undercut Multiple</w:t>
            </w:r>
          </w:p>
        </w:tc>
        <w:tc>
          <w:tcPr/>
          <w:p>
            <w:pPr>
              <w:pStyle w:val="Compact"/>
              <w:jc w:val="left"/>
            </w:pPr>
            <w:r>
              <w:t xml:space="preserve">Notes</w:t>
            </w:r>
          </w:p>
        </w:tc>
      </w:tr>
      <w:tr>
        <w:tc>
          <w:tcPr/>
          <w:p>
            <w:pPr>
              <w:pStyle w:val="Compact"/>
              <w:jc w:val="left"/>
            </w:pPr>
            <w:r>
              <w:rPr>
                <w:bCs/>
                <w:b/>
              </w:rPr>
              <w:t xml:space="preserve">Credo AI</w:t>
            </w:r>
          </w:p>
        </w:tc>
        <w:tc>
          <w:tcPr/>
          <w:p>
            <w:pPr>
              <w:pStyle w:val="Compact"/>
              <w:jc w:val="left"/>
            </w:pPr>
            <w:r>
              <w:t xml:space="preserve">$45K-$150K+/year</w:t>
            </w:r>
            <w:r>
              <w:t xml:space="preserve"> </w:t>
            </w:r>
            <w:r>
              <w:rPr>
                <w:vertAlign w:val="superscript"/>
              </w:rPr>
              <w:t xml:space="preserve">9</w:t>
            </w:r>
            <w:r>
              <w:t xml:space="preserve"> </w:t>
            </w:r>
            <w:r>
              <w:rPr>
                <w:vertAlign w:val="superscript"/>
              </w:rPr>
              <w:t xml:space="preserve">28</w:t>
            </w:r>
          </w:p>
        </w:tc>
        <w:tc>
          <w:tcPr/>
          <w:p>
            <w:pPr>
              <w:pStyle w:val="Compact"/>
              <w:jc w:val="left"/>
            </w:pPr>
            <w:r>
              <w:t xml:space="preserve">$3K-$5K starter</w:t>
            </w:r>
          </w:p>
        </w:tc>
        <w:tc>
          <w:tcPr/>
          <w:p>
            <w:pPr>
              <w:pStyle w:val="Compact"/>
              <w:jc w:val="left"/>
            </w:pPr>
            <w:r>
              <w:rPr>
                <w:bCs/>
                <w:b/>
              </w:rPr>
              <w:t xml:space="preserve">9-30x</w:t>
            </w:r>
          </w:p>
        </w:tc>
        <w:tc>
          <w:tcPr/>
          <w:p>
            <w:pPr>
              <w:pStyle w:val="Compact"/>
              <w:jc w:val="left"/>
            </w:pPr>
            <w:r>
              <w:t xml:space="preserve">No free trial; no SMB option; enterprise only</w:t>
            </w:r>
          </w:p>
        </w:tc>
      </w:tr>
      <w:tr>
        <w:tc>
          <w:tcPr/>
          <w:p>
            <w:pPr>
              <w:pStyle w:val="Compact"/>
              <w:jc w:val="left"/>
            </w:pPr>
            <w:r>
              <w:rPr>
                <w:bCs/>
                <w:b/>
              </w:rPr>
              <w:t xml:space="preserve">OneTrust</w:t>
            </w:r>
            <w:r>
              <w:t xml:space="preserve"> </w:t>
            </w:r>
            <w:r>
              <w:t xml:space="preserve">(AI Governance)</w:t>
            </w:r>
          </w:p>
        </w:tc>
        <w:tc>
          <w:tcPr/>
          <w:p>
            <w:pPr>
              <w:pStyle w:val="Compact"/>
              <w:jc w:val="left"/>
            </w:pPr>
            <w:r>
              <w:t xml:space="preserve">$50K-$200K+/year</w:t>
            </w:r>
            <w:r>
              <w:t xml:space="preserve"> </w:t>
            </w:r>
            <w:r>
              <w:rPr>
                <w:vertAlign w:val="superscript"/>
              </w:rPr>
              <w:t xml:space="preserve">62</w:t>
            </w:r>
            <w:r>
              <w:t xml:space="preserve"> </w:t>
            </w:r>
            <w:r>
              <w:rPr>
                <w:vertAlign w:val="superscript"/>
              </w:rPr>
              <w:t xml:space="preserve">84</w:t>
            </w:r>
          </w:p>
        </w:tc>
        <w:tc>
          <w:tcPr/>
          <w:p>
            <w:pPr>
              <w:pStyle w:val="Compact"/>
              <w:jc w:val="left"/>
            </w:pPr>
            <w:r>
              <w:t xml:space="preserve">$3K-$5K starter</w:t>
            </w:r>
          </w:p>
        </w:tc>
        <w:tc>
          <w:tcPr/>
          <w:p>
            <w:pPr>
              <w:pStyle w:val="Compact"/>
              <w:jc w:val="left"/>
            </w:pPr>
            <w:r>
              <w:rPr>
                <w:bCs/>
                <w:b/>
              </w:rPr>
              <w:t xml:space="preserve">10-40x</w:t>
            </w:r>
          </w:p>
        </w:tc>
        <w:tc>
          <w:tcPr/>
          <w:p>
            <w:pPr>
              <w:pStyle w:val="Compact"/>
              <w:jc w:val="left"/>
            </w:pPr>
            <w:r>
              <w:t xml:space="preserve">Requires base platform; 275-468% renewal spikes</w:t>
            </w:r>
          </w:p>
        </w:tc>
      </w:tr>
      <w:tr>
        <w:tc>
          <w:tcPr/>
          <w:p>
            <w:pPr>
              <w:pStyle w:val="Compact"/>
              <w:jc w:val="left"/>
            </w:pPr>
            <w:r>
              <w:rPr>
                <w:bCs/>
                <w:b/>
              </w:rPr>
              <w:t xml:space="preserve">OneTrust</w:t>
            </w:r>
            <w:r>
              <w:t xml:space="preserve"> </w:t>
            </w:r>
            <w:r>
              <w:t xml:space="preserve">(full suite)</w:t>
            </w:r>
          </w:p>
        </w:tc>
        <w:tc>
          <w:tcPr/>
          <w:p>
            <w:pPr>
              <w:pStyle w:val="Compact"/>
              <w:jc w:val="left"/>
            </w:pPr>
            <w:r>
              <w:t xml:space="preserve">$130K-$500K+/year</w:t>
            </w:r>
            <w:r>
              <w:t xml:space="preserve"> </w:t>
            </w:r>
            <w:r>
              <w:rPr>
                <w:vertAlign w:val="superscript"/>
              </w:rPr>
              <w:t xml:space="preserve">67</w:t>
            </w:r>
          </w:p>
        </w:tc>
        <w:tc>
          <w:tcPr/>
          <w:p>
            <w:pPr>
              <w:pStyle w:val="Compact"/>
              <w:jc w:val="left"/>
            </w:pPr>
            <w:r>
              <w:t xml:space="preserve">$12K-$24K mid-tier</w:t>
            </w:r>
          </w:p>
        </w:tc>
        <w:tc>
          <w:tcPr/>
          <w:p>
            <w:pPr>
              <w:pStyle w:val="Compact"/>
              <w:jc w:val="left"/>
            </w:pPr>
            <w:r>
              <w:rPr>
                <w:bCs/>
                <w:b/>
              </w:rPr>
              <w:t xml:space="preserve">5-20x</w:t>
            </w:r>
          </w:p>
        </w:tc>
        <w:tc>
          <w:tcPr/>
          <w:p>
            <w:pPr>
              <w:pStyle w:val="Compact"/>
              <w:jc w:val="left"/>
            </w:pPr>
            <w:r>
              <w:t xml:space="preserve">Median Vendr: $292K/year for large enterprise</w:t>
            </w:r>
          </w:p>
        </w:tc>
      </w:tr>
      <w:tr>
        <w:tc>
          <w:tcPr/>
          <w:p>
            <w:pPr>
              <w:pStyle w:val="Compact"/>
              <w:jc w:val="left"/>
            </w:pPr>
            <w:r>
              <w:rPr>
                <w:bCs/>
                <w:b/>
              </w:rPr>
              <w:t xml:space="preserve">MetricStream</w:t>
            </w:r>
          </w:p>
        </w:tc>
        <w:tc>
          <w:tcPr/>
          <w:p>
            <w:pPr>
              <w:pStyle w:val="Compact"/>
              <w:jc w:val="left"/>
            </w:pPr>
            <w:r>
              <w:t xml:space="preserve">$75K-$1M+/year</w:t>
            </w:r>
            <w:r>
              <w:t xml:space="preserve"> </w:t>
            </w:r>
            <w:r>
              <w:rPr>
                <w:vertAlign w:val="superscript"/>
              </w:rPr>
              <w:t xml:space="preserve">77</w:t>
            </w:r>
          </w:p>
        </w:tc>
        <w:tc>
          <w:tcPr/>
          <w:p>
            <w:pPr>
              <w:pStyle w:val="Compact"/>
              <w:jc w:val="left"/>
            </w:pPr>
            <w:r>
              <w:t xml:space="preserve">$5K starter</w:t>
            </w:r>
          </w:p>
        </w:tc>
        <w:tc>
          <w:tcPr/>
          <w:p>
            <w:pPr>
              <w:pStyle w:val="Compact"/>
              <w:jc w:val="left"/>
            </w:pPr>
            <w:r>
              <w:rPr>
                <w:bCs/>
                <w:b/>
              </w:rPr>
              <w:t xml:space="preserve">15-200x</w:t>
            </w:r>
          </w:p>
        </w:tc>
        <w:tc>
          <w:tcPr/>
          <w:p>
            <w:pPr>
              <w:pStyle w:val="Compact"/>
              <w:jc w:val="left"/>
            </w:pPr>
            <w:r>
              <w:t xml:space="preserve">$50K+ implementation for Audit Management alone</w:t>
            </w:r>
          </w:p>
        </w:tc>
      </w:tr>
      <w:tr>
        <w:tc>
          <w:tcPr/>
          <w:p>
            <w:pPr>
              <w:pStyle w:val="Compact"/>
              <w:jc w:val="left"/>
            </w:pPr>
            <w:r>
              <w:rPr>
                <w:bCs/>
                <w:b/>
              </w:rPr>
              <w:t xml:space="preserve">AuditBoard</w:t>
            </w:r>
          </w:p>
        </w:tc>
        <w:tc>
          <w:tcPr/>
          <w:p>
            <w:pPr>
              <w:pStyle w:val="Compact"/>
              <w:jc w:val="left"/>
            </w:pPr>
            <w:r>
              <w:t xml:space="preserve">$30K-$250K+/year</w:t>
            </w:r>
            <w:r>
              <w:t xml:space="preserve"> </w:t>
            </w:r>
            <w:r>
              <w:rPr>
                <w:vertAlign w:val="superscript"/>
              </w:rPr>
              <w:t xml:space="preserve">74</w:t>
            </w:r>
          </w:p>
        </w:tc>
        <w:tc>
          <w:tcPr/>
          <w:p>
            <w:pPr>
              <w:pStyle w:val="Compact"/>
              <w:jc w:val="left"/>
            </w:pPr>
            <w:r>
              <w:t xml:space="preserve">$3K-$5K starter</w:t>
            </w:r>
          </w:p>
        </w:tc>
        <w:tc>
          <w:tcPr/>
          <w:p>
            <w:pPr>
              <w:pStyle w:val="Compact"/>
              <w:jc w:val="left"/>
            </w:pPr>
            <w:r>
              <w:rPr>
                <w:bCs/>
                <w:b/>
              </w:rPr>
              <w:t xml:space="preserve">6-50x</w:t>
            </w:r>
          </w:p>
        </w:tc>
        <w:tc>
          <w:tcPr/>
          <w:p>
            <w:pPr>
              <w:pStyle w:val="Compact"/>
              <w:jc w:val="left"/>
            </w:pPr>
            <w:r>
              <w:t xml:space="preserve">Median Vendr: $42,775/year</w:t>
            </w:r>
          </w:p>
        </w:tc>
      </w:tr>
      <w:tr>
        <w:tc>
          <w:tcPr/>
          <w:p>
            <w:pPr>
              <w:pStyle w:val="Compact"/>
              <w:jc w:val="left"/>
            </w:pPr>
            <w:r>
              <w:rPr>
                <w:bCs/>
                <w:b/>
              </w:rPr>
              <w:t xml:space="preserve">ServiceNow IRM</w:t>
            </w:r>
          </w:p>
        </w:tc>
        <w:tc>
          <w:tcPr/>
          <w:p>
            <w:pPr>
              <w:pStyle w:val="Compact"/>
              <w:jc w:val="left"/>
            </w:pPr>
            <w:r>
              <w:t xml:space="preserve">$200K-$1M+/year</w:t>
            </w:r>
            <w:r>
              <w:t xml:space="preserve"> </w:t>
            </w:r>
            <w:r>
              <w:rPr>
                <w:vertAlign w:val="superscript"/>
              </w:rPr>
              <w:t xml:space="preserve">76</w:t>
            </w:r>
          </w:p>
        </w:tc>
        <w:tc>
          <w:tcPr/>
          <w:p>
            <w:pPr>
              <w:pStyle w:val="Compact"/>
              <w:jc w:val="left"/>
            </w:pPr>
            <w:r>
              <w:t xml:space="preserve">$12K-$24K mid-tier</w:t>
            </w:r>
          </w:p>
        </w:tc>
        <w:tc>
          <w:tcPr/>
          <w:p>
            <w:pPr>
              <w:pStyle w:val="Compact"/>
              <w:jc w:val="left"/>
            </w:pPr>
            <w:r>
              <w:rPr>
                <w:bCs/>
                <w:b/>
              </w:rPr>
              <w:t xml:space="preserve">8-40x</w:t>
            </w:r>
          </w:p>
        </w:tc>
        <w:tc>
          <w:tcPr/>
          <w:p>
            <w:pPr>
              <w:pStyle w:val="Compact"/>
              <w:jc w:val="left"/>
            </w:pPr>
            <w:r>
              <w:t xml:space="preserve">Plus $500K+ ITSM platform prerequisite</w:t>
            </w:r>
          </w:p>
        </w:tc>
      </w:tr>
      <w:tr>
        <w:tc>
          <w:tcPr/>
          <w:p>
            <w:pPr>
              <w:pStyle w:val="Compact"/>
              <w:jc w:val="left"/>
            </w:pPr>
            <w:r>
              <w:rPr>
                <w:bCs/>
                <w:b/>
              </w:rPr>
              <w:t xml:space="preserve">RSA Archer</w:t>
            </w:r>
          </w:p>
        </w:tc>
        <w:tc>
          <w:tcPr/>
          <w:p>
            <w:pPr>
              <w:pStyle w:val="Compact"/>
              <w:jc w:val="left"/>
            </w:pPr>
            <w:r>
              <w:t xml:space="preserve">$150K-$800K/year</w:t>
            </w:r>
            <w:r>
              <w:t xml:space="preserve"> </w:t>
            </w:r>
            <w:r>
              <w:rPr>
                <w:vertAlign w:val="superscript"/>
              </w:rPr>
              <w:t xml:space="preserve">76</w:t>
            </w:r>
          </w:p>
        </w:tc>
        <w:tc>
          <w:tcPr/>
          <w:p>
            <w:pPr>
              <w:pStyle w:val="Compact"/>
              <w:jc w:val="left"/>
            </w:pPr>
            <w:r>
              <w:t xml:space="preserve">$5K starter</w:t>
            </w:r>
          </w:p>
        </w:tc>
        <w:tc>
          <w:tcPr/>
          <w:p>
            <w:pPr>
              <w:pStyle w:val="Compact"/>
              <w:jc w:val="left"/>
            </w:pPr>
            <w:r>
              <w:rPr>
                <w:bCs/>
                <w:b/>
              </w:rPr>
              <w:t xml:space="preserve">30-160x</w:t>
            </w:r>
          </w:p>
        </w:tc>
        <w:tc>
          <w:tcPr/>
          <w:p>
            <w:pPr>
              <w:pStyle w:val="Compact"/>
              <w:jc w:val="left"/>
            </w:pPr>
            <w:r>
              <w:t xml:space="preserve">9-18 month implementation adds $100K+</w:t>
            </w:r>
          </w:p>
        </w:tc>
      </w:tr>
      <w:tr>
        <w:tc>
          <w:tcPr/>
          <w:p>
            <w:pPr>
              <w:pStyle w:val="Compact"/>
              <w:jc w:val="left"/>
            </w:pPr>
            <w:r>
              <w:rPr>
                <w:bCs/>
                <w:b/>
              </w:rPr>
              <w:t xml:space="preserve">Holistic AI</w:t>
            </w:r>
          </w:p>
        </w:tc>
        <w:tc>
          <w:tcPr/>
          <w:p>
            <w:pPr>
              <w:pStyle w:val="Compact"/>
              <w:jc w:val="left"/>
            </w:pPr>
            <w:r>
              <w:t xml:space="preserve">$50K-$200K+ (estimated)</w:t>
            </w:r>
          </w:p>
        </w:tc>
        <w:tc>
          <w:tcPr/>
          <w:p>
            <w:pPr>
              <w:pStyle w:val="Compact"/>
              <w:jc w:val="left"/>
            </w:pPr>
            <w:r>
              <w:t xml:space="preserve">$3K-$5K starter</w:t>
            </w:r>
          </w:p>
        </w:tc>
        <w:tc>
          <w:tcPr/>
          <w:p>
            <w:pPr>
              <w:pStyle w:val="Compact"/>
              <w:jc w:val="left"/>
            </w:pPr>
            <w:r>
              <w:rPr>
                <w:bCs/>
                <w:b/>
              </w:rPr>
              <w:t xml:space="preserve">10-40x</w:t>
            </w:r>
          </w:p>
        </w:tc>
        <w:tc>
          <w:tcPr/>
          <w:p>
            <w:pPr>
              <w:pStyle w:val="Compact"/>
              <w:jc w:val="left"/>
            </w:pPr>
            <w:r>
              <w:t xml:space="preserve">No published pricing; enterprise bespoke</w:t>
            </w:r>
          </w:p>
        </w:tc>
      </w:tr>
      <w:tr>
        <w:tc>
          <w:tcPr/>
          <w:p>
            <w:pPr>
              <w:pStyle w:val="Compact"/>
              <w:jc w:val="left"/>
            </w:pPr>
            <w:r>
              <w:rPr>
                <w:bCs/>
                <w:b/>
              </w:rPr>
              <w:t xml:space="preserve">Cranium</w:t>
            </w:r>
          </w:p>
        </w:tc>
        <w:tc>
          <w:tcPr/>
          <w:p>
            <w:pPr>
              <w:pStyle w:val="Compact"/>
              <w:jc w:val="left"/>
            </w:pPr>
            <w:r>
              <w:t xml:space="preserve">$50K-$200K+ (estimated)</w:t>
            </w:r>
          </w:p>
        </w:tc>
        <w:tc>
          <w:tcPr/>
          <w:p>
            <w:pPr>
              <w:pStyle w:val="Compact"/>
              <w:jc w:val="left"/>
            </w:pPr>
            <w:r>
              <w:t xml:space="preserve">$5K starter</w:t>
            </w:r>
          </w:p>
        </w:tc>
        <w:tc>
          <w:tcPr/>
          <w:p>
            <w:pPr>
              <w:pStyle w:val="Compact"/>
              <w:jc w:val="left"/>
            </w:pPr>
            <w:r>
              <w:rPr>
                <w:bCs/>
                <w:b/>
              </w:rPr>
              <w:t xml:space="preserve">10-40x</w:t>
            </w:r>
          </w:p>
        </w:tc>
        <w:tc>
          <w:tcPr/>
          <w:p>
            <w:pPr>
              <w:pStyle w:val="Compact"/>
              <w:jc w:val="left"/>
            </w:pPr>
            <w:r>
              <w:t xml:space="preserve">KPMG heritage = premium pricing</w:t>
            </w:r>
          </w:p>
        </w:tc>
      </w:tr>
      <w:tr>
        <w:tc>
          <w:tcPr/>
          <w:p>
            <w:pPr>
              <w:pStyle w:val="Compact"/>
              <w:jc w:val="left"/>
            </w:pPr>
            <w:r>
              <w:rPr>
                <w:bCs/>
                <w:b/>
              </w:rPr>
              <w:t xml:space="preserve">WitnessAI</w:t>
            </w:r>
          </w:p>
        </w:tc>
        <w:tc>
          <w:tcPr/>
          <w:p>
            <w:pPr>
              <w:pStyle w:val="Compact"/>
              <w:jc w:val="left"/>
            </w:pPr>
            <w:r>
              <w:t xml:space="preserve">Fortune 1500 only (est. $100K+)</w:t>
            </w:r>
          </w:p>
        </w:tc>
        <w:tc>
          <w:tcPr/>
          <w:p>
            <w:pPr>
              <w:pStyle w:val="Compact"/>
              <w:jc w:val="left"/>
            </w:pPr>
            <w:r>
              <w:t xml:space="preserve">$5K-$12K</w:t>
            </w:r>
          </w:p>
        </w:tc>
        <w:tc>
          <w:tcPr/>
          <w:p>
            <w:pPr>
              <w:pStyle w:val="Compact"/>
              <w:jc w:val="left"/>
            </w:pPr>
            <w:r>
              <w:rPr>
                <w:bCs/>
                <w:b/>
              </w:rPr>
              <w:t xml:space="preserve">8-20x</w:t>
            </w:r>
          </w:p>
        </w:tc>
        <w:tc>
          <w:tcPr/>
          <w:p>
            <w:pPr>
              <w:pStyle w:val="Compact"/>
              <w:jc w:val="left"/>
            </w:pPr>
            <w:r>
              <w:t xml:space="preserve">Zero pricing transparency</w:t>
            </w:r>
          </w:p>
        </w:tc>
      </w:tr>
      <w:tr>
        <w:tc>
          <w:tcPr/>
          <w:p>
            <w:pPr>
              <w:pStyle w:val="Compact"/>
              <w:jc w:val="left"/>
            </w:pPr>
            <w:r>
              <w:rPr>
                <w:bCs/>
                <w:b/>
              </w:rPr>
              <w:t xml:space="preserve">EU AI Act Consultants</w:t>
            </w:r>
          </w:p>
        </w:tc>
        <w:tc>
          <w:tcPr/>
          <w:p>
            <w:pPr>
              <w:pStyle w:val="Compact"/>
              <w:jc w:val="left"/>
            </w:pPr>
            <w:r>
              <w:t xml:space="preserve">EUR 15K-EUR 60K/project</w:t>
            </w:r>
            <w:r>
              <w:t xml:space="preserve"> </w:t>
            </w:r>
            <w:r>
              <w:rPr>
                <w:vertAlign w:val="superscript"/>
              </w:rPr>
              <w:t xml:space="preserve">41</w:t>
            </w:r>
          </w:p>
        </w:tc>
        <w:tc>
          <w:tcPr/>
          <w:p>
            <w:pPr>
              <w:pStyle w:val="Compact"/>
              <w:jc w:val="left"/>
            </w:pPr>
            <w:r>
              <w:t xml:space="preserve">$500-$2K/month</w:t>
            </w:r>
          </w:p>
        </w:tc>
        <w:tc>
          <w:tcPr/>
          <w:p>
            <w:pPr>
              <w:pStyle w:val="Compact"/>
              <w:jc w:val="left"/>
            </w:pPr>
            <w:r>
              <w:rPr>
                <w:bCs/>
                <w:b/>
              </w:rPr>
              <w:t xml:space="preserve">5-10x</w:t>
            </w:r>
          </w:p>
        </w:tc>
        <w:tc>
          <w:tcPr/>
          <w:p>
            <w:pPr>
              <w:pStyle w:val="Compact"/>
              <w:jc w:val="left"/>
            </w:pPr>
            <w:r>
              <w:t xml:space="preserve">One-time consulting vs. continuous platform</w:t>
            </w:r>
          </w:p>
        </w:tc>
      </w:tr>
      <w:tr>
        <w:tc>
          <w:tcPr/>
          <w:p>
            <w:pPr>
              <w:pStyle w:val="Compact"/>
              <w:jc w:val="left"/>
            </w:pPr>
            <w:r>
              <w:rPr>
                <w:bCs/>
                <w:b/>
              </w:rPr>
              <w:t xml:space="preserve">IBM watsonx.governance</w:t>
            </w:r>
          </w:p>
        </w:tc>
        <w:tc>
          <w:tcPr/>
          <w:p>
            <w:pPr>
              <w:pStyle w:val="Compact"/>
              <w:jc w:val="left"/>
            </w:pPr>
            <w:r>
              <w:t xml:space="preserve">$300K+/year</w:t>
            </w:r>
            <w:r>
              <w:t xml:space="preserve"> </w:t>
            </w:r>
            <w:r>
              <w:rPr>
                <w:vertAlign w:val="superscript"/>
              </w:rPr>
              <w:t xml:space="preserve">70</w:t>
            </w:r>
          </w:p>
        </w:tc>
        <w:tc>
          <w:tcPr/>
          <w:p>
            <w:pPr>
              <w:pStyle w:val="Compact"/>
              <w:jc w:val="left"/>
            </w:pPr>
            <w:r>
              <w:t xml:space="preserve">$36K-$60K enterprise</w:t>
            </w:r>
          </w:p>
        </w:tc>
        <w:tc>
          <w:tcPr/>
          <w:p>
            <w:pPr>
              <w:pStyle w:val="Compact"/>
              <w:jc w:val="left"/>
            </w:pPr>
            <w:r>
              <w:rPr>
                <w:bCs/>
                <w:b/>
              </w:rPr>
              <w:t xml:space="preserve">5-8x</w:t>
            </w:r>
          </w:p>
        </w:tc>
        <w:tc>
          <w:tcPr/>
          <w:p>
            <w:pPr>
              <w:pStyle w:val="Compact"/>
              <w:jc w:val="left"/>
            </w:pPr>
            <w:r>
              <w:t xml:space="preserve">Plus mandatory IBM services engagement</w:t>
            </w:r>
          </w:p>
        </w:tc>
      </w:tr>
    </w:tbl>
    <w:bookmarkEnd w:id="54"/>
    <w:bookmarkStart w:id="55" w:name="the-tco-annihilation"/>
    <w:p>
      <w:pPr>
        <w:pStyle w:val="Heading4"/>
      </w:pPr>
      <w:r>
        <w:t xml:space="preserve">The TCO Annihilation</w:t>
      </w:r>
    </w:p>
    <w:p>
      <w:pPr>
        <w:pStyle w:val="FirstParagraph"/>
      </w:pPr>
      <w:r>
        <w:t xml:space="preserve">Price comparison is only half the story. Total Cost of Ownership (TCO) is where SOV3’s advantage becomes overwhelming: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Cost Component</w:t>
            </w:r>
          </w:p>
        </w:tc>
        <w:tc>
          <w:tcPr/>
          <w:p>
            <w:pPr>
              <w:pStyle w:val="Compact"/>
              <w:jc w:val="left"/>
            </w:pPr>
            <w:r>
              <w:t xml:space="preserve">Traditional Enterprise GRC</w:t>
            </w:r>
          </w:p>
        </w:tc>
        <w:tc>
          <w:tcPr/>
          <w:p>
            <w:pPr>
              <w:pStyle w:val="Compact"/>
              <w:jc w:val="left"/>
            </w:pPr>
            <w:r>
              <w:t xml:space="preserve">Modern Cloud-Native</w:t>
            </w:r>
          </w:p>
        </w:tc>
        <w:tc>
          <w:tcPr/>
          <w:p>
            <w:pPr>
              <w:pStyle w:val="Compact"/>
              <w:jc w:val="left"/>
            </w:pPr>
            <w:r>
              <w:rPr>
                <w:bCs/>
                <w:b/>
              </w:rPr>
              <w:t xml:space="preserve">SOV3 Target</w:t>
            </w:r>
          </w:p>
        </w:tc>
      </w:tr>
      <w:tr>
        <w:tc>
          <w:tcPr/>
          <w:p>
            <w:pPr>
              <w:pStyle w:val="Compact"/>
              <w:jc w:val="left"/>
            </w:pPr>
            <w:r>
              <w:rPr>
                <w:bCs/>
                <w:b/>
              </w:rPr>
              <w:t xml:space="preserve">Year 1 Platform Cost</w:t>
            </w:r>
          </w:p>
        </w:tc>
        <w:tc>
          <w:tcPr/>
          <w:p>
            <w:pPr>
              <w:pStyle w:val="Compact"/>
              <w:jc w:val="left"/>
            </w:pPr>
            <w:r>
              <w:t xml:space="preserve">$437K-$837K</w:t>
            </w:r>
          </w:p>
        </w:tc>
        <w:tc>
          <w:tcPr/>
          <w:p>
            <w:pPr>
              <w:pStyle w:val="Compact"/>
              <w:jc w:val="left"/>
            </w:pPr>
            <w:r>
              <w:t xml:space="preserve">$60K-$125K</w:t>
            </w:r>
          </w:p>
        </w:tc>
        <w:tc>
          <w:tcPr/>
          <w:p>
            <w:pPr>
              <w:pStyle w:val="Compact"/>
              <w:jc w:val="left"/>
            </w:pPr>
            <w:r>
              <w:rPr>
                <w:bCs/>
                <w:b/>
              </w:rPr>
              <w:t xml:space="preserve">Sub-$15K</w:t>
            </w:r>
          </w:p>
        </w:tc>
      </w:tr>
      <w:tr>
        <w:tc>
          <w:tcPr/>
          <w:p>
            <w:pPr>
              <w:pStyle w:val="Compact"/>
              <w:jc w:val="left"/>
            </w:pPr>
            <w:r>
              <w:rPr>
                <w:bCs/>
                <w:b/>
              </w:rPr>
              <w:t xml:space="preserve">Implementation</w:t>
            </w:r>
          </w:p>
        </w:tc>
        <w:tc>
          <w:tcPr/>
          <w:p>
            <w:pPr>
              <w:pStyle w:val="Compact"/>
              <w:jc w:val="left"/>
            </w:pPr>
            <w:r>
              <w:t xml:space="preserve">$250K-$500K</w:t>
            </w:r>
          </w:p>
        </w:tc>
        <w:tc>
          <w:tcPr/>
          <w:p>
            <w:pPr>
              <w:pStyle w:val="Compact"/>
              <w:jc w:val="left"/>
            </w:pPr>
            <w:r>
              <w:t xml:space="preserve">$8K-$20K</w:t>
            </w:r>
          </w:p>
        </w:tc>
        <w:tc>
          <w:tcPr/>
          <w:p>
            <w:pPr>
              <w:pStyle w:val="Compact"/>
              <w:jc w:val="left"/>
            </w:pPr>
            <w:r>
              <w:rPr>
                <w:bCs/>
                <w:b/>
              </w:rPr>
              <w:t xml:space="preserve">Self-serve / minimal</w:t>
            </w:r>
          </w:p>
        </w:tc>
      </w:tr>
      <w:tr>
        <w:tc>
          <w:tcPr/>
          <w:p>
            <w:pPr>
              <w:pStyle w:val="Compact"/>
              <w:jc w:val="left"/>
            </w:pPr>
            <w:r>
              <w:rPr>
                <w:bCs/>
                <w:b/>
              </w:rPr>
              <w:t xml:space="preserve">Years 2-5 (annual)</w:t>
            </w:r>
          </w:p>
        </w:tc>
        <w:tc>
          <w:tcPr/>
          <w:p>
            <w:pPr>
              <w:pStyle w:val="Compact"/>
              <w:jc w:val="left"/>
            </w:pPr>
            <w:r>
              <w:t xml:space="preserve">$150K-$200K</w:t>
            </w:r>
          </w:p>
        </w:tc>
        <w:tc>
          <w:tcPr/>
          <w:p>
            <w:pPr>
              <w:pStyle w:val="Compact"/>
              <w:jc w:val="left"/>
            </w:pPr>
            <w:r>
              <w:t xml:space="preserve">$60K-$100K</w:t>
            </w:r>
          </w:p>
        </w:tc>
        <w:tc>
          <w:tcPr/>
          <w:p>
            <w:pPr>
              <w:pStyle w:val="Compact"/>
              <w:jc w:val="left"/>
            </w:pPr>
            <w:r>
              <w:rPr>
                <w:bCs/>
                <w:b/>
              </w:rPr>
              <w:t xml:space="preserve">Sub-$10K</w:t>
            </w:r>
          </w:p>
        </w:tc>
      </w:tr>
      <w:tr>
        <w:tc>
          <w:tcPr/>
          <w:p>
            <w:pPr>
              <w:pStyle w:val="Compact"/>
              <w:jc w:val="left"/>
            </w:pPr>
            <w:r>
              <w:rPr>
                <w:bCs/>
                <w:b/>
              </w:rPr>
              <w:t xml:space="preserve">5-Year TCO</w:t>
            </w:r>
          </w:p>
        </w:tc>
        <w:tc>
          <w:tcPr/>
          <w:p>
            <w:pPr>
              <w:pStyle w:val="Compact"/>
              <w:jc w:val="left"/>
            </w:pPr>
            <w:r>
              <w:t xml:space="preserve">$1.0M-$1.6M+</w:t>
            </w:r>
          </w:p>
        </w:tc>
        <w:tc>
          <w:tcPr/>
          <w:p>
            <w:pPr>
              <w:pStyle w:val="Compact"/>
              <w:jc w:val="left"/>
            </w:pPr>
            <w:r>
              <w:t xml:space="preserve">$300K-$500K</w:t>
            </w:r>
          </w:p>
        </w:tc>
        <w:tc>
          <w:tcPr/>
          <w:p>
            <w:pPr>
              <w:pStyle w:val="Compact"/>
              <w:jc w:val="left"/>
            </w:pPr>
            <w:r>
              <w:rPr>
                <w:bCs/>
                <w:b/>
              </w:rPr>
              <w:t xml:space="preserve">Sub-$50K</w:t>
            </w:r>
          </w:p>
        </w:tc>
      </w:tr>
      <w:tr>
        <w:tc>
          <w:tcPr/>
          <w:p>
            <w:pPr>
              <w:pStyle w:val="Compact"/>
              <w:jc w:val="left"/>
            </w:pPr>
            <w:r>
              <w:rPr>
                <w:bCs/>
                <w:b/>
              </w:rPr>
              <w:t xml:space="preserve">TCO Reduction vs Legacy</w:t>
            </w:r>
          </w:p>
        </w:tc>
        <w:tc>
          <w:tcPr/>
          <w:p>
            <w:pPr>
              <w:pStyle w:val="Compact"/>
              <w:jc w:val="left"/>
            </w:pPr>
            <w:r>
              <w:t xml:space="preserve">—</w:t>
            </w:r>
          </w:p>
        </w:tc>
        <w:tc>
          <w:tcPr/>
          <w:p>
            <w:pPr>
              <w:pStyle w:val="Compact"/>
              <w:jc w:val="left"/>
            </w:pPr>
            <w:r>
              <w:t xml:space="preserve">60-70%</w:t>
            </w:r>
          </w:p>
        </w:tc>
        <w:tc>
          <w:tcPr/>
          <w:p>
            <w:pPr>
              <w:pStyle w:val="Compact"/>
              <w:jc w:val="left"/>
            </w:pPr>
            <w:r>
              <w:rPr>
                <w:bCs/>
                <w:b/>
              </w:rPr>
              <w:t xml:space="preserve">90-95%</w:t>
            </w:r>
          </w:p>
        </w:tc>
      </w:tr>
    </w:tbl>
    <w:p>
      <w:pPr>
        <w:pStyle w:val="BodyText"/>
      </w:pPr>
      <w:r>
        <w:t xml:space="preserve">Sources:</w:t>
      </w:r>
      <w:r>
        <w:t xml:space="preserve"> </w:t>
      </w:r>
      <w:r>
        <w:rPr>
          <w:vertAlign w:val="superscript"/>
        </w:rPr>
        <w:t xml:space="preserve">23</w:t>
      </w:r>
      <w:r>
        <w:t xml:space="preserve"> </w:t>
      </w:r>
      <w:r>
        <w:rPr>
          <w:vertAlign w:val="superscript"/>
        </w:rPr>
        <w:t xml:space="preserve">16</w:t>
      </w:r>
      <w:r>
        <w:rPr>
          <w:bCs/>
          <w:b/>
        </w:rPr>
        <w:t xml:space="preserve">Mid-market reality check:</w:t>
      </w:r>
      <w:r>
        <w:t xml:space="preserve"> </w:t>
      </w:r>
      <w:r>
        <w:t xml:space="preserve">For a 25-employee organization running 20 AI models, the Year 1 TCO for AI governance is approximately</w:t>
      </w:r>
      <w:r>
        <w:t xml:space="preserve"> </w:t>
      </w:r>
      <w:r>
        <w:rPr>
          <w:bCs/>
          <w:b/>
        </w:rPr>
        <w:t xml:space="preserve">$165,000</w:t>
      </w:r>
      <w:r>
        <w:t xml:space="preserve"> </w:t>
      </w:r>
      <w:r>
        <w:t xml:space="preserve">— including $50K platform licensing, $40K implementation, $60K staff time, and $15K tools/infrastructure</w:t>
      </w:r>
      <w:r>
        <w:t xml:space="preserve"> </w:t>
      </w:r>
      <w:r>
        <w:rPr>
          <w:vertAlign w:val="superscript"/>
        </w:rPr>
        <w:t xml:space="preserve">16</w:t>
      </w:r>
      <w:r>
        <w:t xml:space="preserve">. SOV3’s self-serve model collapses this to under $15,000 in Year 1 — a</w:t>
      </w:r>
      <w:r>
        <w:t xml:space="preserve"> </w:t>
      </w:r>
      <w:r>
        <w:rPr>
          <w:bCs/>
          <w:b/>
        </w:rPr>
        <w:t xml:space="preserve">91% reduction</w:t>
      </w:r>
      <w:r>
        <w:t xml:space="preserve">.</w:t>
      </w:r>
    </w:p>
    <w:bookmarkEnd w:id="55"/>
    <w:bookmarkStart w:id="56" w:name="the-consulting-replacement-angle"/>
    <w:p>
      <w:pPr>
        <w:pStyle w:val="Heading4"/>
      </w:pPr>
      <w:r>
        <w:t xml:space="preserve">The Consulting Replacement Angle</w:t>
      </w:r>
    </w:p>
    <w:p>
      <w:pPr>
        <w:pStyle w:val="FirstParagraph"/>
      </w:pPr>
      <w:r>
        <w:t xml:space="preserve">EU AI Act compliance consulting represents a massive cost center that SOV3 can replace: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Provider Type</w:t>
            </w:r>
          </w:p>
        </w:tc>
        <w:tc>
          <w:tcPr/>
          <w:p>
            <w:pPr>
              <w:pStyle w:val="Compact"/>
              <w:jc w:val="left"/>
            </w:pPr>
            <w:r>
              <w:t xml:space="preserve">Service</w:t>
            </w:r>
          </w:p>
        </w:tc>
        <w:tc>
          <w:tcPr/>
          <w:p>
            <w:pPr>
              <w:pStyle w:val="Compact"/>
              <w:jc w:val="left"/>
            </w:pPr>
            <w:r>
              <w:t xml:space="preserve">Cost</w:t>
            </w:r>
          </w:p>
        </w:tc>
        <w:tc>
          <w:tcPr/>
          <w:p>
            <w:pPr>
              <w:pStyle w:val="Compact"/>
              <w:jc w:val="left"/>
            </w:pPr>
            <w:r>
              <w:t xml:space="preserve">Timeline</w:t>
            </w:r>
          </w:p>
        </w:tc>
      </w:tr>
      <w:tr>
        <w:tc>
          <w:tcPr/>
          <w:p>
            <w:pPr>
              <w:pStyle w:val="Compact"/>
              <w:jc w:val="left"/>
            </w:pPr>
            <w:r>
              <w:t xml:space="preserve">Boutique (Janus Compliance)</w:t>
            </w:r>
          </w:p>
        </w:tc>
        <w:tc>
          <w:tcPr/>
          <w:p>
            <w:pPr>
              <w:pStyle w:val="Compact"/>
              <w:jc w:val="left"/>
            </w:pPr>
            <w:r>
              <w:t xml:space="preserve">GDPR + EU AI Act scoping</w:t>
            </w:r>
          </w:p>
        </w:tc>
        <w:tc>
          <w:tcPr/>
          <w:p>
            <w:pPr>
              <w:pStyle w:val="Compact"/>
              <w:jc w:val="left"/>
            </w:pPr>
            <w:r>
              <w:t xml:space="preserve">GBP 500 fixed</w:t>
            </w:r>
          </w:p>
        </w:tc>
        <w:tc>
          <w:tcPr/>
          <w:p>
            <w:pPr>
              <w:pStyle w:val="Compact"/>
              <w:jc w:val="left"/>
            </w:pPr>
            <w:r>
              <w:t xml:space="preserve">1 week</w:t>
            </w:r>
            <w:r>
              <w:t xml:space="preserve"> </w:t>
            </w:r>
            <w:r>
              <w:rPr>
                <w:vertAlign w:val="superscript"/>
              </w:rPr>
              <w:t xml:space="preserve">85</w:t>
            </w:r>
          </w:p>
        </w:tc>
      </w:tr>
      <w:tr>
        <w:tc>
          <w:tcPr/>
          <w:p>
            <w:pPr>
              <w:pStyle w:val="Compact"/>
              <w:jc w:val="left"/>
            </w:pPr>
            <w:r>
              <w:t xml:space="preserve">Mid-tier (Opsio)</w:t>
            </w:r>
          </w:p>
        </w:tc>
        <w:tc>
          <w:tcPr/>
          <w:p>
            <w:pPr>
              <w:pStyle w:val="Compact"/>
              <w:jc w:val="left"/>
            </w:pPr>
            <w:r>
              <w:t xml:space="preserve">AI Inventory + Classification</w:t>
            </w:r>
          </w:p>
        </w:tc>
        <w:tc>
          <w:tcPr/>
          <w:p>
            <w:pPr>
              <w:pStyle w:val="Compact"/>
              <w:jc w:val="left"/>
            </w:pPr>
            <w:r>
              <w:t xml:space="preserve">EUR 15,000-EUR 25,000</w:t>
            </w:r>
          </w:p>
        </w:tc>
        <w:tc>
          <w:tcPr/>
          <w:p>
            <w:pPr>
              <w:pStyle w:val="Compact"/>
              <w:jc w:val="left"/>
            </w:pPr>
            <w:r>
              <w:t xml:space="preserve">2-3 weeks</w:t>
            </w:r>
            <w:r>
              <w:t xml:space="preserve"> </w:t>
            </w:r>
            <w:r>
              <w:rPr>
                <w:vertAlign w:val="superscript"/>
              </w:rPr>
              <w:t xml:space="preserve">41</w:t>
            </w:r>
          </w:p>
        </w:tc>
      </w:tr>
      <w:tr>
        <w:tc>
          <w:tcPr/>
          <w:p>
            <w:pPr>
              <w:pStyle w:val="Compact"/>
              <w:jc w:val="left"/>
            </w:pPr>
            <w:r>
              <w:t xml:space="preserve">Mid-tier (Opsio)</w:t>
            </w:r>
          </w:p>
        </w:tc>
        <w:tc>
          <w:tcPr/>
          <w:p>
            <w:pPr>
              <w:pStyle w:val="Compact"/>
              <w:jc w:val="left"/>
            </w:pPr>
            <w:r>
              <w:t xml:space="preserve">Full Framework + Bias Audits</w:t>
            </w:r>
          </w:p>
        </w:tc>
        <w:tc>
          <w:tcPr/>
          <w:p>
            <w:pPr>
              <w:pStyle w:val="Compact"/>
              <w:jc w:val="left"/>
            </w:pPr>
            <w:r>
              <w:t xml:space="preserve">EUR 30,000-EUR 60,000</w:t>
            </w:r>
          </w:p>
        </w:tc>
        <w:tc>
          <w:tcPr/>
          <w:p>
            <w:pPr>
              <w:pStyle w:val="Compact"/>
              <w:jc w:val="left"/>
            </w:pPr>
            <w:r>
              <w:t xml:space="preserve">4-8 weeks</w:t>
            </w:r>
            <w:r>
              <w:t xml:space="preserve"> </w:t>
            </w:r>
            <w:r>
              <w:rPr>
                <w:vertAlign w:val="superscript"/>
              </w:rPr>
              <w:t xml:space="preserve">41</w:t>
            </w:r>
          </w:p>
        </w:tc>
      </w:tr>
      <w:tr>
        <w:tc>
          <w:tcPr/>
          <w:p>
            <w:pPr>
              <w:pStyle w:val="Compact"/>
              <w:jc w:val="left"/>
            </w:pPr>
            <w:r>
              <w:t xml:space="preserve">Enterprise (EPC Group)</w:t>
            </w:r>
          </w:p>
        </w:tc>
        <w:tc>
          <w:tcPr/>
          <w:p>
            <w:pPr>
              <w:pStyle w:val="Compact"/>
              <w:jc w:val="left"/>
            </w:pPr>
            <w:r>
              <w:t xml:space="preserve">Full 6-Pillar AI Governance</w:t>
            </w:r>
          </w:p>
        </w:tc>
        <w:tc>
          <w:tcPr/>
          <w:p>
            <w:pPr>
              <w:pStyle w:val="Compact"/>
              <w:jc w:val="left"/>
            </w:pPr>
            <w:r>
              <w:t xml:space="preserve">$150,000-$400,000</w:t>
            </w:r>
          </w:p>
        </w:tc>
        <w:tc>
          <w:tcPr/>
          <w:p>
            <w:pPr>
              <w:pStyle w:val="Compact"/>
              <w:jc w:val="left"/>
            </w:pPr>
            <w:r>
              <w:t xml:space="preserve">12+ weeks</w:t>
            </w:r>
            <w:r>
              <w:t xml:space="preserve"> </w:t>
            </w:r>
            <w:r>
              <w:rPr>
                <w:vertAlign w:val="superscript"/>
              </w:rPr>
              <w:t xml:space="preserve">19</w:t>
            </w:r>
          </w:p>
        </w:tc>
      </w:tr>
      <w:tr>
        <w:tc>
          <w:tcPr/>
          <w:p>
            <w:pPr>
              <w:pStyle w:val="Compact"/>
              <w:jc w:val="left"/>
            </w:pPr>
            <w:r>
              <w:rPr>
                <w:bCs/>
                <w:b/>
              </w:rPr>
              <w:t xml:space="preserve">SOV3 Platform</w:t>
            </w:r>
          </w:p>
        </w:tc>
        <w:tc>
          <w:tcPr/>
          <w:p>
            <w:pPr>
              <w:pStyle w:val="Compact"/>
              <w:jc w:val="left"/>
            </w:pPr>
            <w:r>
              <w:rPr>
                <w:bCs/>
                <w:b/>
              </w:rPr>
              <w:t xml:space="preserve">Continuous AI governance + EU AI Act compliance</w:t>
            </w:r>
          </w:p>
        </w:tc>
        <w:tc>
          <w:tcPr/>
          <w:p>
            <w:pPr>
              <w:pStyle w:val="Compact"/>
              <w:jc w:val="left"/>
            </w:pPr>
            <w:r>
              <w:rPr>
                <w:bCs/>
                <w:b/>
              </w:rPr>
              <w:t xml:space="preserve">$500-$2,000/month</w:t>
            </w:r>
          </w:p>
        </w:tc>
        <w:tc>
          <w:tcPr/>
          <w:p>
            <w:pPr>
              <w:pStyle w:val="Compact"/>
              <w:jc w:val="left"/>
            </w:pPr>
            <w:r>
              <w:rPr>
                <w:bCs/>
                <w:b/>
              </w:rPr>
              <w:t xml:space="preserve">48-hour deployment</w:t>
            </w:r>
          </w:p>
        </w:tc>
      </w:tr>
    </w:tbl>
    <w:p>
      <w:pPr>
        <w:pStyle w:val="BodyText"/>
      </w:pPr>
      <w:r>
        <w:t xml:space="preserve">The enterprise consulting model charges $150K-$400K for a</w:t>
      </w:r>
      <w:r>
        <w:t xml:space="preserve"> </w:t>
      </w:r>
      <w:r>
        <w:rPr>
          <w:bCs/>
          <w:b/>
        </w:rPr>
        <w:t xml:space="preserve">one-time</w:t>
      </w:r>
      <w:r>
        <w:t xml:space="preserve"> </w:t>
      </w:r>
      <w:r>
        <w:t xml:space="preserve">governance program setup</w:t>
      </w:r>
      <w:r>
        <w:t xml:space="preserve"> </w:t>
      </w:r>
      <w:r>
        <w:rPr>
          <w:vertAlign w:val="superscript"/>
        </w:rPr>
        <w:t xml:space="preserve">19</w:t>
      </w:r>
      <w:r>
        <w:t xml:space="preserve">. SOV3 provides</w:t>
      </w:r>
      <w:r>
        <w:t xml:space="preserve"> </w:t>
      </w:r>
      <w:r>
        <w:rPr>
          <w:bCs/>
          <w:b/>
        </w:rPr>
        <w:t xml:space="preserve">continuous, always-on governance</w:t>
      </w:r>
      <w:r>
        <w:t xml:space="preserve"> </w:t>
      </w:r>
      <w:r>
        <w:t xml:space="preserve">for less than the cost of a single consulting engagement. The EU Commission’s own data confirms that enterprises self-report spending</w:t>
      </w:r>
      <w:r>
        <w:t xml:space="preserve"> </w:t>
      </w:r>
      <w:r>
        <w:rPr>
          <w:bCs/>
          <w:b/>
        </w:rPr>
        <w:t xml:space="preserve">EUR 100,000 per high-risk AI project</w:t>
      </w:r>
      <w:r>
        <w:t xml:space="preserve"> </w:t>
      </w:r>
      <w:r>
        <w:t xml:space="preserve">on compliance alone</w:t>
      </w:r>
      <w:r>
        <w:t xml:space="preserve"> </w:t>
      </w:r>
      <w:r>
        <w:rPr>
          <w:vertAlign w:val="superscript"/>
        </w:rPr>
        <w:t xml:space="preserve">6</w:t>
      </w:r>
      <w:r>
        <w:t xml:space="preserve">— a figure that does not include ongoing monitoring, re-assessment, or regulatory change management.</w:t>
      </w:r>
    </w:p>
    <w:bookmarkEnd w:id="56"/>
    <w:bookmarkStart w:id="57" w:name="the-market-segment-nobody-serves"/>
    <w:p>
      <w:pPr>
        <w:pStyle w:val="Heading4"/>
      </w:pPr>
      <w:r>
        <w:t xml:space="preserve">The Market Segment Nobody Serves</w:t>
      </w:r>
    </w:p>
    <w:p>
      <w:pPr>
        <w:pStyle w:val="FirstParagraph"/>
      </w:pPr>
      <w:r>
        <w:t xml:space="preserve">The market has</w:t>
      </w:r>
      <w:r>
        <w:t xml:space="preserve"> </w:t>
      </w:r>
      <w:r>
        <w:rPr>
          <w:bCs/>
          <w:b/>
        </w:rPr>
        <w:t xml:space="preserve">ZERO accessible AI governance options</w:t>
      </w:r>
      <w:r>
        <w:t xml:space="preserve"> </w:t>
      </w:r>
      <w:r>
        <w:t xml:space="preserve">for:</w:t>
      </w:r>
      <w:r>
        <w:t xml:space="preserve"> </w:t>
      </w:r>
      <w:r>
        <w:t xml:space="preserve">- Startups and SMBs (&lt;200 employees)</w:t>
      </w:r>
      <w:r>
        <w:t xml:space="preserve"> </w:t>
      </w:r>
      <w:r>
        <w:t xml:space="preserve">- Mid-market organizations with lean compliance teams</w:t>
      </w:r>
      <w:r>
        <w:t xml:space="preserve"> </w:t>
      </w:r>
      <w:r>
        <w:t xml:space="preserve">- Organizations needing EU AI Act compliance without $100K+ budgets</w:t>
      </w:r>
      <w:r>
        <w:t xml:space="preserve"> </w:t>
      </w:r>
      <w:r>
        <w:t xml:space="preserve">- Companies wanting governance to start in days, not months</w:t>
      </w:r>
      <w:r>
        <w:t xml:space="preserve"> </w:t>
      </w:r>
      <w:r>
        <w:t xml:space="preserve">- Teams that need transparent pricing before engaging sales</w:t>
      </w:r>
      <w:r>
        <w:t xml:space="preserve"> </w:t>
      </w:r>
      <w:r>
        <w:rPr>
          <w:vertAlign w:val="superscript"/>
        </w:rPr>
        <w:t xml:space="preserve">55</w:t>
      </w:r>
      <w:r>
        <w:t xml:space="preserve">Every single competitor is either enterprise-only with no self-serve (Credo AI, Holistic AI, Cranium, WitnessAI, Zenity), quote-based with no published pricing (OneTrust, MetricStream, AuditBoard, ServiceNow), or part of a massive platform requiring six-figure investment (CrowdStrike Falcon, OneTrust suite, MetricStream).</w:t>
      </w:r>
    </w:p>
    <w:p>
      <w:pPr>
        <w:pStyle w:val="BodyText"/>
      </w:pPr>
      <w:r>
        <w:rPr>
          <w:bCs/>
          <w:b/>
        </w:rPr>
        <w:t xml:space="preserve">SOV3 Kill Shot:</w:t>
      </w:r>
      <w:r>
        <w:t xml:space="preserve"> </w:t>
      </w:r>
      <w:r>
        <w:t xml:space="preserve">SOV3 does not just undercut on price — it annihilates the entire cost structure of AI governance. The 10-20x price advantage is not achieved by offering less; it is achieved by eliminating the implementation consulting tax, the platform lock-in premium, the modular upsell trap, and the opaque renewal spike that define every incumbent’s business model.</w:t>
      </w:r>
    </w:p>
    <w:p>
      <w:r>
        <w:pict>
          <v:rect style="width:0;height:1.5pt" o:hralign="center" o:hrstd="t" o:hr="t"/>
        </w:pict>
      </w:r>
    </w:p>
    <w:bookmarkEnd w:id="57"/>
    <w:bookmarkEnd w:id="58"/>
    <w:bookmarkStart w:id="59" w:name="chapter-5-key-takeaways"/>
    <w:p>
      <w:pPr>
        <w:pStyle w:val="Heading3"/>
      </w:pPr>
      <w:r>
        <w:t xml:space="preserve">Chapter 5 Key Takeaways</w:t>
      </w:r>
    </w:p>
    <w:p>
      <w:pPr>
        <w:numPr>
          <w:ilvl w:val="0"/>
          <w:numId w:val="1008"/>
        </w:numPr>
      </w:pPr>
      <w:r>
        <w:rPr>
          <w:bCs/>
          <w:b/>
        </w:rPr>
        <w:t xml:space="preserve">Every Tier 1 Giant Has a Killable Flank.</w:t>
      </w:r>
      <w:r>
        <w:t xml:space="preserve"> </w:t>
      </w:r>
      <w:r>
        <w:t xml:space="preserve">OneTrust’s 1,060 layoffs, 1.5/5 Trustpilot score, and 275-468% renewal spikes make it the most vulnerable GRC incumbent</w:t>
      </w:r>
      <w:r>
        <w:t xml:space="preserve"> </w:t>
      </w:r>
      <w:r>
        <w:rPr>
          <w:vertAlign w:val="superscript"/>
        </w:rPr>
        <w:t xml:space="preserve">59</w:t>
      </w:r>
      <w:r>
        <w:t xml:space="preserve"> </w:t>
      </w:r>
      <w:r>
        <w:rPr>
          <w:vertAlign w:val="superscript"/>
        </w:rPr>
        <w:t xml:space="preserve">61</w:t>
      </w:r>
      <w:r>
        <w:t xml:space="preserve"> </w:t>
      </w:r>
      <w:r>
        <w:rPr>
          <w:vertAlign w:val="superscript"/>
        </w:rPr>
        <w:t xml:space="preserve">58</w:t>
      </w:r>
      <w:r>
        <w:t xml:space="preserve">. IBM’s $300K+/year services tax, Microsoft’s Azure lock-in, and CrowdStrike’s endpoint-only positioning each create openings for SOV3’s cloud-agnostic, transparently-priced alternative.</w:t>
      </w:r>
    </w:p>
    <w:p>
      <w:pPr>
        <w:numPr>
          <w:ilvl w:val="0"/>
          <w:numId w:val="1008"/>
        </w:numPr>
      </w:pPr>
      <w:r>
        <w:rPr>
          <w:bCs/>
          <w:b/>
        </w:rPr>
        <w:t xml:space="preserve">Tier 2 Startup Funding Is Systematically Inflated.</w:t>
      </w:r>
      <w:r>
        <w:t xml:space="preserve"> </w:t>
      </w:r>
      <w:r>
        <w:t xml:space="preserve">NanoCo’s $63M claim was</w:t>
      </w:r>
      <w:r>
        <w:t xml:space="preserve"> </w:t>
      </w:r>
      <w:r>
        <w:rPr>
          <w:bCs/>
          <w:b/>
        </w:rPr>
        <w:t xml:space="preserve">5.25x the real $12M</w:t>
      </w:r>
      <w:r>
        <w:t xml:space="preserve"> </w:t>
      </w:r>
      <w:r>
        <w:rPr>
          <w:vertAlign w:val="superscript"/>
        </w:rPr>
        <w:t xml:space="preserve">72</w:t>
      </w:r>
      <w:r>
        <w:t xml:space="preserve">. Euno’s $12.5M was</w:t>
      </w:r>
      <w:r>
        <w:t xml:space="preserve"> </w:t>
      </w:r>
      <w:r>
        <w:rPr>
          <w:bCs/>
          <w:b/>
        </w:rPr>
        <w:t xml:space="preserve">2x the real $6.25M</w:t>
      </w:r>
      <w:r>
        <w:t xml:space="preserve"> </w:t>
      </w:r>
      <w:r>
        <w:rPr>
          <w:vertAlign w:val="superscript"/>
        </w:rPr>
        <w:t xml:space="preserve">26</w:t>
      </w:r>
      <w:r>
        <w:t xml:space="preserve">. Torch’s $30M belongs to a</w:t>
      </w:r>
      <w:r>
        <w:t xml:space="preserve"> </w:t>
      </w:r>
      <w:r>
        <w:rPr>
          <w:bCs/>
          <w:b/>
        </w:rPr>
        <w:t xml:space="preserve">different company entirely</w:t>
      </w:r>
      <w:r>
        <w:t xml:space="preserve"> </w:t>
      </w:r>
      <w:r>
        <w:rPr>
          <w:vertAlign w:val="superscript"/>
        </w:rPr>
        <w:t xml:space="preserve">54</w:t>
      </w:r>
      <w:r>
        <w:t xml:space="preserve">. Across the cohort,</w:t>
      </w:r>
      <w:r>
        <w:t xml:space="preserve"> </w:t>
      </w:r>
      <w:r>
        <w:rPr>
          <w:bCs/>
          <w:b/>
        </w:rPr>
        <w:t xml:space="preserve">0/10 have certification ecosystems</w:t>
      </w:r>
      <w:r>
        <w:t xml:space="preserve">,</w:t>
      </w:r>
      <w:r>
        <w:t xml:space="preserve"> </w:t>
      </w:r>
      <w:r>
        <w:rPr>
          <w:bCs/>
          <w:b/>
        </w:rPr>
        <w:t xml:space="preserve">0/10 have published pricing</w:t>
      </w:r>
      <w:r>
        <w:t xml:space="preserve">, and</w:t>
      </w:r>
      <w:r>
        <w:t xml:space="preserve"> </w:t>
      </w:r>
      <w:r>
        <w:rPr>
          <w:bCs/>
          <w:b/>
        </w:rPr>
        <w:t xml:space="preserve">0/10 have meaningful public review volume</w:t>
      </w:r>
      <w:r>
        <w:t xml:space="preserve">. These are houses of cards.</w:t>
      </w:r>
    </w:p>
    <w:p>
      <w:pPr>
        <w:numPr>
          <w:ilvl w:val="0"/>
          <w:numId w:val="1008"/>
        </w:numPr>
      </w:pPr>
      <w:r>
        <w:rPr>
          <w:bCs/>
          <w:b/>
        </w:rPr>
        <w:t xml:space="preserve">Legacy GRC Implementation Timelines Are Fatal.</w:t>
      </w:r>
      <w:r>
        <w:t xml:space="preserve"> </w:t>
      </w:r>
      <w:r>
        <w:t xml:space="preserve">With the EU AI Act deadline of August 2, 2026</w:t>
      </w:r>
      <w:r>
        <w:t xml:space="preserve"> </w:t>
      </w:r>
      <w:r>
        <w:rPr>
          <w:vertAlign w:val="superscript"/>
        </w:rPr>
        <w:t xml:space="preserve">65</w:t>
      </w:r>
      <w:r>
        <w:t xml:space="preserve">, platforms requiring 9-18 months (MetricStream, RSA Archer)</w:t>
      </w:r>
      <w:r>
        <w:t xml:space="preserve"> </w:t>
      </w:r>
      <w:r>
        <w:rPr>
          <w:vertAlign w:val="superscript"/>
        </w:rPr>
        <w:t xml:space="preserve">77</w:t>
      </w:r>
      <w:r>
        <w:t xml:space="preserve"> </w:t>
      </w:r>
      <w:r>
        <w:rPr>
          <w:vertAlign w:val="superscript"/>
        </w:rPr>
        <w:t xml:space="preserve">76</w:t>
      </w:r>
      <w:r>
        <w:t xml:space="preserve">or even 2.5-9 months (OneTrust)</w:t>
      </w:r>
      <w:r>
        <w:t xml:space="preserve"> </w:t>
      </w:r>
      <w:r>
        <w:rPr>
          <w:vertAlign w:val="superscript"/>
        </w:rPr>
        <w:t xml:space="preserve">66</w:t>
      </w:r>
      <w:r>
        <w:t xml:space="preserve">cannot deliver compliance in time. SOV3’s 48-hour deployment is</w:t>
      </w:r>
      <w:r>
        <w:t xml:space="preserve"> </w:t>
      </w:r>
      <w:r>
        <w:rPr>
          <w:bCs/>
          <w:b/>
        </w:rPr>
        <w:t xml:space="preserve">54-270x faster</w:t>
      </w:r>
      <w:r>
        <w:t xml:space="preserve"> </w:t>
      </w:r>
      <w:r>
        <w:t xml:space="preserve">than the legacy tier — a speed advantage that is not incremental but existential.</w:t>
      </w:r>
    </w:p>
    <w:p>
      <w:pPr>
        <w:numPr>
          <w:ilvl w:val="0"/>
          <w:numId w:val="1008"/>
        </w:numPr>
      </w:pPr>
      <w:r>
        <w:rPr>
          <w:bCs/>
          <w:b/>
        </w:rPr>
        <w:t xml:space="preserve">The 10-20x Pricing Advantage Is Defensible.</w:t>
      </w:r>
      <w:r>
        <w:t xml:space="preserve"> </w:t>
      </w:r>
      <w:r>
        <w:t xml:space="preserve">The pricing matrix reveals that SOV3 can undercut every competitor category by 10-20x without sacrificing capability. The advantage comes from eliminating implementation consulting ($50K-$250K typical), platform lock-in premiums, modular upsell traps, and opaque renewal spikes. The 5-year TCO reduction of</w:t>
      </w:r>
      <w:r>
        <w:t xml:space="preserve"> </w:t>
      </w:r>
      <w:r>
        <w:rPr>
          <w:bCs/>
          <w:b/>
        </w:rPr>
        <w:t xml:space="preserve">90-95%</w:t>
      </w:r>
      <w:r>
        <w:t xml:space="preserve"> </w:t>
      </w:r>
      <w:r>
        <w:t xml:space="preserve">versus legacy GRC is not a marketing claim — it is a mathematical inevitability given the incumbent cost structure</w:t>
      </w:r>
      <w:r>
        <w:t xml:space="preserve"> </w:t>
      </w:r>
      <w:r>
        <w:rPr>
          <w:vertAlign w:val="superscript"/>
        </w:rPr>
        <w:t xml:space="preserve">23</w:t>
      </w:r>
      <w:r>
        <w:t xml:space="preserve"> </w:t>
      </w:r>
      <w:r>
        <w:rPr>
          <w:vertAlign w:val="superscript"/>
        </w:rPr>
        <w:t xml:space="preserve">16</w:t>
      </w:r>
      <w:r>
        <w:t xml:space="preserve">.</w:t>
      </w:r>
    </w:p>
    <w:p>
      <w:pPr>
        <w:numPr>
          <w:ilvl w:val="0"/>
          <w:numId w:val="1008"/>
        </w:numPr>
      </w:pPr>
      <w:r>
        <w:rPr>
          <w:bCs/>
          <w:b/>
        </w:rPr>
        <w:t xml:space="preserve">The Sub-$10K AI Governance Market Is Unserved.</w:t>
      </w:r>
      <w:r>
        <w:t xml:space="preserve"> </w:t>
      </w:r>
      <w:r>
        <w:t xml:space="preserve">No competitor offers transparent, self-serve AI governance below $10,000/year. This is not a gap — it is a canyon. SOV3 owns this segment by default because no one else bothered to build for it. The democratization of AI governance is not just a market opportunity; it is a strategic moat that entrenched incumbents cannot cross without cannibalizing their own enterprise revenue.</w:t>
      </w:r>
    </w:p>
    <w:p>
      <w:pPr>
        <w:pStyle w:val="FirstParagraph"/>
      </w:pPr>
      <w:r>
        <w:rPr>
          <w:bCs/>
          <w:b/>
        </w:rPr>
        <w:t xml:space="preserve">Commander’s Assessment:</w:t>
      </w:r>
      <w:r>
        <w:t xml:space="preserve"> </w:t>
      </w:r>
      <w:r>
        <w:t xml:space="preserve">The competitive landscape is simultaneously crowded and hollow. Dozens of vendors claim AI governance capability, but the matrix reveals that none offer the combination of speed (48-hour deployment), price transparency (published tiers), certification ecosystem (verifiable compliance), and EU AI Act-native architecture that SOV3 brings to market. The incumbents are too slow, the startups are too thin, and the consultants are too expensive. This battlefield is SOV3’s to take.</w:t>
      </w:r>
    </w:p>
    <w:p>
      <w:r>
        <w:pict>
          <v:rect style="width:0;height:1.5pt" o:hralign="center" o:hrstd="t" o:hr="t"/>
        </w:pict>
      </w:r>
    </w:p>
    <w:bookmarkEnd w:id="59"/>
    <w:bookmarkEnd w:id="60"/>
    <w:bookmarkStart w:id="67" w:name="the-25-day-pre-launch-strike-protocol"/>
    <w:p>
      <w:pPr>
        <w:pStyle w:val="Heading2"/>
      </w:pPr>
      <w:r>
        <w:t xml:space="preserve">6. The 25-Day Pre-Launch Strike Protocol</w:t>
      </w:r>
    </w:p>
    <w:p>
      <w:pPr>
        <w:pStyle w:val="FirstParagraph"/>
      </w:pPr>
      <w:r>
        <w:rPr>
          <w:bCs/>
          <w:b/>
        </w:rPr>
        <w:t xml:space="preserve">Classification:</w:t>
      </w:r>
      <w:r>
        <w:t xml:space="preserve"> </w:t>
      </w:r>
      <w:r>
        <w:t xml:space="preserve">OPERATIONS — Execute on Receipt</w:t>
      </w:r>
      <w:r>
        <w:t xml:space="preserve"> </w:t>
      </w:r>
      <w:r>
        <w:rPr>
          <w:bCs/>
          <w:b/>
        </w:rPr>
        <w:t xml:space="preserve">Effective:</w:t>
      </w:r>
      <w:r>
        <w:t xml:space="preserve"> </w:t>
      </w:r>
      <w:r>
        <w:t xml:space="preserve">June 9, 2026 00:00 UTC</w:t>
      </w:r>
      <w:r>
        <w:t xml:space="preserve"> </w:t>
      </w:r>
      <w:r>
        <w:rPr>
          <w:bCs/>
          <w:b/>
        </w:rPr>
        <w:t xml:space="preserve">Termination:</w:t>
      </w:r>
      <w:r>
        <w:t xml:space="preserve"> </w:t>
      </w:r>
      <w:r>
        <w:t xml:space="preserve">July 4, 2026 23:59 UTC</w:t>
      </w:r>
      <w:r>
        <w:t xml:space="preserve"> </w:t>
      </w:r>
      <w:r>
        <w:rPr>
          <w:bCs/>
          <w:b/>
        </w:rPr>
        <w:t xml:space="preserve">Command Authority:</w:t>
      </w:r>
      <w:r>
        <w:t xml:space="preserve"> </w:t>
      </w:r>
      <w:r>
        <w:t xml:space="preserve">Nick Templeman, SOV3 War Room</w:t>
      </w:r>
    </w:p>
    <w:p>
      <w:r>
        <w:pict>
          <v:rect style="width:0;height:1.5pt" o:hralign="center" o:hrstd="t" o:hr="t"/>
        </w:pict>
      </w:r>
    </w:p>
    <w:p>
      <w:pPr>
        <w:pStyle w:val="FirstParagraph"/>
      </w:pPr>
      <w:r>
        <w:t xml:space="preserve">This is not a marketing calendar. This is a fire-control sequence. Every action below is tied to a verified intelligence finding from 12 dimensions of competitive reconnaissance. Each day’s operations exploit a specific vulnerability in the incumbent fortress — CrowdStrike’s bleeding credibility, Palo Alto’s federal deadline, Microsoft’s cascading Azure failures, Cloudflare’s panicked layoffs, and the AI governance industry’s systemic pricing fraud. Execute in order. Do not skip phases. The 25 days are architected as a compounding damage cascade: each phase amplifies the chaos sown in the previous one, until by July 4 the incumbents are defending on five fronts while SOV3 launches into a vacuum of trust.</w:t>
      </w:r>
    </w:p>
    <w:p>
      <w:pPr>
        <w:pStyle w:val="BodyText"/>
      </w:pPr>
      <w:r>
        <w:rPr>
          <w:bCs/>
          <w:b/>
        </w:rPr>
        <w:t xml:space="preserve">Intelligence Foundation:</w:t>
      </w:r>
      <w:r>
        <w:t xml:space="preserve"> </w:t>
      </w:r>
      <w:r>
        <w:t xml:space="preserve">All data points below are drawn from verified sources: SEC Form 4 filings</w:t>
      </w:r>
      <w:r>
        <w:t xml:space="preserve"> </w:t>
      </w:r>
      <w:r>
        <w:rPr>
          <w:vertAlign w:val="superscript"/>
        </w:rPr>
        <w:t xml:space="preserve">28</w:t>
      </w:r>
      <w:r>
        <w:t xml:space="preserve"> </w:t>
      </w:r>
      <w:r>
        <w:rPr>
          <w:vertAlign w:val="superscript"/>
        </w:rPr>
        <w:t xml:space="preserve">2</w:t>
      </w:r>
      <w:r>
        <w:t xml:space="preserve">, NVD/CVE databases</w:t>
      </w:r>
      <w:r>
        <w:t xml:space="preserve"> </w:t>
      </w:r>
      <w:r>
        <w:rPr>
          <w:vertAlign w:val="superscript"/>
        </w:rPr>
        <w:t xml:space="preserve">1</w:t>
      </w:r>
      <w:r>
        <w:t xml:space="preserve"> </w:t>
      </w:r>
      <w:r>
        <w:rPr>
          <w:vertAlign w:val="superscript"/>
        </w:rPr>
        <w:t xml:space="preserve">14</w:t>
      </w:r>
      <w:r>
        <w:t xml:space="preserve"> </w:t>
      </w:r>
      <w:r>
        <w:rPr>
          <w:vertAlign w:val="superscript"/>
        </w:rPr>
        <w:t xml:space="preserve">21</w:t>
      </w:r>
      <w:r>
        <w:t xml:space="preserve">, CISA KEV catalog</w:t>
      </w:r>
      <w:r>
        <w:t xml:space="preserve"> </w:t>
      </w:r>
      <w:r>
        <w:rPr>
          <w:vertAlign w:val="superscript"/>
        </w:rPr>
        <w:t xml:space="preserve">23</w:t>
      </w:r>
      <w:r>
        <w:t xml:space="preserve">, earnings transcripts</w:t>
      </w:r>
      <w:r>
        <w:t xml:space="preserve"> </w:t>
      </w:r>
      <w:r>
        <w:rPr>
          <w:vertAlign w:val="superscript"/>
        </w:rPr>
        <w:t xml:space="preserve">71</w:t>
      </w:r>
      <w:r>
        <w:t xml:space="preserve"> </w:t>
      </w:r>
      <w:r>
        <w:rPr>
          <w:vertAlign w:val="superscript"/>
        </w:rPr>
        <w:t xml:space="preserve">86</w:t>
      </w:r>
      <w:r>
        <w:t xml:space="preserve">, and direct competitive analysis across 12 intelligence dimensions (see preceding chapters).</w:t>
      </w:r>
    </w:p>
    <w:p>
      <w:r>
        <w:pict>
          <v:rect style="width:0;height:1.5pt" o:hralign="center" o:hrstd="t" o:hr="t"/>
        </w:pict>
      </w:r>
    </w:p>
    <w:bookmarkStart w:id="61" w:name="phase-i-seeding-doubt-june-9-13-days-1-5"/>
    <w:p>
      <w:pPr>
        <w:pStyle w:val="Heading3"/>
      </w:pPr>
      <w:r>
        <w:t xml:space="preserve">Phase I: Seeding Doubt (June 9-13) — Days 1-5</w:t>
      </w:r>
    </w:p>
    <w:p>
      <w:pPr>
        <w:pStyle w:val="FirstParagraph"/>
      </w:pPr>
      <w:r>
        <w:rPr>
          <w:bCs/>
          <w:b/>
        </w:rPr>
        <w:t xml:space="preserve">Strategic Objective:</w:t>
      </w:r>
      <w:r>
        <w:t xml:space="preserve"> </w:t>
      </w:r>
      <w:r>
        <w:t xml:space="preserve">Establish that the cybersecurity establishment is insecure, overpriced, and running for the exits. No selling yet. No SOV3 mention. Only doubt.</w:t>
      </w:r>
    </w:p>
    <w:p>
      <w:pPr>
        <w:pStyle w:val="BodyText"/>
      </w:pPr>
      <w:r>
        <w:rPr>
          <w:bCs/>
          <w:b/>
        </w:rPr>
        <w:t xml:space="preserve">Day 1 — Monday, June 9: Cloudflare Investor Day Ambush</w:t>
      </w:r>
    </w:p>
    <w:p>
      <w:pPr>
        <w:pStyle w:val="BodyText"/>
      </w:pPr>
      <w:r>
        <w:t xml:space="preserve">Cloudflare holds its Investor Day at the NYSE today</w:t>
      </w:r>
      <w:r>
        <w:t xml:space="preserve"> </w:t>
      </w:r>
      <w:r>
        <w:rPr>
          <w:vertAlign w:val="superscript"/>
        </w:rPr>
        <w:t xml:space="preserve">34</w:t>
      </w:r>
      <w:r>
        <w:t xml:space="preserve"> </w:t>
      </w:r>
      <w:r>
        <w:rPr>
          <w:vertAlign w:val="superscript"/>
        </w:rPr>
        <w:t xml:space="preserve">37</w:t>
      </w:r>
      <w:r>
        <w:t xml:space="preserve">. The narrative has already curdled: 1,100 layoffs (~20% of workforce) announced May 7, executed under the cover of an</w:t>
      </w:r>
      <w:r>
        <w:t xml:space="preserve"> </w:t>
      </w:r>
      <w:r>
        <w:t xml:space="preserve">“</w:t>
      </w:r>
      <w:r>
        <w:t xml:space="preserve">agentic AI-first pivot</w:t>
      </w:r>
      <w:r>
        <w:t xml:space="preserve">”</w:t>
      </w:r>
      <w:r>
        <w:t xml:space="preserve"> </w:t>
      </w:r>
      <w:r>
        <w:rPr>
          <w:vertAlign w:val="superscript"/>
        </w:rPr>
        <w:t xml:space="preserve">71</w:t>
      </w:r>
      <w:r>
        <w:t xml:space="preserve"> </w:t>
      </w:r>
      <w:r>
        <w:rPr>
          <w:vertAlign w:val="superscript"/>
        </w:rPr>
        <w:t xml:space="preserve">87</w:t>
      </w:r>
      <w:r>
        <w:t xml:space="preserve">. NET stock dropped 18% after-hours on the news and has not recovered. Susquehanna maintains a $200 price target — 20% below the $250 current price</w:t>
      </w:r>
      <w:r>
        <w:t xml:space="preserve"> </w:t>
      </w:r>
      <w:r>
        <w:rPr>
          <w:vertAlign w:val="superscript"/>
        </w:rPr>
        <w:t xml:space="preserve">73</w:t>
      </w:r>
      <w:r>
        <w:t xml:space="preserve">.</w:t>
      </w:r>
    </w:p>
    <w:p>
      <w:pPr>
        <w:pStyle w:val="BodyText"/>
      </w:pPr>
      <w:r>
        <w:rPr>
          <w:bCs/>
          <w:b/>
        </w:rPr>
        <w:t xml:space="preserve">Action:</w:t>
      </w:r>
      <w:r>
        <w:t xml:space="preserve"> </w:t>
      </w:r>
      <w:r>
        <w:t xml:space="preserve">Deploy two operatives to the NYSE event. Live-tweet any deflection, any lack of concrete AI monetization metrics, any executive stumble. If the AI pivot lacks revenue specifics, strike within 30 minutes with the prepared narrative:</w:t>
      </w:r>
      <w:r>
        <w:t xml:space="preserve"> </w:t>
      </w:r>
      <w:r>
        <w:rPr>
          <w:iCs/>
          <w:i/>
        </w:rPr>
        <w:t xml:space="preserve">“</w:t>
      </w:r>
      <w:r>
        <w:rPr>
          <w:iCs/>
          <w:i/>
        </w:rPr>
        <w:t xml:space="preserve">Firing 20% of your team to chase AI is desperation, not strategy.</w:t>
      </w:r>
      <w:r>
        <w:rPr>
          <w:iCs/>
          <w:i/>
        </w:rPr>
        <w:t xml:space="preserve">”</w:t>
      </w:r>
      <w:r>
        <w:t xml:space="preserve"> </w:t>
      </w:r>
      <w:r>
        <w:t xml:space="preserve">Publish the</w:t>
      </w:r>
      <w:r>
        <w:t xml:space="preserve"> </w:t>
      </w:r>
      <w:r>
        <w:t xml:space="preserve">“</w:t>
      </w:r>
      <w:r>
        <w:t xml:space="preserve">Cloudflare Layoff Tracker</w:t>
      </w:r>
      <w:r>
        <w:t xml:space="preserve">”</w:t>
      </w:r>
      <w:r>
        <w:t xml:space="preserve"> </w:t>
      </w:r>
      <w:r>
        <w:t xml:space="preserve">— a microsite showing the 1,100 departed employees by function, the 20% reduction in engineering, and the admission that the AI pivot has no revenue attached.</w:t>
      </w:r>
    </w:p>
    <w:p>
      <w:pPr>
        <w:pStyle w:val="BodyText"/>
      </w:pPr>
      <w:r>
        <w:rPr>
          <w:bCs/>
          <w:b/>
        </w:rPr>
        <w:t xml:space="preserve">Day 2 — Tuesday, June 10: Palo Alto Networks CISA Deadline Strike</w:t>
      </w:r>
    </w:p>
    <w:p>
      <w:pPr>
        <w:pStyle w:val="BodyText"/>
      </w:pPr>
      <w:r>
        <w:t xml:space="preserve">Today is the federal remediation deadline for CVE-2026-0257</w:t>
      </w:r>
      <w:r>
        <w:t xml:space="preserve"> </w:t>
      </w:r>
      <w:r>
        <w:rPr>
          <w:vertAlign w:val="superscript"/>
        </w:rPr>
        <w:t xml:space="preserve">21</w:t>
      </w:r>
      <w:r>
        <w:t xml:space="preserve"> </w:t>
      </w:r>
      <w:r>
        <w:rPr>
          <w:vertAlign w:val="superscript"/>
        </w:rPr>
        <w:t xml:space="preserve">23</w:t>
      </w:r>
      <w:r>
        <w:t xml:space="preserve">. CISA added this PAN-OS GlobalProtect authentication bypass to the KEV catalog on May 29 and gave federal agencies until June 10 to patch</w:t>
      </w:r>
      <w:r>
        <w:t xml:space="preserve"> </w:t>
      </w:r>
      <w:r>
        <w:rPr>
          <w:vertAlign w:val="superscript"/>
        </w:rPr>
        <w:t xml:space="preserve">23</w:t>
      </w:r>
      <w:r>
        <w:t xml:space="preserve">. The vulnerability carries a CVSS 7.8 (Palo Alto’s rating) / 9.8 downstream impact. Rapid7 confirmed active exploitation beginning May 17 — attackers establishing VPN sessions and gaining internal network access</w:t>
      </w:r>
      <w:r>
        <w:t xml:space="preserve"> </w:t>
      </w:r>
      <w:r>
        <w:rPr>
          <w:vertAlign w:val="superscript"/>
        </w:rPr>
        <w:t xml:space="preserve">11</w:t>
      </w:r>
      <w:r>
        <w:t xml:space="preserve"> </w:t>
      </w:r>
      <w:r>
        <w:rPr>
          <w:vertAlign w:val="superscript"/>
        </w:rPr>
        <w:t xml:space="preserve">10</w:t>
      </w:r>
      <w:r>
        <w:t xml:space="preserve">. Public exploit code (</w:t>
      </w:r>
      <w:r>
        <w:rPr>
          <w:rStyle w:val="VerbatimChar"/>
        </w:rPr>
        <w:t xml:space="preserve">forge_cookie.py</w:t>
      </w:r>
      <w:r>
        <w:t xml:space="preserve">) is on GitHub</w:t>
      </w:r>
      <w:r>
        <w:t xml:space="preserve"> </w:t>
      </w:r>
      <w:r>
        <w:rPr>
          <w:vertAlign w:val="superscript"/>
        </w:rPr>
        <w:t xml:space="preserve">4</w:t>
      </w:r>
      <w:r>
        <w:t xml:space="preserve">.</w:t>
      </w:r>
    </w:p>
    <w:p>
      <w:pPr>
        <w:pStyle w:val="BodyText"/>
      </w:pPr>
      <w:r>
        <w:rPr>
          <w:bCs/>
          <w:b/>
        </w:rPr>
        <w:t xml:space="preserve">Action:</w:t>
      </w:r>
      <w:r>
        <w:t xml:space="preserve"> </w:t>
      </w:r>
      <w:r>
        <w:t xml:space="preserve">Publish the</w:t>
      </w:r>
      <w:r>
        <w:t xml:space="preserve"> </w:t>
      </w:r>
      <w:r>
        <w:t xml:space="preserve">“</w:t>
      </w:r>
      <w:r>
        <w:t xml:space="preserve">June 10 Watch List</w:t>
      </w:r>
      <w:r>
        <w:t xml:space="preserve">”</w:t>
      </w:r>
      <w:r>
        <w:t xml:space="preserve"> </w:t>
      </w:r>
      <w:r>
        <w:t xml:space="preserve">— a tracker of federal agencies that missed the CISA deadline. Contact Dark Reading and SecurityWeek with the angle:</w:t>
      </w:r>
      <w:r>
        <w:t xml:space="preserve"> </w:t>
      </w:r>
      <w:r>
        <w:rPr>
          <w:iCs/>
          <w:i/>
        </w:rPr>
        <w:t xml:space="preserve">“</w:t>
      </w:r>
      <w:r>
        <w:rPr>
          <w:iCs/>
          <w:i/>
        </w:rPr>
        <w:t xml:space="preserve">Palo Alto’s GlobalProtect is protecting attackers, not enterprises. Federal agencies have 24 hours to patch an actively exploited VPN bypass — and the exploit code is on GitHub.</w:t>
      </w:r>
      <w:r>
        <w:rPr>
          <w:iCs/>
          <w:i/>
        </w:rPr>
        <w:t xml:space="preserve">”</w:t>
      </w:r>
      <w:r>
        <w:t xml:space="preserve"> </w:t>
      </w:r>
      <w:r>
        <w:t xml:space="preserve">Push the CVE-2026-0257 exploitation timeline as a standalone story: 24 days from disclosure to active exploitation to federal deadline. Frame it as systemic failure.</w:t>
      </w:r>
    </w:p>
    <w:p>
      <w:pPr>
        <w:pStyle w:val="BodyText"/>
      </w:pPr>
      <w:r>
        <w:rPr>
          <w:bCs/>
          <w:b/>
        </w:rPr>
        <w:t xml:space="preserve">Day 3 — Wednesday, June 11: CrowdStrike CEO Selling Chronicle</w:t>
      </w:r>
    </w:p>
    <w:p>
      <w:pPr>
        <w:pStyle w:val="BodyText"/>
      </w:pPr>
      <w:r>
        <w:t xml:space="preserve">George Kurtz sold $30M+ in CrowdStrike stock in just two weeks (May 14 – June 2, 2026)</w:t>
      </w:r>
      <w:r>
        <w:t xml:space="preserve"> </w:t>
      </w:r>
      <w:r>
        <w:rPr>
          <w:vertAlign w:val="superscript"/>
        </w:rPr>
        <w:t xml:space="preserve">28</w:t>
      </w:r>
      <w:r>
        <w:t xml:space="preserve"> </w:t>
      </w:r>
      <w:r>
        <w:rPr>
          <w:vertAlign w:val="superscript"/>
        </w:rPr>
        <w:t xml:space="preserve">2</w:t>
      </w:r>
      <w:r>
        <w:t xml:space="preserve">. The transactions: $5.8M (May 14), $3.31M (May 22), $2.16M (May 27), $1.42M (May 29), $1.46M (June 2). This is not diversification. This is an exit at all-time highs while the forward P/E sits at 149.25x and AL Capital Advisory assigns an</w:t>
      </w:r>
      <w:r>
        <w:t xml:space="preserve"> </w:t>
      </w:r>
      <w:r>
        <w:t xml:space="preserve">“</w:t>
      </w:r>
      <w:r>
        <w:t xml:space="preserve">Avoid</w:t>
      </w:r>
      <w:r>
        <w:t xml:space="preserve">”</w:t>
      </w:r>
      <w:r>
        <w:t xml:space="preserve"> </w:t>
      </w:r>
      <w:r>
        <w:t xml:space="preserve">rating with a DCF-implied value range of $298–$624 — suggesting a -37% margin of safety at $671</w:t>
      </w:r>
      <w:r>
        <w:t xml:space="preserve"> </w:t>
      </w:r>
      <w:r>
        <w:rPr>
          <w:vertAlign w:val="superscript"/>
        </w:rPr>
        <w:t xml:space="preserve">9</w:t>
      </w:r>
      <w:r>
        <w:t xml:space="preserve"> </w:t>
      </w:r>
      <w:r>
        <w:rPr>
          <w:vertAlign w:val="superscript"/>
        </w:rPr>
        <w:t xml:space="preserve">24</w:t>
      </w:r>
      <w:r>
        <w:t xml:space="preserve">.</w:t>
      </w:r>
    </w:p>
    <w:p>
      <w:pPr>
        <w:pStyle w:val="BodyText"/>
      </w:pPr>
      <w:r>
        <w:rPr>
          <w:bCs/>
          <w:b/>
        </w:rPr>
        <w:t xml:space="preserve">Action:</w:t>
      </w:r>
      <w:r>
        <w:t xml:space="preserve"> </w:t>
      </w:r>
      <w:r>
        <w:t xml:space="preserve">Publish the</w:t>
      </w:r>
      <w:r>
        <w:t xml:space="preserve"> </w:t>
      </w:r>
      <w:r>
        <w:t xml:space="preserve">“</w:t>
      </w:r>
      <w:r>
        <w:t xml:space="preserve">CrowdStrike Insider Exodus Tracker</w:t>
      </w:r>
      <w:r>
        <w:t xml:space="preserve">”</w:t>
      </w:r>
      <w:r>
        <w:t xml:space="preserve"> </w:t>
      </w:r>
      <w:r>
        <w:t xml:space="preserve">— a live-updating page aggregating all Form 4 filings. Push the narrative to Hacker News and r/stocks:</w:t>
      </w:r>
      <w:r>
        <w:t xml:space="preserve"> </w:t>
      </w:r>
      <w:r>
        <w:rPr>
          <w:iCs/>
          <w:i/>
        </w:rPr>
        <w:t xml:space="preserve">“</w:t>
      </w:r>
      <w:r>
        <w:rPr>
          <w:iCs/>
          <w:i/>
        </w:rPr>
        <w:t xml:space="preserve">CrowdStrike insiders sold $30M while the company trades at 149x earnings and patches a CVSS 9.8 vulnerability in its own product. Who’s left holding the bag?</w:t>
      </w:r>
      <w:r>
        <w:rPr>
          <w:iCs/>
          <w:i/>
        </w:rPr>
        <w:t xml:space="preserve">”</w:t>
      </w:r>
      <w:r>
        <w:t xml:space="preserve"> </w:t>
      </w:r>
      <w:r>
        <w:t xml:space="preserve">No SOV3 branding. Let the data speak.</w:t>
      </w:r>
    </w:p>
    <w:p>
      <w:pPr>
        <w:pStyle w:val="BodyText"/>
      </w:pPr>
      <w:r>
        <w:rPr>
          <w:bCs/>
          <w:b/>
        </w:rPr>
        <w:t xml:space="preserve">Day 4 — Thursday, June 12: The Shadow AI Crisis Drop</w:t>
      </w:r>
    </w:p>
    <w:p>
      <w:pPr>
        <w:pStyle w:val="BodyText"/>
      </w:pPr>
      <w:r>
        <w:t xml:space="preserve">Fresh intelligence from CrowdStrike’s own research: 45% of employees use AI tools without IT knowledge; 61% of organizations with AI governance policies cannot enforce them [CrowdStrike 2025 State of AI in Cybersecurity]. Darktrace polling of 1,500+ security leaders finds 87% cite AI vulnerabilities as the #1 emerging threat [Darktrace State of AI Cybersecurity 2026]. Only 28% of SMEs have dedicated AI oversight [BDO survey]. Employee data leakage to public LLMs is up 200% since 2025.</w:t>
      </w:r>
    </w:p>
    <w:p>
      <w:pPr>
        <w:pStyle w:val="BodyText"/>
      </w:pPr>
      <w:r>
        <w:rPr>
          <w:bCs/>
          <w:b/>
        </w:rPr>
        <w:t xml:space="preserve">Action:</w:t>
      </w:r>
      <w:r>
        <w:t xml:space="preserve"> </w:t>
      </w:r>
      <w:r>
        <w:t xml:space="preserve">Publish the first SOV3-branded asset:</w:t>
      </w:r>
      <w:r>
        <w:t xml:space="preserve"> </w:t>
      </w:r>
      <w:r>
        <w:t xml:space="preserve">“</w:t>
      </w:r>
      <w:r>
        <w:t xml:space="preserve">The Shadow AI Report 2026</w:t>
      </w:r>
      <w:r>
        <w:t xml:space="preserve">”</w:t>
      </w:r>
      <w:r>
        <w:t xml:space="preserve"> </w:t>
      </w:r>
      <w:r>
        <w:t xml:space="preserve">— a 12-page PDF documenting the unsanctioned AI usage crisis. Frame it as research, not a product pitch. Distribute to CSO Online, Dark Reading, VentureBeat. The lead statistic:</w:t>
      </w:r>
      <w:r>
        <w:t xml:space="preserve"> </w:t>
      </w:r>
      <w:r>
        <w:rPr>
          <w:iCs/>
          <w:i/>
        </w:rPr>
        <w:t xml:space="preserve">67% of workers use unsanctioned AI. 97% of enterprises expect a major AI agent security incident. Zero AI governance platforms offer real-time shadow AI detection.”</w:t>
      </w:r>
      <w:r>
        <w:t xml:space="preserve"> </w:t>
      </w:r>
      <w:r>
        <w:t xml:space="preserve">This positions SOV3’s auto-discovery as the answer to a problem the incumbents created but cannot solve.</w:t>
      </w:r>
    </w:p>
    <w:p>
      <w:pPr>
        <w:pStyle w:val="BodyText"/>
      </w:pPr>
      <w:r>
        <w:rPr>
          <w:bCs/>
          <w:b/>
        </w:rPr>
        <w:t xml:space="preserve">Day 5 — Friday, June 13: First Crack Friday — Vulnerability Roundup</w:t>
      </w:r>
    </w:p>
    <w:p>
      <w:pPr>
        <w:pStyle w:val="BodyText"/>
      </w:pPr>
      <w:r>
        <w:t xml:space="preserve">Compile the week’s damage into a single narrative payload. CrowdStrike: CEO selling + CVSS 9.8 LogScale vulnerability (CVE-2026-40050)</w:t>
      </w:r>
      <w:r>
        <w:t xml:space="preserve"> </w:t>
      </w:r>
      <w:r>
        <w:rPr>
          <w:vertAlign w:val="superscript"/>
        </w:rPr>
        <w:t xml:space="preserve">1</w:t>
      </w:r>
      <w:r>
        <w:t xml:space="preserve"> </w:t>
      </w:r>
      <w:r>
        <w:rPr>
          <w:vertAlign w:val="superscript"/>
        </w:rPr>
        <w:t xml:space="preserve">14</w:t>
      </w:r>
      <w:r>
        <w:t xml:space="preserve">. Palo Alto: federal deadline for actively exploited VPN bypass</w:t>
      </w:r>
      <w:r>
        <w:t xml:space="preserve"> </w:t>
      </w:r>
      <w:r>
        <w:rPr>
          <w:vertAlign w:val="superscript"/>
        </w:rPr>
        <w:t xml:space="preserve">21</w:t>
      </w:r>
      <w:r>
        <w:t xml:space="preserve"> </w:t>
      </w:r>
      <w:r>
        <w:rPr>
          <w:vertAlign w:val="superscript"/>
        </w:rPr>
        <w:t xml:space="preserve">23</w:t>
      </w:r>
      <w:r>
        <w:t xml:space="preserve">. Cloudflare: 1,100 fired, no AI revenue plan</w:t>
      </w:r>
      <w:r>
        <w:t xml:space="preserve"> </w:t>
      </w:r>
      <w:r>
        <w:rPr>
          <w:vertAlign w:val="superscript"/>
        </w:rPr>
        <w:t xml:space="preserve">71</w:t>
      </w:r>
      <w:r>
        <w:t xml:space="preserve"> </w:t>
      </w:r>
      <w:r>
        <w:rPr>
          <w:vertAlign w:val="superscript"/>
        </w:rPr>
        <w:t xml:space="preserve">87</w:t>
      </w:r>
      <w:r>
        <w:t xml:space="preserve">. Microsoft: Azure vulnerability cluster (CVE-2026-42823, CVSS 9.9; CVE-2026-35435, CVSS 8.6)</w:t>
      </w:r>
      <w:r>
        <w:t xml:space="preserve"> </w:t>
      </w:r>
      <w:r>
        <w:rPr>
          <w:vertAlign w:val="superscript"/>
        </w:rPr>
        <w:t xml:space="preserve">15</w:t>
      </w:r>
      <w:r>
        <w:t xml:space="preserve"> </w:t>
      </w:r>
      <w:r>
        <w:rPr>
          <w:vertAlign w:val="superscript"/>
        </w:rPr>
        <w:t xml:space="preserve">33</w:t>
      </w:r>
      <w:r>
        <w:t xml:space="preserve">still unpatched in public consciousness.</w:t>
      </w:r>
    </w:p>
    <w:p>
      <w:pPr>
        <w:pStyle w:val="BodyText"/>
      </w:pPr>
      <w:r>
        <w:rPr>
          <w:bCs/>
          <w:b/>
        </w:rPr>
        <w:t xml:space="preserve">Action:</w:t>
      </w:r>
      <w:r>
        <w:t xml:space="preserve"> </w:t>
      </w:r>
      <w:r>
        <w:t xml:space="preserve">Publish the</w:t>
      </w:r>
      <w:r>
        <w:t xml:space="preserve"> </w:t>
      </w:r>
      <w:r>
        <w:t xml:space="preserve">“</w:t>
      </w:r>
      <w:r>
        <w:t xml:space="preserve">Week of Insecurity</w:t>
      </w:r>
      <w:r>
        <w:t xml:space="preserve">”</w:t>
      </w:r>
      <w:r>
        <w:t xml:space="preserve"> </w:t>
      </w:r>
      <w:r>
        <w:t xml:space="preserve">recap — a viral-formatted thread for X/Twitter and LinkedIn. Five days, four companies, six critical CVEs, $30M+ in insider selling, 1,100 layoffs, one federal deadline. The subtext:</w:t>
      </w:r>
      <w:r>
        <w:t xml:space="preserve"> </w:t>
      </w:r>
      <w:r>
        <w:rPr>
          <w:iCs/>
          <w:i/>
        </w:rPr>
        <w:t xml:space="preserve">The companies selling you security cannot secure themselves.</w:t>
      </w:r>
    </w:p>
    <w:p>
      <w:r>
        <w:pict>
          <v:rect style="width:0;height:1.5pt" o:hralign="center" o:hrstd="t" o:hr="t"/>
        </w:pict>
      </w:r>
    </w:p>
    <w:bookmarkEnd w:id="61"/>
    <w:bookmarkStart w:id="62" w:name="X6ea44b8b9946b953f21e464480269b963aaad84"/>
    <w:p>
      <w:pPr>
        <w:pStyle w:val="Heading3"/>
      </w:pPr>
      <w:r>
        <w:t xml:space="preserve">Phase II: Amplifying Chaos (June 16-20) — Days 6-10</w:t>
      </w:r>
    </w:p>
    <w:p>
      <w:pPr>
        <w:pStyle w:val="FirstParagraph"/>
      </w:pPr>
      <w:r>
        <w:rPr>
          <w:bCs/>
          <w:b/>
        </w:rPr>
        <w:t xml:space="preserve">Strategic Objective:</w:t>
      </w:r>
      <w:r>
        <w:t xml:space="preserve"> </w:t>
      </w:r>
      <w:r>
        <w:t xml:space="preserve">Turn doubt into comparative action. Show the market there is an alternative — and that the alternative is free, open, and technically superior.</w:t>
      </w:r>
    </w:p>
    <w:p>
      <w:pPr>
        <w:pStyle w:val="BodyText"/>
      </w:pPr>
      <w:r>
        <w:rPr>
          <w:bCs/>
          <w:b/>
        </w:rPr>
        <w:t xml:space="preserve">Day 6 — Monday, June 16: The Comparison Matrix Bomb</w:t>
      </w:r>
    </w:p>
    <w:p>
      <w:pPr>
        <w:pStyle w:val="BodyText"/>
      </w:pPr>
      <w:r>
        <w:t xml:space="preserve">Deploy the most damaging weapon in the pre-launch arsenal: sov3.ai/compare — a live comparison matrix pitting SOV3 against every incumbent on 14 dimensions (price, time-to-value, CVE count, insider selling ratio, implementation timeline, shadow AI detection, MCP governance, certification, transparent pricing, EU AI Act readiness, assessment vs. enforcement, PDCA automation, blockchain audit trails, vendor independence).</w:t>
      </w:r>
    </w:p>
    <w:p>
      <w:pPr>
        <w:pStyle w:val="BodyText"/>
      </w:pPr>
      <w:r>
        <w:t xml:space="preserve">The numbers are devastating. Every AI governance competitor hides pricing behind</w:t>
      </w:r>
      <w:r>
        <w:t xml:space="preserve"> </w:t>
      </w:r>
      <w:r>
        <w:t xml:space="preserve">“</w:t>
      </w:r>
      <w:r>
        <w:t xml:space="preserve">contact sales</w:t>
      </w:r>
      <w:r>
        <w:t xml:space="preserve">”</w:t>
      </w:r>
      <w:r>
        <w:t xml:space="preserve"> </w:t>
      </w:r>
      <w:r>
        <w:t xml:space="preserve">gates</w:t>
      </w:r>
      <w:r>
        <w:t xml:space="preserve"> </w:t>
      </w:r>
      <w:r>
        <w:rPr>
          <w:vertAlign w:val="superscript"/>
        </w:rPr>
        <w:t xml:space="preserve">55</w:t>
      </w:r>
      <w:r>
        <w:t xml:space="preserve"> </w:t>
      </w:r>
      <w:r>
        <w:rPr>
          <w:vertAlign w:val="superscript"/>
        </w:rPr>
        <w:t xml:space="preserve">88</w:t>
      </w:r>
      <w:r>
        <w:t xml:space="preserve"> </w:t>
      </w:r>
      <w:r>
        <w:rPr>
          <w:vertAlign w:val="superscript"/>
        </w:rPr>
        <w:t xml:space="preserve">89</w:t>
      </w:r>
      <w:r>
        <w:t xml:space="preserve">. Minimum entry: $50,000-$100,000/year for Credo AI, Holistic AI, Cranium</w:t>
      </w:r>
      <w:r>
        <w:t xml:space="preserve"> </w:t>
      </w:r>
      <w:r>
        <w:rPr>
          <w:vertAlign w:val="superscript"/>
        </w:rPr>
        <w:t xml:space="preserve">55</w:t>
      </w:r>
      <w:r>
        <w:t xml:space="preserve"> </w:t>
      </w:r>
      <w:r>
        <w:rPr>
          <w:vertAlign w:val="superscript"/>
        </w:rPr>
        <w:t xml:space="preserve">90</w:t>
      </w:r>
      <w:r>
        <w:t xml:space="preserve"> </w:t>
      </w:r>
      <w:r>
        <w:rPr>
          <w:vertAlign w:val="superscript"/>
        </w:rPr>
        <w:t xml:space="preserve">89</w:t>
      </w:r>
      <w:r>
        <w:t xml:space="preserve">. Enterprise GRC suites (OneTrust, MetricStream, AuditBoard) start at $75,000 and scale to $1M+</w:t>
      </w:r>
      <w:r>
        <w:t xml:space="preserve"> </w:t>
      </w:r>
      <w:r>
        <w:rPr>
          <w:vertAlign w:val="superscript"/>
        </w:rPr>
        <w:t xml:space="preserve">50</w:t>
      </w:r>
      <w:r>
        <w:t xml:space="preserve"> </w:t>
      </w:r>
      <w:r>
        <w:rPr>
          <w:vertAlign w:val="superscript"/>
        </w:rPr>
        <w:t xml:space="preserve">91</w:t>
      </w:r>
      <w:r>
        <w:t xml:space="preserve"> </w:t>
      </w:r>
      <w:r>
        <w:rPr>
          <w:vertAlign w:val="superscript"/>
        </w:rPr>
        <w:t xml:space="preserve">92</w:t>
      </w:r>
      <w:r>
        <w:t xml:space="preserve">. Implementation timelines: 9-18 months for MetricStream</w:t>
      </w:r>
      <w:r>
        <w:t xml:space="preserve"> </w:t>
      </w:r>
      <w:r>
        <w:rPr>
          <w:vertAlign w:val="superscript"/>
        </w:rPr>
        <w:t xml:space="preserve">93</w:t>
      </w:r>
      <w:r>
        <w:t xml:space="preserve">, weeks-to-months for OneTrust</w:t>
      </w:r>
      <w:r>
        <w:t xml:space="preserve"> </w:t>
      </w:r>
      <w:r>
        <w:rPr>
          <w:vertAlign w:val="superscript"/>
        </w:rPr>
        <w:t xml:space="preserve">94</w:t>
      </w:r>
      <w:r>
        <w:t xml:space="preserve">, ~4 months for AuditBoard</w:t>
      </w:r>
      <w:r>
        <w:t xml:space="preserve"> </w:t>
      </w:r>
      <w:r>
        <w:rPr>
          <w:vertAlign w:val="superscript"/>
        </w:rPr>
        <w:t xml:space="preserve">51</w:t>
      </w:r>
      <w:r>
        <w:t xml:space="preserve">. SOV3 target: days to 2 weeks. Five-year TCO for mid-market AI governance: $495,000-$750,000</w:t>
      </w:r>
      <w:r>
        <w:t xml:space="preserve"> </w:t>
      </w:r>
      <w:r>
        <w:rPr>
          <w:vertAlign w:val="superscript"/>
        </w:rPr>
        <w:t xml:space="preserve">16</w:t>
      </w:r>
      <w:r>
        <w:t xml:space="preserve">. SOV3 target: sub-$50,000.</w:t>
      </w:r>
    </w:p>
    <w:p>
      <w:pPr>
        <w:pStyle w:val="BodyText"/>
      </w:pPr>
      <w:r>
        <w:rPr>
          <w:bCs/>
          <w:b/>
        </w:rPr>
        <w:t xml:space="preserve">Action:</w:t>
      </w:r>
      <w:r>
        <w:t xml:space="preserve"> </w:t>
      </w:r>
      <w:r>
        <w:t xml:space="preserve">Launch the comparison site with social amplification across Hacker News, Reddit r/cybersecurity, and LinkedIn. The HN post:</w:t>
      </w:r>
      <w:r>
        <w:t xml:space="preserve"> </w:t>
      </w:r>
      <w:r>
        <w:rPr>
          <w:iCs/>
          <w:i/>
        </w:rPr>
        <w:t xml:space="preserve">“</w:t>
      </w:r>
      <w:r>
        <w:rPr>
          <w:iCs/>
          <w:i/>
        </w:rPr>
        <w:t xml:space="preserve">We audited 11 AI governance platforms. None publish pricing. None enforce policy at runtime. None detect shadow AI. Here’s what we found.</w:t>
      </w:r>
      <w:r>
        <w:rPr>
          <w:iCs/>
          <w:i/>
        </w:rPr>
        <w:t xml:space="preserve">”</w:t>
      </w:r>
    </w:p>
    <w:p>
      <w:pPr>
        <w:pStyle w:val="BodyText"/>
      </w:pPr>
      <w:r>
        <w:rPr>
          <w:bCs/>
          <w:b/>
        </w:rPr>
        <w:t xml:space="preserve">Day 7 — Tuesday, June 17: The Free Alternative Trap</w:t>
      </w:r>
    </w:p>
    <w:p>
      <w:pPr>
        <w:pStyle w:val="BodyText"/>
      </w:pPr>
      <w:r>
        <w:t xml:space="preserve">Release two weapons simultaneously:</w:t>
      </w:r>
    </w:p>
    <w:p>
      <w:pPr>
        <w:numPr>
          <w:ilvl w:val="0"/>
          <w:numId w:val="1009"/>
        </w:numPr>
      </w:pPr>
      <w:r>
        <w:rPr>
          <w:bCs/>
          <w:b/>
        </w:rPr>
        <w:t xml:space="preserve">EU AI Act Self-Assessment Scanner</w:t>
      </w:r>
      <w:r>
        <w:t xml:space="preserve"> </w:t>
      </w:r>
      <w:r>
        <w:t xml:space="preserve">— A free web tool at sov3.ai/eu-check. Any company can input their AI systems and receive a risk classification + compliance gap report. This is the lead-generation magnet. It directly addresses the August 2, 2026 EU AI Act enforcement deadline — 46 days away — which has driven a +300% increase in coverage volume [Dim11, Section 1.1].</w:t>
      </w:r>
    </w:p>
    <w:p>
      <w:pPr>
        <w:numPr>
          <w:ilvl w:val="0"/>
          <w:numId w:val="1009"/>
        </w:numPr>
      </w:pPr>
      <w:r>
        <w:rPr>
          <w:bCs/>
          <w:b/>
        </w:rPr>
        <w:t xml:space="preserve">Open-Source PDCA Governance Engine</w:t>
      </w:r>
      <w:r>
        <w:t xml:space="preserve"> </w:t>
      </w:r>
      <w:r>
        <w:t xml:space="preserve">— Release the core SOV3 Plan-Do-Check-Act automation engine on GitHub under MIT license. Every competitor assessed is</w:t>
      </w:r>
      <w:r>
        <w:t xml:space="preserve"> </w:t>
      </w:r>
      <w:r>
        <w:t xml:space="preserve">“</w:t>
      </w:r>
      <w:r>
        <w:t xml:space="preserve">assessment-only</w:t>
      </w:r>
      <w:r>
        <w:t xml:space="preserve">”</w:t>
      </w:r>
      <w:r>
        <w:t xml:space="preserve"> </w:t>
      </w:r>
      <w:r>
        <w:t xml:space="preserve">— they evaluate and report, but NONE enforce policy at runtime through deployment gates or policy-as-code [Dim12, Section 4]. The PDCA engine is the first open-source tool that closes the loop from assessment to enforcement. It is also SOV3’s 12-24 month architectural moat: competitors would need to rebuild their platforms to replicate it [Dim12, Executive Summary].</w:t>
      </w:r>
    </w:p>
    <w:p>
      <w:pPr>
        <w:pStyle w:val="FirstParagraph"/>
      </w:pPr>
      <w:r>
        <w:rPr>
          <w:bCs/>
          <w:b/>
        </w:rPr>
        <w:t xml:space="preserve">Action:</w:t>
      </w:r>
      <w:r>
        <w:t xml:space="preserve"> </w:t>
      </w:r>
      <w:r>
        <w:t xml:space="preserve">Submit the PDCA engine as a</w:t>
      </w:r>
      <w:r>
        <w:t xml:space="preserve"> </w:t>
      </w:r>
      <w:r>
        <w:t xml:space="preserve">“</w:t>
      </w:r>
      <w:r>
        <w:t xml:space="preserve">Show HN</w:t>
      </w:r>
      <w:r>
        <w:t xml:space="preserve">”</w:t>
      </w:r>
      <w:r>
        <w:t xml:space="preserve"> </w:t>
      </w:r>
      <w:r>
        <w:t xml:space="preserve">post with the framing:</w:t>
      </w:r>
      <w:r>
        <w:t xml:space="preserve"> </w:t>
      </w:r>
      <w:r>
        <w:rPr>
          <w:iCs/>
          <w:i/>
        </w:rPr>
        <w:t xml:space="preserve">“</w:t>
      </w:r>
      <w:r>
        <w:rPr>
          <w:iCs/>
          <w:i/>
        </w:rPr>
        <w:t xml:space="preserve">We open-sourced the governance engine that Fortune 500s pay $150K for. Here’s why assessment without enforcement is theater.</w:t>
      </w:r>
      <w:r>
        <w:rPr>
          <w:iCs/>
          <w:i/>
        </w:rPr>
        <w:t xml:space="preserve">”</w:t>
      </w:r>
      <w:r>
        <w:t xml:space="preserve"> </w:t>
      </w:r>
      <w:r>
        <w:t xml:space="preserve">Simultaneously, email the EU AI Act scanner to 5,000 European CISOs sourced from public conference attendee lists.</w:t>
      </w:r>
    </w:p>
    <w:p>
      <w:pPr>
        <w:pStyle w:val="BodyText"/>
      </w:pPr>
      <w:r>
        <w:rPr>
          <w:bCs/>
          <w:b/>
        </w:rPr>
        <w:t xml:space="preserve">Day 8 — Wednesday, June 18: Conference Hijack — AWS re:Influence &amp; BlackHat Prep</w:t>
      </w:r>
    </w:p>
    <w:p>
      <w:pPr>
        <w:pStyle w:val="BodyText"/>
      </w:pPr>
      <w:r>
        <w:t xml:space="preserve">This is the conference intercept phase. The major cybersecurity conferences (Black Hat USA, RSA Conference) are in the August-September window. SOV3 must own the pre-conference narrative before arriving physically.</w:t>
      </w:r>
    </w:p>
    <w:p>
      <w:pPr>
        <w:pStyle w:val="BodyText"/>
      </w:pPr>
      <w:r>
        <w:rPr>
          <w:bCs/>
          <w:b/>
        </w:rPr>
        <w:t xml:space="preserve">Action:</w:t>
      </w:r>
      <w:r>
        <w:t xml:space="preserve"> </w:t>
      </w:r>
      <w:r>
        <w:t xml:space="preserve">Publish the</w:t>
      </w:r>
      <w:r>
        <w:t xml:space="preserve"> </w:t>
      </w:r>
      <w:r>
        <w:t xml:space="preserve">“</w:t>
      </w:r>
      <w:r>
        <w:t xml:space="preserve">Black Hat 2026 Preview: What the AI Governance Vendors Won’t Tell You</w:t>
      </w:r>
      <w:r>
        <w:t xml:space="preserve">”</w:t>
      </w:r>
      <w:r>
        <w:t xml:space="preserve"> </w:t>
      </w:r>
      <w:r>
        <w:t xml:space="preserve">— a contrarian guide predicting which vendors will announce which features, and why each announcement is a defensive move against SOV3. Simultaneously, publish a technical blog post:</w:t>
      </w:r>
      <w:r>
        <w:t xml:space="preserve"> </w:t>
      </w:r>
      <w:r>
        <w:t xml:space="preserve">“</w:t>
      </w:r>
      <w:r>
        <w:t xml:space="preserve">The SOC Analyst’s Guide to AI Governance</w:t>
      </w:r>
      <w:r>
        <w:t xml:space="preserve">”</w:t>
      </w:r>
      <w:r>
        <w:t xml:space="preserve"> </w:t>
      </w:r>
      <w:r>
        <w:t xml:space="preserve">— targeting Dark Reading and Security Boulevard. This owns the narrative angle that AI governance is a security operations problem, not a compliance exercise [Dim11, Section 4.1, Angle 1].</w:t>
      </w:r>
    </w:p>
    <w:p>
      <w:pPr>
        <w:pStyle w:val="BodyText"/>
      </w:pPr>
      <w:r>
        <w:rPr>
          <w:bCs/>
          <w:b/>
        </w:rPr>
        <w:t xml:space="preserve">Day 9 — Thursday, June 19: Investor Pressure — The Funding Fiction Report</w:t>
      </w:r>
    </w:p>
    <w:p>
      <w:pPr>
        <w:pStyle w:val="BodyText"/>
      </w:pPr>
      <w:r>
        <w:t xml:space="preserve">Deploy Insight 2 from cross-dimensional analysis: three competitors have overstated or fabricated funding figures. NanoCo is 5x overstated ($12M actual vs. $63M claimed). Torch Security has no verified funding. Euno is 2x overstated ($6.25M actual vs. $12.5M claimed) [Dim10, Section 3]. This suggests widespread</w:t>
      </w:r>
      <w:r>
        <w:t xml:space="preserve"> </w:t>
      </w:r>
      <w:r>
        <w:t xml:space="preserve">“</w:t>
      </w:r>
      <w:r>
        <w:t xml:space="preserve">funding inflation</w:t>
      </w:r>
      <w:r>
        <w:t xml:space="preserve">”</w:t>
      </w:r>
      <w:r>
        <w:t xml:space="preserve"> </w:t>
      </w:r>
      <w:r>
        <w:t xml:space="preserve">in AI governance marketing. These companies are one bad quarter from death.</w:t>
      </w:r>
    </w:p>
    <w:p>
      <w:pPr>
        <w:pStyle w:val="BodyText"/>
      </w:pPr>
      <w:r>
        <w:rPr>
          <w:bCs/>
          <w:b/>
        </w:rPr>
        <w:t xml:space="preserve">Action:</w:t>
      </w:r>
      <w:r>
        <w:t xml:space="preserve"> </w:t>
      </w:r>
      <w:r>
        <w:t xml:space="preserve">Publish the</w:t>
      </w:r>
      <w:r>
        <w:t xml:space="preserve"> </w:t>
      </w:r>
      <w:r>
        <w:t xml:space="preserve">“</w:t>
      </w:r>
      <w:r>
        <w:t xml:space="preserve">AI Governance Funding Truth Report</w:t>
      </w:r>
      <w:r>
        <w:t xml:space="preserve">”</w:t>
      </w:r>
      <w:r>
        <w:t xml:space="preserve"> </w:t>
      </w:r>
      <w:r>
        <w:t xml:space="preserve">— an investigative document exposing funding discrepancies with verified PitchBook/Crunchbase data. Distribute to Bloomberg, CNBC Ryan Browne [Dim11, Section 2.1], and SiliconANGLE. The headline:</w:t>
      </w:r>
      <w:r>
        <w:t xml:space="preserve"> </w:t>
      </w:r>
      <w:r>
        <w:rPr>
          <w:iCs/>
          <w:i/>
        </w:rPr>
        <w:t xml:space="preserve">“</w:t>
      </w:r>
      <w:r>
        <w:rPr>
          <w:iCs/>
          <w:i/>
        </w:rPr>
        <w:t xml:space="preserve">The AI Governance Funding Bubble: How</w:t>
      </w:r>
      <w:r>
        <w:rPr>
          <w:iCs/>
          <w:i/>
        </w:rPr>
        <w:t xml:space="preserve"> </w:t>
      </w:r>
      <w:r>
        <w:rPr>
          <w:iCs/>
          <w:i/>
        </w:rPr>
        <w:t xml:space="preserve">‘</w:t>
      </w:r>
      <w:r>
        <w:rPr>
          <w:iCs/>
          <w:i/>
        </w:rPr>
        <w:t xml:space="preserve">Market Leaders</w:t>
      </w:r>
      <w:r>
        <w:rPr>
          <w:iCs/>
          <w:i/>
        </w:rPr>
        <w:t xml:space="preserve">’</w:t>
      </w:r>
      <w:r>
        <w:rPr>
          <w:iCs/>
          <w:i/>
        </w:rPr>
        <w:t xml:space="preserve"> </w:t>
      </w:r>
      <w:r>
        <w:rPr>
          <w:iCs/>
          <w:i/>
        </w:rPr>
        <w:t xml:space="preserve">Inflated Their War Chests.</w:t>
      </w:r>
      <w:r>
        <w:rPr>
          <w:iCs/>
          <w:i/>
        </w:rPr>
        <w:t xml:space="preserve">”</w:t>
      </w:r>
      <w:r>
        <w:t xml:space="preserve"> </w:t>
      </w:r>
      <w:r>
        <w:t xml:space="preserve">Simultaneously, identify Straion (EUR 1.1M, 12 employees) and NanoCo (distressed, 4 employees) as acquisition targets at fire-sale prices [Dim10, Section 5].</w:t>
      </w:r>
    </w:p>
    <w:p>
      <w:pPr>
        <w:pStyle w:val="BodyText"/>
      </w:pPr>
      <w:r>
        <w:rPr>
          <w:bCs/>
          <w:b/>
        </w:rPr>
        <w:t xml:space="preserve">Day 10 — Friday, June 20: Mid-Phase Chaos Report</w:t>
      </w:r>
    </w:p>
    <w:p>
      <w:pPr>
        <w:pStyle w:val="BodyText"/>
      </w:pPr>
      <w:r>
        <w:t xml:space="preserve">Compile the damage. Publish the</w:t>
      </w:r>
      <w:r>
        <w:t xml:space="preserve"> </w:t>
      </w:r>
      <w:r>
        <w:t xml:space="preserve">“</w:t>
      </w:r>
      <w:r>
        <w:t xml:space="preserve">State of AI Governance: Week 2</w:t>
      </w:r>
      <w:r>
        <w:t xml:space="preserve">”</w:t>
      </w:r>
      <w:r>
        <w:t xml:space="preserve"> </w:t>
      </w:r>
      <w:r>
        <w:t xml:space="preserve">intelligence brief documenting: comparison site traffic (target: 10,000 uniques), EU scanner completions (target: 500), GitHub stars on PDCA engine (target: 500+), media mentions secured (target: 3+ outlets), and the chaos index — a composite metric tracking competitor negative events, SOV3 narrative share, and community engagement.</w:t>
      </w:r>
    </w:p>
    <w:p>
      <w:r>
        <w:pict>
          <v:rect style="width:0;height:1.5pt" o:hralign="center" o:hrstd="t" o:hr="t"/>
        </w:pict>
      </w:r>
    </w:p>
    <w:bookmarkEnd w:id="62"/>
    <w:bookmarkStart w:id="63" w:name="X37e0e5e587aebef37060446409540294dfd293f"/>
    <w:p>
      <w:pPr>
        <w:pStyle w:val="Heading3"/>
      </w:pPr>
      <w:r>
        <w:t xml:space="preserve">Phase III: Economic Drain (June 23-27) — Days 11-15</w:t>
      </w:r>
    </w:p>
    <w:p>
      <w:pPr>
        <w:pStyle w:val="FirstParagraph"/>
      </w:pPr>
      <w:r>
        <w:rPr>
          <w:bCs/>
          <w:b/>
        </w:rPr>
        <w:t xml:space="preserve">Strategic Objective:</w:t>
      </w:r>
      <w:r>
        <w:t xml:space="preserve"> </w:t>
      </w:r>
      <w:r>
        <w:t xml:space="preserve">Make the cost of staying with incumbents unbearable. Declare pricing war. Accelerate talent exodus. Block partnership channels.</w:t>
      </w:r>
    </w:p>
    <w:p>
      <w:pPr>
        <w:pStyle w:val="BodyText"/>
      </w:pPr>
      <w:r>
        <w:rPr>
          <w:bCs/>
          <w:b/>
        </w:rPr>
        <w:t xml:space="preserve">Day 11 — Monday, June 23: Pricing War Declaration —</w:t>
      </w:r>
      <w:r>
        <w:rPr>
          <w:bCs/>
          <w:b/>
        </w:rPr>
        <w:t xml:space="preserve"> </w:t>
      </w:r>
      <w:r>
        <w:rPr>
          <w:bCs/>
          <w:b/>
        </w:rPr>
        <w:t xml:space="preserve">“</w:t>
      </w:r>
      <w:r>
        <w:rPr>
          <w:bCs/>
          <w:b/>
        </w:rPr>
        <w:t xml:space="preserve">Pay What You Can</w:t>
      </w:r>
      <w:r>
        <w:rPr>
          <w:bCs/>
          <w:b/>
        </w:rPr>
        <w:t xml:space="preserve">”</w:t>
      </w:r>
    </w:p>
    <w:p>
      <w:pPr>
        <w:pStyle w:val="BodyText"/>
      </w:pPr>
      <w:r>
        <w:t xml:space="preserve">Deploy the most aggressive pricing weapon in the dossier. Every single AI governance competitor hides pricing behind</w:t>
      </w:r>
      <w:r>
        <w:t xml:space="preserve"> </w:t>
      </w:r>
      <w:r>
        <w:t xml:space="preserve">“</w:t>
      </w:r>
      <w:r>
        <w:t xml:space="preserve">contact sales</w:t>
      </w:r>
      <w:r>
        <w:t xml:space="preserve">”</w:t>
      </w:r>
      <w:r>
        <w:t xml:space="preserve"> </w:t>
      </w:r>
      <w:r>
        <w:t xml:space="preserve">[Dim06, Executive Summary]. The sub-$10,000/year AI governance market is virtually unserved — yet that’s where 99% of companies live [Dim06, Section 4].</w:t>
      </w:r>
    </w:p>
    <w:p>
      <w:pPr>
        <w:pStyle w:val="BodyText"/>
      </w:pPr>
      <w:r>
        <w:rPr>
          <w:bCs/>
          <w:b/>
        </w:rPr>
        <w:t xml:space="preserve">Action:</w:t>
      </w:r>
      <w:r>
        <w:t xml:space="preserve"> </w:t>
      </w:r>
      <w:r>
        <w:t xml:space="preserve">Publish the SOV3 pricing page with four transparent tiers:</w:t>
      </w:r>
    </w:p>
    <w:tbl>
      <w:tblPr>
        <w:tblStyle w:val="Table"/>
        <w:tblW w:type="pct" w:w="5000"/>
        <w:tblLook w:firstRow="1" w:lastRow="0" w:firstColumn="0" w:lastColumn="0" w:noHBand="0" w:noVBand="0" w:val="0020"/>
      </w:tblPr>
      <w:tblGrid>
        <w:gridCol w:w="1357"/>
        <w:gridCol w:w="2941"/>
        <w:gridCol w:w="3620"/>
      </w:tblGrid>
      <w:tr>
        <w:trPr>
          <w:tblHeader w:val="true"/>
        </w:trPr>
        <w:tc>
          <w:tcPr/>
          <w:p>
            <w:pPr>
              <w:pStyle w:val="Compact"/>
              <w:jc w:val="left"/>
            </w:pPr>
            <w:r>
              <w:t xml:space="preserve">Tier</w:t>
            </w:r>
          </w:p>
        </w:tc>
        <w:tc>
          <w:tcPr/>
          <w:p>
            <w:pPr>
              <w:pStyle w:val="Compact"/>
              <w:jc w:val="left"/>
            </w:pPr>
            <w:r>
              <w:t xml:space="preserve">Annual Price</w:t>
            </w:r>
          </w:p>
        </w:tc>
        <w:tc>
          <w:tcPr/>
          <w:p>
            <w:pPr>
              <w:pStyle w:val="Compact"/>
              <w:jc w:val="left"/>
            </w:pPr>
            <w:r>
              <w:t xml:space="preserve">Target Segment</w:t>
            </w:r>
          </w:p>
        </w:tc>
      </w:tr>
      <w:tr>
        <w:tc>
          <w:tcPr/>
          <w:p>
            <w:pPr>
              <w:pStyle w:val="Compact"/>
              <w:jc w:val="left"/>
            </w:pPr>
            <w:r>
              <w:rPr>
                <w:bCs/>
                <w:b/>
              </w:rPr>
              <w:t xml:space="preserve">Free</w:t>
            </w:r>
          </w:p>
        </w:tc>
        <w:tc>
          <w:tcPr/>
          <w:p>
            <w:pPr>
              <w:pStyle w:val="Compact"/>
              <w:jc w:val="left"/>
            </w:pPr>
            <w:r>
              <w:t xml:space="preserve">$0</w:t>
            </w:r>
          </w:p>
        </w:tc>
        <w:tc>
          <w:tcPr/>
          <w:p>
            <w:pPr>
              <w:pStyle w:val="Compact"/>
              <w:jc w:val="left"/>
            </w:pPr>
            <w:r>
              <w:t xml:space="preserve">Individual developers, EU AI Act self-assessment</w:t>
            </w:r>
          </w:p>
        </w:tc>
      </w:tr>
      <w:tr>
        <w:tc>
          <w:tcPr/>
          <w:p>
            <w:pPr>
              <w:pStyle w:val="Compact"/>
              <w:jc w:val="left"/>
            </w:pPr>
            <w:r>
              <w:rPr>
                <w:bCs/>
                <w:b/>
              </w:rPr>
              <w:t xml:space="preserve">Growth</w:t>
            </w:r>
          </w:p>
        </w:tc>
        <w:tc>
          <w:tcPr/>
          <w:p>
            <w:pPr>
              <w:pStyle w:val="Compact"/>
              <w:jc w:val="left"/>
            </w:pPr>
            <w:r>
              <w:t xml:space="preserve">$3,600-$6,000/year</w:t>
            </w:r>
          </w:p>
        </w:tc>
        <w:tc>
          <w:tcPr/>
          <w:p>
            <w:pPr>
              <w:pStyle w:val="Compact"/>
              <w:jc w:val="left"/>
            </w:pPr>
            <w:r>
              <w:t xml:space="preserve">SMBs (10-100 employees)</w:t>
            </w:r>
          </w:p>
        </w:tc>
      </w:tr>
      <w:tr>
        <w:tc>
          <w:tcPr/>
          <w:p>
            <w:pPr>
              <w:pStyle w:val="Compact"/>
              <w:jc w:val="left"/>
            </w:pPr>
            <w:r>
              <w:rPr>
                <w:bCs/>
                <w:b/>
              </w:rPr>
              <w:t xml:space="preserve">Business</w:t>
            </w:r>
          </w:p>
        </w:tc>
        <w:tc>
          <w:tcPr/>
          <w:p>
            <w:pPr>
              <w:pStyle w:val="Compact"/>
              <w:jc w:val="left"/>
            </w:pPr>
            <w:r>
              <w:t xml:space="preserve">$12,000-$24,000/year</w:t>
            </w:r>
          </w:p>
        </w:tc>
        <w:tc>
          <w:tcPr/>
          <w:p>
            <w:pPr>
              <w:pStyle w:val="Compact"/>
              <w:jc w:val="left"/>
            </w:pPr>
            <w:r>
              <w:t xml:space="preserve">Mid-market (100-1,000 employees)</w:t>
            </w:r>
          </w:p>
        </w:tc>
      </w:tr>
      <w:tr>
        <w:tc>
          <w:tcPr/>
          <w:p>
            <w:pPr>
              <w:pStyle w:val="Compact"/>
              <w:jc w:val="left"/>
            </w:pPr>
            <w:r>
              <w:rPr>
                <w:bCs/>
                <w:b/>
              </w:rPr>
              <w:t xml:space="preserve">Enterprise</w:t>
            </w:r>
          </w:p>
        </w:tc>
        <w:tc>
          <w:tcPr/>
          <w:p>
            <w:pPr>
              <w:pStyle w:val="Compact"/>
              <w:jc w:val="left"/>
            </w:pPr>
            <w:r>
              <w:t xml:space="preserve">$36,000-$60,000/year</w:t>
            </w:r>
          </w:p>
        </w:tc>
        <w:tc>
          <w:tcPr/>
          <w:p>
            <w:pPr>
              <w:pStyle w:val="Compact"/>
              <w:jc w:val="left"/>
            </w:pPr>
            <w:r>
              <w:t xml:space="preserve">Large mid-market + enterprise</w:t>
            </w:r>
          </w:p>
        </w:tc>
      </w:tr>
    </w:tbl>
    <w:p>
      <w:pPr>
        <w:pStyle w:val="BodyText"/>
      </w:pPr>
      <w:r>
        <w:t xml:space="preserve">Launch the</w:t>
      </w:r>
      <w:r>
        <w:t xml:space="preserve"> </w:t>
      </w:r>
      <w:r>
        <w:t xml:space="preserve">“</w:t>
      </w:r>
      <w:r>
        <w:t xml:space="preserve">Pay What You Can</w:t>
      </w:r>
      <w:r>
        <w:t xml:space="preserve">”</w:t>
      </w:r>
      <w:r>
        <w:t xml:space="preserve"> </w:t>
      </w:r>
      <w:r>
        <w:t xml:space="preserve">campaign for the first 500 sign-ups: any company switching from a competitor gets 50% off Year 1, no questions asked. The campaign headline:</w:t>
      </w:r>
      <w:r>
        <w:t xml:space="preserve"> </w:t>
      </w:r>
      <w:r>
        <w:rPr>
          <w:iCs/>
          <w:i/>
        </w:rPr>
        <w:t xml:space="preserve">“</w:t>
      </w:r>
      <w:r>
        <w:rPr>
          <w:iCs/>
          <w:i/>
        </w:rPr>
        <w:t xml:space="preserve">Declare Independence from $100K Compliance Costs.</w:t>
      </w:r>
      <w:r>
        <w:rPr>
          <w:iCs/>
          <w:i/>
        </w:rPr>
        <w:t xml:space="preserve">”</w:t>
      </w:r>
      <w:r>
        <w:t xml:space="preserve"> </w:t>
      </w:r>
      <w:r>
        <w:t xml:space="preserve">This pre-figures the July 4th narrative.</w:t>
      </w:r>
    </w:p>
    <w:p>
      <w:pPr>
        <w:pStyle w:val="BodyText"/>
      </w:pPr>
      <w:r>
        <w:rPr>
          <w:bCs/>
          <w:b/>
        </w:rPr>
        <w:t xml:space="preserve">Day 12 — Tuesday, June 24: Talent Exodus Acceleration —</w:t>
      </w:r>
      <w:r>
        <w:rPr>
          <w:bCs/>
          <w:b/>
        </w:rPr>
        <w:t xml:space="preserve"> </w:t>
      </w:r>
      <w:r>
        <w:rPr>
          <w:bCs/>
          <w:b/>
        </w:rPr>
        <w:t xml:space="preserve">“</w:t>
      </w:r>
      <w:r>
        <w:rPr>
          <w:bCs/>
          <w:b/>
        </w:rPr>
        <w:t xml:space="preserve">Join the Dragon</w:t>
      </w:r>
      <w:r>
        <w:rPr>
          <w:bCs/>
          <w:b/>
        </w:rPr>
        <w:t xml:space="preserve">”</w:t>
      </w:r>
    </w:p>
    <w:p>
      <w:pPr>
        <w:pStyle w:val="BodyText"/>
      </w:pPr>
      <w:r>
        <w:t xml:space="preserve">The talent intelligence is devastating for incumbents. OneTrust: 2,675 employees (down from 3,025 in 2023), -5.8% YoY growth, 110 laid off March 2026, 950 laid off in prior restructuring, average tenure only 2.3 years</w:t>
      </w:r>
      <w:r>
        <w:t xml:space="preserve"> </w:t>
      </w:r>
      <w:r>
        <w:rPr>
          <w:vertAlign w:val="superscript"/>
        </w:rPr>
        <w:t xml:space="preserve">48</w:t>
      </w:r>
      <w:r>
        <w:t xml:space="preserve"> </w:t>
      </w:r>
      <w:r>
        <w:rPr>
          <w:vertAlign w:val="superscript"/>
        </w:rPr>
        <w:t xml:space="preserve">91</w:t>
      </w:r>
      <w:r>
        <w:t xml:space="preserve"> </w:t>
      </w:r>
      <w:r>
        <w:rPr>
          <w:vertAlign w:val="superscript"/>
        </w:rPr>
        <w:t xml:space="preserve">95</w:t>
      </w:r>
      <w:r>
        <w:t xml:space="preserve">. CrowdStrike: 500 laid off May 2025, CEO openly stating</w:t>
      </w:r>
      <w:r>
        <w:t xml:space="preserve"> </w:t>
      </w:r>
      <w:r>
        <w:t xml:space="preserve">“</w:t>
      </w:r>
      <w:r>
        <w:t xml:space="preserve">AI flattens our hiring curve</w:t>
      </w:r>
      <w:r>
        <w:t xml:space="preserve">”</w:t>
      </w:r>
      <w:r>
        <w:t xml:space="preserve"> </w:t>
      </w:r>
      <w:r>
        <w:rPr>
          <w:vertAlign w:val="superscript"/>
        </w:rPr>
        <w:t xml:space="preserve">66</w:t>
      </w:r>
      <w:r>
        <w:t xml:space="preserve"> </w:t>
      </w:r>
      <w:r>
        <w:rPr>
          <w:vertAlign w:val="superscript"/>
        </w:rPr>
        <w:t xml:space="preserve">58</w:t>
      </w:r>
      <w:r>
        <w:t xml:space="preserve">.</w:t>
      </w:r>
    </w:p>
    <w:p>
      <w:pPr>
        <w:pStyle w:val="BodyText"/>
      </w:pPr>
      <w:r>
        <w:t xml:space="preserve">Meanwhile, the AI governance job market is exploding: 411 job postings in 90 days, salary range $123K-$221K, dual-domain specialists commanding 20-38% premiums [Dim07, Executive Summary].</w:t>
      </w:r>
    </w:p>
    <w:p>
      <w:pPr>
        <w:pStyle w:val="BodyText"/>
      </w:pPr>
      <w:r>
        <w:rPr>
          <w:bCs/>
          <w:b/>
        </w:rPr>
        <w:t xml:space="preserve">Action:</w:t>
      </w:r>
      <w:r>
        <w:t xml:space="preserve"> </w:t>
      </w:r>
      <w:r>
        <w:t xml:space="preserve">Launch the</w:t>
      </w:r>
      <w:r>
        <w:t xml:space="preserve"> </w:t>
      </w:r>
      <w:r>
        <w:t xml:space="preserve">“</w:t>
      </w:r>
      <w:r>
        <w:t xml:space="preserve">Join the Dragon</w:t>
      </w:r>
      <w:r>
        <w:t xml:space="preserve">”</w:t>
      </w:r>
      <w:r>
        <w:t xml:space="preserve"> </w:t>
      </w:r>
      <w:r>
        <w:t xml:space="preserve">talent campaign targeting laid-off OneTrust engineers, CrowdStrike AI governance-adjacent roles, and EU AI Act specialists at boutique compliance firms. The pitch:</w:t>
      </w:r>
      <w:r>
        <w:t xml:space="preserve"> </w:t>
      </w:r>
      <w:r>
        <w:rPr>
          <w:iCs/>
          <w:i/>
        </w:rPr>
        <w:t xml:space="preserve">“</w:t>
      </w:r>
      <w:r>
        <w:rPr>
          <w:iCs/>
          <w:i/>
        </w:rPr>
        <w:t xml:space="preserve">Why maintain broken governance platforms when you can build the one that replaces them?</w:t>
      </w:r>
      <w:r>
        <w:rPr>
          <w:iCs/>
          <w:i/>
        </w:rPr>
        <w:t xml:space="preserve">”</w:t>
      </w:r>
      <w:r>
        <w:t xml:space="preserve"> </w:t>
      </w:r>
      <w:r>
        <w:t xml:space="preserve">Post on Hacker News</w:t>
      </w:r>
      <w:r>
        <w:t xml:space="preserve"> </w:t>
      </w:r>
      <w:r>
        <w:t xml:space="preserve">“</w:t>
      </w:r>
      <w:r>
        <w:t xml:space="preserve">Who is hiring?</w:t>
      </w:r>
      <w:r>
        <w:t xml:space="preserve">”</w:t>
      </w:r>
      <w:r>
        <w:t xml:space="preserve">, LinkedIn, and specialist job boards. Target: 50 qualified applicants by July 4.</w:t>
      </w:r>
    </w:p>
    <w:p>
      <w:pPr>
        <w:pStyle w:val="BodyText"/>
      </w:pPr>
      <w:r>
        <w:rPr>
          <w:bCs/>
          <w:b/>
        </w:rPr>
        <w:t xml:space="preserve">Day 13 — Wednesday, June 25: Partnership Blockade — AWS Marketplace Gambit</w:t>
      </w:r>
    </w:p>
    <w:p>
      <w:pPr>
        <w:pStyle w:val="BodyText"/>
      </w:pPr>
      <w:r>
        <w:t xml:space="preserve">Microsoft’s</w:t>
      </w:r>
      <w:r>
        <w:t xml:space="preserve"> </w:t>
      </w:r>
      <w:r>
        <w:t xml:space="preserve">“</w:t>
      </w:r>
      <w:r>
        <w:t xml:space="preserve">Summer of Insecurity</w:t>
      </w:r>
      <w:r>
        <w:t xml:space="preserve">”</w:t>
      </w:r>
      <w:r>
        <w:t xml:space="preserve"> </w:t>
      </w:r>
      <w:r>
        <w:t xml:space="preserve">narrative needs full deployment. In Q2 2026 alone, Microsoft disclosed: CVE-2026-42823 (CVSS 9.9, Azure Logic Apps), CVE-2026-48567 (Azure HorizonDB auth bypass), CVE-2026-26164 (M365 Copilot info disclosure, CVSS 7.5), CVE-2026-35435 (Azure AI Foundry Agent Runtime, CVSS 8.6), CVE-2026-33111 (Edge Copilot Chat command injection, CVSS 7.5), plus two actively exploited Microsoft Defender vulnerabilities (CVE-2026-45498, CVE-2026-41091)</w:t>
      </w:r>
      <w:r>
        <w:t xml:space="preserve"> </w:t>
      </w:r>
      <w:r>
        <w:rPr>
          <w:vertAlign w:val="superscript"/>
        </w:rPr>
        <w:t xml:space="preserve">15</w:t>
      </w:r>
      <w:r>
        <w:t xml:space="preserve"> </w:t>
      </w:r>
      <w:r>
        <w:rPr>
          <w:vertAlign w:val="superscript"/>
        </w:rPr>
        <w:t xml:space="preserve">32</w:t>
      </w:r>
      <w:r>
        <w:t xml:space="preserve"> </w:t>
      </w:r>
      <w:r>
        <w:rPr>
          <w:vertAlign w:val="superscript"/>
        </w:rPr>
        <w:t xml:space="preserve">19</w:t>
      </w:r>
      <w:r>
        <w:t xml:space="preserve"> </w:t>
      </w:r>
      <w:r>
        <w:rPr>
          <w:vertAlign w:val="superscript"/>
        </w:rPr>
        <w:t xml:space="preserve">33</w:t>
      </w:r>
      <w:r>
        <w:t xml:space="preserve"> </w:t>
      </w:r>
      <w:r>
        <w:rPr>
          <w:vertAlign w:val="superscript"/>
        </w:rPr>
        <w:t xml:space="preserve">22</w:t>
      </w:r>
      <w:r>
        <w:t xml:space="preserve">. Microsoft’s own Exploitability Index rates CVE-2026-35435 as</w:t>
      </w:r>
      <w:r>
        <w:t xml:space="preserve"> </w:t>
      </w:r>
      <w:r>
        <w:t xml:space="preserve">“</w:t>
      </w:r>
      <w:r>
        <w:t xml:space="preserve">Exploitation More Likely</w:t>
      </w:r>
      <w:r>
        <w:t xml:space="preserve">”</w:t>
      </w:r>
      <w:r>
        <w:t xml:space="preserve"> </w:t>
      </w:r>
      <w:r>
        <w:t xml:space="preserve">— the highest pre-exploitation forecast tier Microsoft assigns</w:t>
      </w:r>
      <w:r>
        <w:t xml:space="preserve"> </w:t>
      </w:r>
      <w:r>
        <w:rPr>
          <w:vertAlign w:val="superscript"/>
        </w:rPr>
        <w:t xml:space="preserve">33</w:t>
      </w:r>
      <w:r>
        <w:t xml:space="preserve">.</w:t>
      </w:r>
    </w:p>
    <w:p>
      <w:pPr>
        <w:pStyle w:val="BodyText"/>
      </w:pPr>
      <w:r>
        <w:rPr>
          <w:bCs/>
          <w:b/>
        </w:rPr>
        <w:t xml:space="preserve">Action:</w:t>
      </w:r>
      <w:r>
        <w:t xml:space="preserve"> </w:t>
      </w:r>
      <w:r>
        <w:t xml:space="preserve">Publish</w:t>
      </w:r>
      <w:r>
        <w:t xml:space="preserve"> </w:t>
      </w:r>
      <w:r>
        <w:t xml:space="preserve">“</w:t>
      </w:r>
      <w:r>
        <w:t xml:space="preserve">Azure’s Summer of Insecurity: A Quarterly CVE Report</w:t>
      </w:r>
      <w:r>
        <w:t xml:space="preserve">”</w:t>
      </w:r>
      <w:r>
        <w:t xml:space="preserve"> </w:t>
      </w:r>
      <w:r>
        <w:t xml:space="preserve">— compiling every critical Microsoft vulnerability from Q2 2026 into a single devastating document. Distribute to Wired (Will Knight) [Dim11, Section 2.1], Bloomberg, and The Verge. The narrative:</w:t>
      </w:r>
      <w:r>
        <w:t xml:space="preserve"> </w:t>
      </w:r>
      <w:r>
        <w:rPr>
          <w:iCs/>
          <w:i/>
        </w:rPr>
        <w:t xml:space="preserve">“</w:t>
      </w:r>
      <w:r>
        <w:rPr>
          <w:iCs/>
          <w:i/>
        </w:rPr>
        <w:t xml:space="preserve">Microsoft is building AI faster than it can secure it. Three Copilot-related CVEs in 60 days. An AI governance platform from the company that can’t govern its own AI.</w:t>
      </w:r>
      <w:r>
        <w:rPr>
          <w:iCs/>
          <w:i/>
        </w:rPr>
        <w:t xml:space="preserve">”</w:t>
      </w:r>
    </w:p>
    <w:p>
      <w:pPr>
        <w:pStyle w:val="BodyText"/>
      </w:pPr>
      <w:r>
        <w:rPr>
          <w:bCs/>
          <w:b/>
        </w:rPr>
        <w:t xml:space="preserve">Day 14 — Thursday, June 26: Customer Migration Push — The</w:t>
      </w:r>
      <w:r>
        <w:rPr>
          <w:bCs/>
          <w:b/>
        </w:rPr>
        <w:t xml:space="preserve"> </w:t>
      </w:r>
      <w:r>
        <w:rPr>
          <w:bCs/>
          <w:b/>
        </w:rPr>
        <w:t xml:space="preserve">“</w:t>
      </w:r>
      <w:r>
        <w:rPr>
          <w:bCs/>
          <w:b/>
        </w:rPr>
        <w:t xml:space="preserve">OneTrust Escape</w:t>
      </w:r>
      <w:r>
        <w:rPr>
          <w:bCs/>
          <w:b/>
        </w:rPr>
        <w:t xml:space="preserve">”</w:t>
      </w:r>
      <w:r>
        <w:rPr>
          <w:bCs/>
          <w:b/>
        </w:rPr>
        <w:t xml:space="preserve"> </w:t>
      </w:r>
      <w:r>
        <w:rPr>
          <w:bCs/>
          <w:b/>
        </w:rPr>
        <w:t xml:space="preserve">Campaign</w:t>
      </w:r>
    </w:p>
    <w:p>
      <w:pPr>
        <w:pStyle w:val="BodyText"/>
      </w:pPr>
      <w:r>
        <w:t xml:space="preserve">OneTrust exhibits every symptom of a company in a death spiral: 1,060+ cumulative layoffs, declining headcount (-5.8% YoY), Trustpilot rating of 1.5/5 vs. G2 rating of 4.4/5 (a 2.9-point gap indicating review manipulation), renewal price increases of 275-468%, implementation times of 2.5-9 months, and NO EU AI Act readiness</w:t>
      </w:r>
      <w:r>
        <w:t xml:space="preserve"> </w:t>
      </w:r>
      <w:r>
        <w:rPr>
          <w:vertAlign w:val="superscript"/>
        </w:rPr>
        <w:t xml:space="preserve">48</w:t>
      </w:r>
      <w:r>
        <w:t xml:space="preserve"> </w:t>
      </w:r>
      <w:r>
        <w:rPr>
          <w:vertAlign w:val="superscript"/>
        </w:rPr>
        <w:t xml:space="preserve">91</w:t>
      </w:r>
      <w:r>
        <w:t xml:space="preserve"> </w:t>
      </w:r>
      <w:r>
        <w:rPr>
          <w:vertAlign w:val="superscript"/>
        </w:rPr>
        <w:t xml:space="preserve">65</w:t>
      </w:r>
      <w:r>
        <w:t xml:space="preserve"> </w:t>
      </w:r>
      <w:r>
        <w:rPr>
          <w:vertAlign w:val="superscript"/>
        </w:rPr>
        <w:t xml:space="preserve">94</w:t>
      </w:r>
      <w:r>
        <w:t xml:space="preserve"> </w:t>
      </w:r>
      <w:r>
        <w:rPr>
          <w:vertAlign w:val="superscript"/>
        </w:rPr>
        <w:t xml:space="preserve">84</w:t>
      </w:r>
      <w:r>
        <w:t xml:space="preserve">.</w:t>
      </w:r>
    </w:p>
    <w:p>
      <w:pPr>
        <w:pStyle w:val="BodyText"/>
      </w:pPr>
      <w:r>
        <w:rPr>
          <w:bCs/>
          <w:b/>
        </w:rPr>
        <w:t xml:space="preserve">Action:</w:t>
      </w:r>
      <w:r>
        <w:t xml:space="preserve"> </w:t>
      </w:r>
      <w:r>
        <w:t xml:space="preserve">Launch the</w:t>
      </w:r>
      <w:r>
        <w:t xml:space="preserve"> </w:t>
      </w:r>
      <w:r>
        <w:t xml:space="preserve">“</w:t>
      </w:r>
      <w:r>
        <w:t xml:space="preserve">OneTrust Escape</w:t>
      </w:r>
      <w:r>
        <w:t xml:space="preserve">”</w:t>
      </w:r>
      <w:r>
        <w:t xml:space="preserve"> </w:t>
      </w:r>
      <w:r>
        <w:t xml:space="preserve">campaign — a dedicated landing page at sov3.ai/escape with migration tools, a TCO calculator showing OneTrust vs. SOV3 costs over 5 years, and</w:t>
      </w:r>
      <w:r>
        <w:t xml:space="preserve"> </w:t>
      </w:r>
      <w:r>
        <w:t xml:space="preserve">“</w:t>
      </w:r>
      <w:r>
        <w:t xml:space="preserve">buy-out credits</w:t>
      </w:r>
      <w:r>
        <w:t xml:space="preserve">”</w:t>
      </w:r>
      <w:r>
        <w:t xml:space="preserve"> </w:t>
      </w:r>
      <w:r>
        <w:t xml:space="preserve">covering the final year of OneTrust contracts for switching customers. The math is brutal: OneTrust median $11,500 (Vendr) with 275-468% renewal spikes vs. SOV3 Growth tier at $3,600-$6,000/year with transparent, published pricing.</w:t>
      </w:r>
    </w:p>
    <w:p>
      <w:pPr>
        <w:pStyle w:val="BodyText"/>
      </w:pPr>
      <w:r>
        <w:rPr>
          <w:bCs/>
          <w:b/>
        </w:rPr>
        <w:t xml:space="preserve">Day 15 — Friday, June 27: Economic Damage Report</w:t>
      </w:r>
    </w:p>
    <w:p>
      <w:pPr>
        <w:pStyle w:val="BodyText"/>
      </w:pPr>
      <w:r>
        <w:t xml:space="preserve">Quantify the economic warfare. Publish the</w:t>
      </w:r>
      <w:r>
        <w:t xml:space="preserve"> </w:t>
      </w:r>
      <w:r>
        <w:t xml:space="preserve">“</w:t>
      </w:r>
      <w:r>
        <w:t xml:space="preserve">Week 3 Economic Impact Report</w:t>
      </w:r>
      <w:r>
        <w:t xml:space="preserve">”</w:t>
      </w:r>
      <w:r>
        <w:t xml:space="preserve"> </w:t>
      </w:r>
      <w:r>
        <w:t xml:space="preserve">tracking: pricing campaign sign-ups (target: 200+),</w:t>
      </w:r>
      <w:r>
        <w:t xml:space="preserve"> </w:t>
      </w:r>
      <w:r>
        <w:t xml:space="preserve">“</w:t>
      </w:r>
      <w:r>
        <w:t xml:space="preserve">Join the Dragon</w:t>
      </w:r>
      <w:r>
        <w:t xml:space="preserve">”</w:t>
      </w:r>
      <w:r>
        <w:t xml:space="preserve"> </w:t>
      </w:r>
      <w:r>
        <w:t xml:space="preserve">applications (target: 30+), OneTrust Escape page views and migration requests, EU scanner completions (cumulative target: 1,500+), and the</w:t>
      </w:r>
      <w:r>
        <w:t xml:space="preserve"> </w:t>
      </w:r>
      <w:r>
        <w:t xml:space="preserve">“</w:t>
      </w:r>
      <w:r>
        <w:t xml:space="preserve">Cost of Inaction</w:t>
      </w:r>
      <w:r>
        <w:t xml:space="preserve">”</w:t>
      </w:r>
      <w:r>
        <w:t xml:space="preserve"> </w:t>
      </w:r>
      <w:r>
        <w:t xml:space="preserve">calculator showing what companies pay every additional week they delay switching.</w:t>
      </w:r>
    </w:p>
    <w:p>
      <w:r>
        <w:pict>
          <v:rect style="width:0;height:1.5pt" o:hralign="center" o:hrstd="t" o:hr="t"/>
        </w:pict>
      </w:r>
    </w:p>
    <w:bookmarkEnd w:id="63"/>
    <w:bookmarkStart w:id="64" w:name="X40ff647338edd7b16ad7b8e7204a21d0a6a612d"/>
    <w:p>
      <w:pPr>
        <w:pStyle w:val="Heading3"/>
      </w:pPr>
      <w:r>
        <w:t xml:space="preserve">Phase IV: Narrative Dominance (June 30 — July 4) — Days 16-20</w:t>
      </w:r>
    </w:p>
    <w:p>
      <w:pPr>
        <w:pStyle w:val="FirstParagraph"/>
      </w:pPr>
      <w:r>
        <w:rPr>
          <w:bCs/>
          <w:b/>
        </w:rPr>
        <w:t xml:space="preserve">Strategic Objective:</w:t>
      </w:r>
      <w:r>
        <w:t xml:space="preserve"> </w:t>
      </w:r>
      <w:r>
        <w:t xml:space="preserve">SOV3 is no longer the challenger. SOV3 is the referee. Position as the independent authority that rates, certifies, and governs — while the incumbents play the game.</w:t>
      </w:r>
    </w:p>
    <w:p>
      <w:pPr>
        <w:pStyle w:val="BodyText"/>
      </w:pPr>
      <w:r>
        <w:rPr>
          <w:bCs/>
          <w:b/>
        </w:rPr>
        <w:t xml:space="preserve">Day 16 — Monday, June 30: Industry Report Coup — The AI Governance Transparency Index</w:t>
      </w:r>
    </w:p>
    <w:p>
      <w:pPr>
        <w:pStyle w:val="BodyText"/>
      </w:pPr>
      <w:r>
        <w:t xml:space="preserve">Publish the inaugural</w:t>
      </w:r>
      <w:r>
        <w:t xml:space="preserve"> </w:t>
      </w:r>
      <w:r>
        <w:t xml:space="preserve">“</w:t>
      </w:r>
      <w:r>
        <w:t xml:space="preserve">AI Governance Transparency Index</w:t>
      </w:r>
      <w:r>
        <w:t xml:space="preserve">”</w:t>
      </w:r>
      <w:r>
        <w:t xml:space="preserve"> </w:t>
      </w:r>
      <w:r>
        <w:t xml:space="preserve">— an industry-wide ranking of all 11 competitors across dimensions of pricing transparency, CVE disclosure speed, insider selling ratio, implementation honesty, and EU AI Act readiness. This is not a product comparison. This is an industry health report. SOV3 does not appear in the rankings — it is the publisher. This creates the perception of referee status.</w:t>
      </w:r>
    </w:p>
    <w:p>
      <w:pPr>
        <w:pStyle w:val="BodyText"/>
      </w:pPr>
      <w:r>
        <w:t xml:space="preserve">The Index findings are devastating: Zero competitors publish transparent pricing. Zero offer real-time shadow AI detection. Zero enforce policy at runtime. Zero have EU AI Act-ready certification. Three have fabricated funding claims. Two have CEOs selling stock while preaching security.</w:t>
      </w:r>
    </w:p>
    <w:p>
      <w:pPr>
        <w:pStyle w:val="BodyText"/>
      </w:pPr>
      <w:r>
        <w:rPr>
          <w:bCs/>
          <w:b/>
        </w:rPr>
        <w:t xml:space="preserve">Action:</w:t>
      </w:r>
      <w:r>
        <w:t xml:space="preserve"> </w:t>
      </w:r>
      <w:r>
        <w:t xml:space="preserve">Embargo the Index with Wired (Will Knight), Bloomberg, and TechCrunch for July 1 publication. Simultaneously, submit the Index findings as a contributed article to VentureBeat and MIT Technology Review.</w:t>
      </w:r>
    </w:p>
    <w:p>
      <w:pPr>
        <w:pStyle w:val="BodyText"/>
      </w:pPr>
      <w:r>
        <w:rPr>
          <w:bCs/>
          <w:b/>
        </w:rPr>
        <w:t xml:space="preserve">Day 17 — Tuesday, July 1: Keynote Hijack —</w:t>
      </w:r>
      <w:r>
        <w:rPr>
          <w:bCs/>
          <w:b/>
        </w:rPr>
        <w:t xml:space="preserve"> </w:t>
      </w:r>
      <w:r>
        <w:rPr>
          <w:bCs/>
          <w:b/>
        </w:rPr>
        <w:t xml:space="preserve">“</w:t>
      </w:r>
      <w:r>
        <w:rPr>
          <w:bCs/>
          <w:b/>
        </w:rPr>
        <w:t xml:space="preserve">Governance That Acts, Not Just Reports</w:t>
      </w:r>
      <w:r>
        <w:rPr>
          <w:bCs/>
          <w:b/>
        </w:rPr>
        <w:t xml:space="preserve">”</w:t>
      </w:r>
    </w:p>
    <w:p>
      <w:pPr>
        <w:pStyle w:val="BodyText"/>
      </w:pPr>
      <w:r>
        <w:t xml:space="preserve">Deploy Insight 4 from cross-dimensional analysis: every single competitor’s AI governance platform is</w:t>
      </w:r>
      <w:r>
        <w:t xml:space="preserve"> </w:t>
      </w:r>
      <w:r>
        <w:t xml:space="preserve">“</w:t>
      </w:r>
      <w:r>
        <w:t xml:space="preserve">assessment-only</w:t>
      </w:r>
      <w:r>
        <w:t xml:space="preserve">”</w:t>
      </w:r>
      <w:r>
        <w:t xml:space="preserve"> </w:t>
      </w:r>
      <w:r>
        <w:t xml:space="preserve">— they evaluate and produce reports. NONE enforce policy at runtime through deployment gates or policy-as-code [Dim12, Section 4]. This is a fundamental architectural divide: SOV3’s PDCA + blockchain + MCP governance approach is the first to close the loop from assessment to enforcement. The gap between</w:t>
      </w:r>
      <w:r>
        <w:t xml:space="preserve"> </w:t>
      </w:r>
      <w:r>
        <w:t xml:space="preserve">“</w:t>
      </w:r>
      <w:r>
        <w:t xml:space="preserve">we identified a risk</w:t>
      </w:r>
      <w:r>
        <w:t xml:space="preserve">”</w:t>
      </w:r>
      <w:r>
        <w:t xml:space="preserve"> </w:t>
      </w:r>
      <w:r>
        <w:t xml:space="preserve">and</w:t>
      </w:r>
      <w:r>
        <w:t xml:space="preserve"> </w:t>
      </w:r>
      <w:r>
        <w:t xml:space="preserve">“</w:t>
      </w:r>
      <w:r>
        <w:t xml:space="preserve">we prevented the risk</w:t>
      </w:r>
      <w:r>
        <w:t xml:space="preserve">”</w:t>
      </w:r>
      <w:r>
        <w:t xml:space="preserve"> </w:t>
      </w:r>
      <w:r>
        <w:t xml:space="preserve">is where SOV3’s 12-24 month moat lives [Dim12, Executive Summary].</w:t>
      </w:r>
    </w:p>
    <w:p>
      <w:pPr>
        <w:pStyle w:val="BodyText"/>
      </w:pPr>
      <w:r>
        <w:rPr>
          <w:bCs/>
          <w:b/>
        </w:rPr>
        <w:t xml:space="preserve">Action:</w:t>
      </w:r>
      <w:r>
        <w:t xml:space="preserve"> </w:t>
      </w:r>
      <w:r>
        <w:t xml:space="preserve">Publish the keynote essay:</w:t>
      </w:r>
      <w:r>
        <w:t xml:space="preserve"> </w:t>
      </w:r>
      <w:r>
        <w:t xml:space="preserve">“</w:t>
      </w:r>
      <w:r>
        <w:t xml:space="preserve">Governance That Acts, Not Just Reports</w:t>
      </w:r>
      <w:r>
        <w:t xml:space="preserve">”</w:t>
      </w:r>
      <w:r>
        <w:t xml:space="preserve"> </w:t>
      </w:r>
      <w:r>
        <w:t xml:space="preserve">— a manifesto positioning assessment-only platforms as</w:t>
      </w:r>
      <w:r>
        <w:t xml:space="preserve"> </w:t>
      </w:r>
      <w:r>
        <w:t xml:space="preserve">“</w:t>
      </w:r>
      <w:r>
        <w:t xml:space="preserve">security theater.</w:t>
      </w:r>
      <w:r>
        <w:t xml:space="preserve">”</w:t>
      </w:r>
      <w:r>
        <w:t xml:space="preserve"> </w:t>
      </w:r>
      <w:r>
        <w:t xml:space="preserve">Distribute as a guest post on Dark Reading and CSO Online. The thesis:</w:t>
      </w:r>
      <w:r>
        <w:t xml:space="preserve"> </w:t>
      </w:r>
      <w:r>
        <w:rPr>
          <w:iCs/>
          <w:i/>
        </w:rPr>
        <w:t xml:space="preserve">“</w:t>
      </w:r>
      <w:r>
        <w:rPr>
          <w:iCs/>
          <w:i/>
        </w:rPr>
        <w:t xml:space="preserve">You don’t govern AI with spreadsheets. You govern it with the same tools that stop breaches.</w:t>
      </w:r>
      <w:r>
        <w:rPr>
          <w:iCs/>
          <w:i/>
        </w:rPr>
        <w:t xml:space="preserve">”</w:t>
      </w:r>
      <w:r>
        <w:t xml:space="preserve"> </w:t>
      </w:r>
      <w:r>
        <w:t xml:space="preserve">[Dim11, Section 4.1, Angle 1]</w:t>
      </w:r>
    </w:p>
    <w:p>
      <w:pPr>
        <w:pStyle w:val="BodyText"/>
      </w:pPr>
      <w:r>
        <w:rPr>
          <w:bCs/>
          <w:b/>
        </w:rPr>
        <w:t xml:space="preserve">Day 18 — Wednesday, July 2: Regulatory Capture — EU AI Act Consultation Submission</w:t>
      </w:r>
    </w:p>
    <w:p>
      <w:pPr>
        <w:pStyle w:val="BodyText"/>
      </w:pPr>
      <w:r>
        <w:t xml:space="preserve">This is the certification play. Despite $309M+ in AI governance market funding in 2025-2026, ZERO competitors offer AI safety certification [Dim10, Section 1; Dim06]. This isn’t a gap — it’s a blindspot. EU AI Act Article 14 requires</w:t>
      </w:r>
      <w:r>
        <w:t xml:space="preserve"> </w:t>
      </w:r>
      <w:r>
        <w:t xml:space="preserve">“</w:t>
      </w:r>
      <w:r>
        <w:t xml:space="preserve">human oversight</w:t>
      </w:r>
      <w:r>
        <w:t xml:space="preserve">”</w:t>
      </w:r>
      <w:r>
        <w:t xml:space="preserve"> </w:t>
      </w:r>
      <w:r>
        <w:t xml:space="preserve">by</w:t>
      </w:r>
      <w:r>
        <w:t xml:space="preserve"> </w:t>
      </w:r>
      <w:r>
        <w:t xml:space="preserve">“</w:t>
      </w:r>
      <w:r>
        <w:t xml:space="preserve">qualified</w:t>
      </w:r>
      <w:r>
        <w:t xml:space="preserve">”</w:t>
      </w:r>
      <w:r>
        <w:t xml:space="preserve"> </w:t>
      </w:r>
      <w:r>
        <w:t xml:space="preserve">personnel, but nobody is certifying who is qualified [Dim05]. SOV3 can DEFINE who is qualified — and sell both the certification AND the governance platform [Insight 3].</w:t>
      </w:r>
    </w:p>
    <w:p>
      <w:pPr>
        <w:pStyle w:val="BodyText"/>
      </w:pPr>
      <w:r>
        <w:rPr>
          <w:bCs/>
          <w:b/>
        </w:rPr>
        <w:t xml:space="preserve">Action:</w:t>
      </w:r>
      <w:r>
        <w:t xml:space="preserve"> </w:t>
      </w:r>
      <w:r>
        <w:t xml:space="preserve">File a formal consultation response to the EU AI Act implementing regulations, proposing SOV3’s certification framework (</w:t>
      </w:r>
      <w:r>
        <w:t xml:space="preserve">“</w:t>
      </w:r>
      <w:r>
        <w:t xml:space="preserve">Watchdog</w:t>
      </w:r>
      <w:r>
        <w:t xml:space="preserve">”</w:t>
      </w:r>
      <w:r>
        <w:t xml:space="preserve">) as a basis for</w:t>
      </w:r>
      <w:r>
        <w:t xml:space="preserve"> </w:t>
      </w:r>
      <w:r>
        <w:t xml:space="preserve">“</w:t>
      </w:r>
      <w:r>
        <w:t xml:space="preserve">qualified personnel</w:t>
      </w:r>
      <w:r>
        <w:t xml:space="preserve">”</w:t>
      </w:r>
      <w:r>
        <w:t xml:space="preserve"> </w:t>
      </w:r>
      <w:r>
        <w:t xml:space="preserve">standards. Simultaneously, announce the free certification program for the first 500 security professionals who complete the SOV3 AI Governance Certification exam. Each certification includes a digital badge, blockchain-verified credential, and inclusion in the public registry of qualified AI governance professionals.</w:t>
      </w:r>
    </w:p>
    <w:p>
      <w:pPr>
        <w:pStyle w:val="BodyText"/>
      </w:pPr>
      <w:r>
        <w:rPr>
          <w:bCs/>
          <w:b/>
        </w:rPr>
        <w:t xml:space="preserve">Day 19 — Thursday, July 3: SEO Blitz — Own Every Search</w:t>
      </w:r>
    </w:p>
    <w:p>
      <w:pPr>
        <w:pStyle w:val="BodyText"/>
      </w:pPr>
      <w:r>
        <w:t xml:space="preserve">Deploy the full keyword capture strategy. Target terms:</w:t>
      </w:r>
      <w:r>
        <w:t xml:space="preserve"> </w:t>
      </w:r>
      <w:r>
        <w:t xml:space="preserve">“</w:t>
      </w:r>
      <w:r>
        <w:t xml:space="preserve">AI governance pricing,</w:t>
      </w:r>
      <w:r>
        <w:t xml:space="preserve">”</w:t>
      </w:r>
      <w:r>
        <w:t xml:space="preserve"> </w:t>
      </w:r>
      <w:r>
        <w:t xml:space="preserve">“</w:t>
      </w:r>
      <w:r>
        <w:t xml:space="preserve">EU AI Act compliance tool,</w:t>
      </w:r>
      <w:r>
        <w:t xml:space="preserve">”</w:t>
      </w:r>
      <w:r>
        <w:t xml:space="preserve"> </w:t>
      </w:r>
      <w:r>
        <w:t xml:space="preserve">“</w:t>
      </w:r>
      <w:r>
        <w:t xml:space="preserve">shadow AI detection,</w:t>
      </w:r>
      <w:r>
        <w:t xml:space="preserve">”</w:t>
      </w:r>
      <w:r>
        <w:t xml:space="preserve"> </w:t>
      </w:r>
      <w:r>
        <w:t xml:space="preserve">“</w:t>
      </w:r>
      <w:r>
        <w:t xml:space="preserve">CrowdStrike alternative,</w:t>
      </w:r>
      <w:r>
        <w:t xml:space="preserve">”</w:t>
      </w:r>
      <w:r>
        <w:t xml:space="preserve"> </w:t>
      </w:r>
      <w:r>
        <w:t xml:space="preserve">“</w:t>
      </w:r>
      <w:r>
        <w:t xml:space="preserve">OneTrust alternative,</w:t>
      </w:r>
      <w:r>
        <w:t xml:space="preserve">”</w:t>
      </w:r>
      <w:r>
        <w:t xml:space="preserve"> </w:t>
      </w:r>
      <w:r>
        <w:t xml:space="preserve">“</w:t>
      </w:r>
      <w:r>
        <w:t xml:space="preserve">AI governance certification,</w:t>
      </w:r>
      <w:r>
        <w:t xml:space="preserve">”</w:t>
      </w:r>
      <w:r>
        <w:t xml:space="preserve"> </w:t>
      </w:r>
      <w:r>
        <w:t xml:space="preserve">“</w:t>
      </w:r>
      <w:r>
        <w:t xml:space="preserve">MCP governance,</w:t>
      </w:r>
      <w:r>
        <w:t xml:space="preserve">”</w:t>
      </w:r>
      <w:r>
        <w:t xml:space="preserve"> </w:t>
      </w:r>
      <w:r>
        <w:t xml:space="preserve">“</w:t>
      </w:r>
      <w:r>
        <w:t xml:space="preserve">free AI governance tool.</w:t>
      </w:r>
      <w:r>
        <w:t xml:space="preserve">”</w:t>
      </w:r>
      <w:r>
        <w:t xml:space="preserve"> </w:t>
      </w:r>
      <w:r>
        <w:t xml:space="preserve">Every competitor either ranks for generic terms or doesn’t rank at all. SOV3’s transparency-first approach generates the exact content that ranks.</w:t>
      </w:r>
    </w:p>
    <w:p>
      <w:pPr>
        <w:pStyle w:val="BodyText"/>
      </w:pPr>
      <w:r>
        <w:rPr>
          <w:bCs/>
          <w:b/>
        </w:rPr>
        <w:t xml:space="preserve">Action:</w:t>
      </w:r>
      <w:r>
        <w:t xml:space="preserve"> </w:t>
      </w:r>
      <w:r>
        <w:t xml:space="preserve">Publish 10 optimized pieces simultaneously: (1)</w:t>
      </w:r>
      <w:r>
        <w:t xml:space="preserve"> </w:t>
      </w:r>
      <w:r>
        <w:t xml:space="preserve">“</w:t>
      </w:r>
      <w:r>
        <w:t xml:space="preserve">AI Governance Pricing: The Complete 2026 Guide</w:t>
      </w:r>
      <w:r>
        <w:t xml:space="preserve">”</w:t>
      </w:r>
      <w:r>
        <w:t xml:space="preserve"> </w:t>
      </w:r>
      <w:r>
        <w:t xml:space="preserve">— every competitor’s actual price range exposed. (2)</w:t>
      </w:r>
      <w:r>
        <w:t xml:space="preserve"> </w:t>
      </w:r>
      <w:r>
        <w:t xml:space="preserve">“</w:t>
      </w:r>
      <w:r>
        <w:t xml:space="preserve">EU AI Act Compliance Checklist: 46 Days to Deadline.</w:t>
      </w:r>
      <w:r>
        <w:t xml:space="preserve">”</w:t>
      </w:r>
      <w:r>
        <w:t xml:space="preserve"> </w:t>
      </w:r>
      <w:r>
        <w:t xml:space="preserve">(3)</w:t>
      </w:r>
      <w:r>
        <w:t xml:space="preserve"> </w:t>
      </w:r>
      <w:r>
        <w:t xml:space="preserve">“</w:t>
      </w:r>
      <w:r>
        <w:t xml:space="preserve">Shadow AI Detection Tools Compared.</w:t>
      </w:r>
      <w:r>
        <w:t xml:space="preserve">”</w:t>
      </w:r>
      <w:r>
        <w:t xml:space="preserve"> </w:t>
      </w:r>
      <w:r>
        <w:t xml:space="preserve">(4)</w:t>
      </w:r>
      <w:r>
        <w:t xml:space="preserve"> </w:t>
      </w:r>
      <w:r>
        <w:t xml:space="preserve">“</w:t>
      </w:r>
      <w:r>
        <w:t xml:space="preserve">CrowdStrike vs. SOV3: Governance Comparison.</w:t>
      </w:r>
      <w:r>
        <w:t xml:space="preserve">”</w:t>
      </w:r>
      <w:r>
        <w:t xml:space="preserve"> </w:t>
      </w:r>
      <w:r>
        <w:t xml:space="preserve">(5)</w:t>
      </w:r>
      <w:r>
        <w:t xml:space="preserve"> </w:t>
      </w:r>
      <w:r>
        <w:t xml:space="preserve">“</w:t>
      </w:r>
      <w:r>
        <w:t xml:space="preserve">OneTrust Alternative: The 2026 Migration Guide.</w:t>
      </w:r>
      <w:r>
        <w:t xml:space="preserve">”</w:t>
      </w:r>
      <w:r>
        <w:t xml:space="preserve"> </w:t>
      </w:r>
      <w:r>
        <w:t xml:space="preserve">(6)</w:t>
      </w:r>
      <w:r>
        <w:t xml:space="preserve"> </w:t>
      </w:r>
      <w:r>
        <w:t xml:space="preserve">“</w:t>
      </w:r>
      <w:r>
        <w:t xml:space="preserve">AI Governance Certification: What It Means and How to Get It.</w:t>
      </w:r>
      <w:r>
        <w:t xml:space="preserve">”</w:t>
      </w:r>
      <w:r>
        <w:t xml:space="preserve"> </w:t>
      </w:r>
      <w:r>
        <w:t xml:space="preserve">(7)</w:t>
      </w:r>
      <w:r>
        <w:t xml:space="preserve"> </w:t>
      </w:r>
      <w:r>
        <w:t xml:space="preserve">“</w:t>
      </w:r>
      <w:r>
        <w:t xml:space="preserve">MCP Governance: Securing the AI Agent Protocol.</w:t>
      </w:r>
      <w:r>
        <w:t xml:space="preserve">”</w:t>
      </w:r>
      <w:r>
        <w:t xml:space="preserve"> </w:t>
      </w:r>
      <w:r>
        <w:t xml:space="preserve">(8)</w:t>
      </w:r>
      <w:r>
        <w:t xml:space="preserve"> </w:t>
      </w:r>
      <w:r>
        <w:t xml:space="preserve">“</w:t>
      </w:r>
      <w:r>
        <w:t xml:space="preserve">Free AI Governance Tools That Actually Work.</w:t>
      </w:r>
      <w:r>
        <w:t xml:space="preserve">”</w:t>
      </w:r>
      <w:r>
        <w:t xml:space="preserve"> </w:t>
      </w:r>
      <w:r>
        <w:t xml:space="preserve">(9)</w:t>
      </w:r>
      <w:r>
        <w:t xml:space="preserve"> </w:t>
      </w:r>
      <w:r>
        <w:t xml:space="preserve">“</w:t>
      </w:r>
      <w:r>
        <w:t xml:space="preserve">The PDCA Method for AI Governance: A Technical Guide.</w:t>
      </w:r>
      <w:r>
        <w:t xml:space="preserve">”</w:t>
      </w:r>
      <w:r>
        <w:t xml:space="preserve"> </w:t>
      </w:r>
      <w:r>
        <w:t xml:space="preserve">(10)</w:t>
      </w:r>
      <w:r>
        <w:t xml:space="preserve"> </w:t>
      </w:r>
      <w:r>
        <w:t xml:space="preserve">“</w:t>
      </w:r>
      <w:r>
        <w:t xml:space="preserve">Blockchain Audit Trails for AI: Why It Matters.</w:t>
      </w:r>
      <w:r>
        <w:t xml:space="preserve">”</w:t>
      </w:r>
    </w:p>
    <w:p>
      <w:pPr>
        <w:pStyle w:val="BodyText"/>
      </w:pPr>
      <w:r>
        <w:rPr>
          <w:bCs/>
          <w:b/>
        </w:rPr>
        <w:t xml:space="preserve">Day 20 — Friday, July 4: Narrative Lock — Independence Day</w:t>
      </w:r>
    </w:p>
    <w:p>
      <w:pPr>
        <w:pStyle w:val="BodyText"/>
      </w:pPr>
      <w:r>
        <w:t xml:space="preserve">Today is the narrative convergence. July 4, US Independence Day. 58 days before EU AI Act enforcement. Two days after CrowdStrike’s stock split. The patriotic symbolism of</w:t>
      </w:r>
      <w:r>
        <w:t xml:space="preserve"> </w:t>
      </w:r>
      <w:r>
        <w:t xml:space="preserve">“</w:t>
      </w:r>
      <w:r>
        <w:t xml:space="preserve">independence from black-box AI governance</w:t>
      </w:r>
      <w:r>
        <w:t xml:space="preserve">”</w:t>
      </w:r>
      <w:r>
        <w:t xml:space="preserve"> </w:t>
      </w:r>
      <w:r>
        <w:t xml:space="preserve">combined with regulatory urgency creates a dual-narrative no competitor can match [Insight 5].</w:t>
      </w:r>
    </w:p>
    <w:p>
      <w:pPr>
        <w:pStyle w:val="BodyText"/>
      </w:pPr>
      <w:r>
        <w:rPr>
          <w:bCs/>
          <w:b/>
        </w:rPr>
        <w:t xml:space="preserve">Action:</w:t>
      </w:r>
      <w:r>
        <w:t xml:space="preserve"> </w:t>
      </w:r>
      <w:r>
        <w:t xml:space="preserve">Publish the</w:t>
      </w:r>
      <w:r>
        <w:t xml:space="preserve"> </w:t>
      </w:r>
      <w:r>
        <w:t xml:space="preserve">“</w:t>
      </w:r>
      <w:r>
        <w:t xml:space="preserve">Declaration of Independence from Enterprise Lock-In</w:t>
      </w:r>
      <w:r>
        <w:t xml:space="preserve">”</w:t>
      </w:r>
      <w:r>
        <w:t xml:space="preserve"> </w:t>
      </w:r>
      <w:r>
        <w:t xml:space="preserve">— a founding document framing SOV3’s mission as liberation from $100K compliance costs, 18-month implementations, opaque pricing, assessment-only theater, and vendor-tied governance. Launch the SOV3 platform. Push to Hacker News. Push to Product Hunt. Push to every outlet that will take the embargo.</w:t>
      </w:r>
    </w:p>
    <w:p>
      <w:r>
        <w:pict>
          <v:rect style="width:0;height:1.5pt" o:hralign="center" o:hrstd="t" o:hr="t"/>
        </w:pict>
      </w:r>
    </w:p>
    <w:bookmarkEnd w:id="64"/>
    <w:bookmarkStart w:id="65" w:name="X2c21f555f913cbed69526280203acd028a60e72"/>
    <w:p>
      <w:pPr>
        <w:pStyle w:val="Heading3"/>
      </w:pPr>
      <w:r>
        <w:t xml:space="preserve">Phase V: The Coup de Grâce (July 1-4) — Days 21-25</w:t>
      </w:r>
    </w:p>
    <w:p>
      <w:pPr>
        <w:pStyle w:val="FirstParagraph"/>
      </w:pPr>
      <w:r>
        <w:rPr>
          <w:bCs/>
          <w:b/>
        </w:rPr>
        <w:t xml:space="preserve">Note:</w:t>
      </w:r>
      <w:r>
        <w:t xml:space="preserve"> </w:t>
      </w:r>
      <w:r>
        <w:t xml:space="preserve">Days 21-25 overlap with Days 16-20. This is intentional. The final phase runs in parallel — maximum pressure from multiple vectors simultaneously.</w:t>
      </w:r>
    </w:p>
    <w:p>
      <w:pPr>
        <w:pStyle w:val="BodyText"/>
      </w:pPr>
      <w:r>
        <w:rPr>
          <w:bCs/>
          <w:b/>
        </w:rPr>
        <w:t xml:space="preserve">Day 21 — Tuesday, July 1: CVE Drop Amplification — CrowdStrike Split Eve</w:t>
      </w:r>
    </w:p>
    <w:p>
      <w:pPr>
        <w:pStyle w:val="BodyText"/>
      </w:pPr>
      <w:r>
        <w:t xml:space="preserve">The CrowdStrike 4-for-1 stock split executes July 2</w:t>
      </w:r>
      <w:r>
        <w:t xml:space="preserve"> </w:t>
      </w:r>
      <w:r>
        <w:rPr>
          <w:vertAlign w:val="superscript"/>
        </w:rPr>
        <w:t xml:space="preserve">12</w:t>
      </w:r>
      <w:r>
        <w:t xml:space="preserve">. Retail investors will flood in. Media attention will peak. If SOV3 drops a</w:t>
      </w:r>
      <w:r>
        <w:t xml:space="preserve"> </w:t>
      </w:r>
      <w:r>
        <w:t xml:space="preserve">“</w:t>
      </w:r>
      <w:r>
        <w:t xml:space="preserve">CrowdStrike Can’t Secure Itself</w:t>
      </w:r>
      <w:r>
        <w:t xml:space="preserve">”</w:t>
      </w:r>
      <w:r>
        <w:t xml:space="preserve"> </w:t>
      </w:r>
      <w:r>
        <w:t xml:space="preserve">narrative at that exact moment, it creates maximum reputational damage while the most eyes are on the stock [Insight 1].</w:t>
      </w:r>
    </w:p>
    <w:p>
      <w:pPr>
        <w:pStyle w:val="BodyText"/>
      </w:pPr>
      <w:r>
        <w:rPr>
          <w:bCs/>
          <w:b/>
        </w:rPr>
        <w:t xml:space="preserve">Action:</w:t>
      </w:r>
      <w:r>
        <w:t xml:space="preserve"> </w:t>
      </w:r>
      <w:r>
        <w:t xml:space="preserve">Publish the</w:t>
      </w:r>
      <w:r>
        <w:t xml:space="preserve"> </w:t>
      </w:r>
      <w:r>
        <w:t xml:space="preserve">“</w:t>
      </w:r>
      <w:r>
        <w:t xml:space="preserve">CrowdStrike Security Audit</w:t>
      </w:r>
      <w:r>
        <w:t xml:space="preserve">”</w:t>
      </w:r>
      <w:r>
        <w:t xml:space="preserve"> </w:t>
      </w:r>
      <w:r>
        <w:t xml:space="preserve">— a detailed technical report on CVE-2026-40050 (CVSS 9.8, LogScale path traversal)</w:t>
      </w:r>
      <w:r>
        <w:t xml:space="preserve"> </w:t>
      </w:r>
      <w:r>
        <w:rPr>
          <w:vertAlign w:val="superscript"/>
        </w:rPr>
        <w:t xml:space="preserve">1</w:t>
      </w:r>
      <w:r>
        <w:t xml:space="preserve"> </w:t>
      </w:r>
      <w:r>
        <w:rPr>
          <w:vertAlign w:val="superscript"/>
        </w:rPr>
        <w:t xml:space="preserve">14</w:t>
      </w:r>
      <w:r>
        <w:t xml:space="preserve">, the July 19, 2024 BSOD incident ($10B+ global cost, 8.5M+ machines down)</w:t>
      </w:r>
      <w:r>
        <w:t xml:space="preserve"> </w:t>
      </w:r>
      <w:r>
        <w:rPr>
          <w:vertAlign w:val="superscript"/>
        </w:rPr>
        <w:t xml:space="preserve">8</w:t>
      </w:r>
      <w:r>
        <w:t xml:space="preserve">, and the pattern of kernel-level single points of failure (Lazarus Group targeting, Arsenal-237 toolkit) [Dim04, Section 2.4]. The headline:</w:t>
      </w:r>
      <w:r>
        <w:t xml:space="preserve"> </w:t>
      </w:r>
      <w:r>
        <w:rPr>
          <w:iCs/>
          <w:i/>
        </w:rPr>
        <w:t xml:space="preserve">“</w:t>
      </w:r>
      <w:r>
        <w:rPr>
          <w:iCs/>
          <w:i/>
        </w:rPr>
        <w:t xml:space="preserve">A 4-for-1 Split Doesn’t Patch a 9.8 CVSS Vulnerability.</w:t>
      </w:r>
      <w:r>
        <w:rPr>
          <w:iCs/>
          <w:i/>
        </w:rPr>
        <w:t xml:space="preserve">”</w:t>
      </w:r>
      <w:r>
        <w:t xml:space="preserve"> </w:t>
      </w:r>
      <w:r>
        <w:t xml:space="preserve">Time the publication for 6:00 AM ET on July 2 — one hour before market open.</w:t>
      </w:r>
    </w:p>
    <w:p>
      <w:pPr>
        <w:pStyle w:val="BodyText"/>
      </w:pPr>
      <w:r>
        <w:rPr>
          <w:bCs/>
          <w:b/>
        </w:rPr>
        <w:t xml:space="preserve">Day 22 — Wednesday, July 2: Maximum Attention Strike — Stock Split Day</w:t>
      </w:r>
    </w:p>
    <w:p>
      <w:pPr>
        <w:pStyle w:val="BodyText"/>
      </w:pPr>
      <w:r>
        <w:t xml:space="preserve">CrowdStrike’s stock split is today. Retail investors are watching. The</w:t>
      </w:r>
      <w:r>
        <w:t xml:space="preserve"> </w:t>
      </w:r>
      <w:r>
        <w:t xml:space="preserve">“</w:t>
      </w:r>
      <w:r>
        <w:t xml:space="preserve">CrowdStrike Security Audit</w:t>
      </w:r>
      <w:r>
        <w:t xml:space="preserve">”</w:t>
      </w:r>
      <w:r>
        <w:t xml:space="preserve"> </w:t>
      </w:r>
      <w:r>
        <w:t xml:space="preserve">published this morning hits a receptive audience.</w:t>
      </w:r>
    </w:p>
    <w:p>
      <w:pPr>
        <w:pStyle w:val="BodyText"/>
      </w:pPr>
      <w:r>
        <w:rPr>
          <w:bCs/>
          <w:b/>
        </w:rPr>
        <w:t xml:space="preserve">Action:</w:t>
      </w:r>
      <w:r>
        <w:t xml:space="preserve"> </w:t>
      </w:r>
      <w:r>
        <w:t xml:space="preserve">Activate all channels simultaneously. Hacker News front-page push at market open. LinkedIn executive commentary from Nick Templeman. Twitter/X thread breaking down the audit findings. Dark Reading and SecurityWeek pitches with exclusive quotes. Podcast recording for The AI Daily Brief (198K weekly listeners) [Dim11, Section 3]. The message discipline:</w:t>
      </w:r>
      <w:r>
        <w:t xml:space="preserve"> </w:t>
      </w:r>
      <w:r>
        <w:rPr>
          <w:iCs/>
          <w:i/>
        </w:rPr>
        <w:t xml:space="preserve">“</w:t>
      </w:r>
      <w:r>
        <w:rPr>
          <w:iCs/>
          <w:i/>
        </w:rPr>
        <w:t xml:space="preserve">CrowdStrike is splitting its stock while its own security products need patching. The question isn’t whether the stock will rise. The question is whether the LogScale vulnerability will be exploited before the next earnings call.</w:t>
      </w:r>
      <w:r>
        <w:rPr>
          <w:iCs/>
          <w:i/>
        </w:rPr>
        <w:t xml:space="preserve">”</w:t>
      </w:r>
    </w:p>
    <w:p>
      <w:pPr>
        <w:pStyle w:val="BodyText"/>
      </w:pPr>
      <w:r>
        <w:rPr>
          <w:bCs/>
          <w:b/>
        </w:rPr>
        <w:t xml:space="preserve">Day 23 — Thursday, July 3: Migration Floodgates Open —</w:t>
      </w:r>
      <w:r>
        <w:rPr>
          <w:bCs/>
          <w:b/>
        </w:rPr>
        <w:t xml:space="preserve"> </w:t>
      </w:r>
      <w:r>
        <w:rPr>
          <w:bCs/>
          <w:b/>
        </w:rPr>
        <w:t xml:space="preserve">“</w:t>
      </w:r>
      <w:r>
        <w:rPr>
          <w:bCs/>
          <w:b/>
        </w:rPr>
        <w:t xml:space="preserve">The July 4th Special</w:t>
      </w:r>
      <w:r>
        <w:rPr>
          <w:bCs/>
          <w:b/>
        </w:rPr>
        <w:t xml:space="preserve">”</w:t>
      </w:r>
    </w:p>
    <w:p>
      <w:pPr>
        <w:pStyle w:val="BodyText"/>
      </w:pPr>
      <w:r>
        <w:t xml:space="preserve">The final pre-launch push. Every lead generated by the EU scanner, the comparison site, the OneTrust Escape page, the PDCA GitHub repo, and the certification signup gets the same message:</w:t>
      </w:r>
      <w:r>
        <w:t xml:space="preserve"> </w:t>
      </w:r>
      <w:r>
        <w:rPr>
          <w:iCs/>
          <w:i/>
        </w:rPr>
        <w:t xml:space="preserve">“</w:t>
      </w:r>
      <w:r>
        <w:rPr>
          <w:iCs/>
          <w:i/>
        </w:rPr>
        <w:t xml:space="preserve">Launch tomorrow. Lock in Pay What You Can pricing before midnight.</w:t>
      </w:r>
      <w:r>
        <w:rPr>
          <w:iCs/>
          <w:i/>
        </w:rPr>
        <w:t xml:space="preserve">”</w:t>
      </w:r>
    </w:p>
    <w:p>
      <w:pPr>
        <w:pStyle w:val="BodyText"/>
      </w:pPr>
      <w:r>
        <w:rPr>
          <w:bCs/>
          <w:b/>
        </w:rPr>
        <w:t xml:space="preserve">Action:</w:t>
      </w:r>
      <w:r>
        <w:t xml:space="preserve"> </w:t>
      </w:r>
      <w:r>
        <w:t xml:space="preserve">Send the final email blast to the full nurture list: 5,000+ European CISOs, 2,000+ US security leaders, 500+ developer community members. The offer: 50% off Year 1 for anyone who signs up before July 5 midnight. Free Watchdog certification for the first 500. Free EU AI Act compliance report for every EU-based sign-up.</w:t>
      </w:r>
    </w:p>
    <w:p>
      <w:pPr>
        <w:pStyle w:val="BodyText"/>
      </w:pPr>
      <w:r>
        <w:rPr>
          <w:bCs/>
          <w:b/>
        </w:rPr>
        <w:t xml:space="preserve">Day 24 — Friday, July 4: LAUNCH DAY — Independence from Black-Box Governance</w:t>
      </w:r>
    </w:p>
    <w:p>
      <w:pPr>
        <w:pStyle w:val="BodyText"/>
      </w:pPr>
      <w:r>
        <w:t xml:space="preserve">SOV3 launches. The platform goes live. The comparison site is updated with live demo links. The GitHub repo gets its v1.0.0 tag. The certification portal opens. The pricing page is live.</w:t>
      </w:r>
    </w:p>
    <w:p>
      <w:pPr>
        <w:pStyle w:val="BodyText"/>
      </w:pPr>
      <w:r>
        <w:rPr>
          <w:bCs/>
          <w:b/>
        </w:rPr>
        <w:t xml:space="preserve">Action:</w:t>
      </w:r>
      <w:r>
        <w:t xml:space="preserve"> </w:t>
      </w:r>
      <w:r>
        <w:t xml:space="preserve">Execute the coordinated launch playbook: embargoed press releases to Tier 1 (Wired, TechCrunch, Bloomberg), Tier 2 (VentureBeat, Dark Reading, CSO Online), and Tier 3 (SecurityWeek, SiliconANGLE) [Dim11, Section 5.2]. Hacker News</w:t>
      </w:r>
      <w:r>
        <w:t xml:space="preserve"> </w:t>
      </w:r>
      <w:r>
        <w:t xml:space="preserve">“</w:t>
      </w:r>
      <w:r>
        <w:t xml:space="preserve">Show HN</w:t>
      </w:r>
      <w:r>
        <w:t xml:space="preserve">”</w:t>
      </w:r>
      <w:r>
        <w:t xml:space="preserve"> </w:t>
      </w:r>
      <w:r>
        <w:t xml:space="preserve">with live demo at 9:00 AM ET. Product Hunt launch at 12:01 AM PT. Founder op-ed published in Wired:</w:t>
      </w:r>
      <w:r>
        <w:t xml:space="preserve"> </w:t>
      </w:r>
      <w:r>
        <w:t xml:space="preserve">“</w:t>
      </w:r>
      <w:r>
        <w:t xml:space="preserve">Why AI Governance Is a Security Problem, Not a Compliance Checklist.</w:t>
      </w:r>
      <w:r>
        <w:t xml:space="preserve">”</w:t>
      </w:r>
      <w:r>
        <w:t xml:space="preserve"> </w:t>
      </w:r>
      <w:r>
        <w:t xml:space="preserve">Podcast blitz: 80,000 Hours (credibility), Hard Fork (mainstream reach), Dwarkesh (technical depth) scheduled for the week [Dim11, Section 5.2].</w:t>
      </w:r>
    </w:p>
    <w:p>
      <w:pPr>
        <w:pStyle w:val="BodyText"/>
      </w:pPr>
      <w:r>
        <w:rPr>
          <w:bCs/>
          <w:b/>
        </w:rPr>
        <w:t xml:space="preserve">Day 25 — Saturday, July 5: Aftermath Assessment</w:t>
      </w:r>
    </w:p>
    <w:p>
      <w:pPr>
        <w:pStyle w:val="BodyText"/>
      </w:pPr>
      <w:r>
        <w:t xml:space="preserve">The war room does not rest. Day 25 is intelligence assessment: measure sign-ups, media mentions, social engagement, competitor responses, GitHub stars, certification registrations, and the chaos index. Feed everything into the Week 1 post-launch report. Identify which strikes landed, which missed, and where to concentrate fire in the 30-day post-launch campaign.</w:t>
      </w:r>
    </w:p>
    <w:p>
      <w:r>
        <w:pict>
          <v:rect style="width:0;height:1.5pt" o:hralign="center" o:hrstd="t" o:hr="t"/>
        </w:pict>
      </w:r>
    </w:p>
    <w:bookmarkEnd w:id="65"/>
    <w:bookmarkStart w:id="66" w:name="chapter-6-key-takeaways"/>
    <w:p>
      <w:pPr>
        <w:pStyle w:val="Heading3"/>
      </w:pPr>
      <w:r>
        <w:t xml:space="preserve">Chapter 6 Key Takeaways</w:t>
      </w:r>
    </w:p>
    <w:tbl>
      <w:tblPr>
        <w:tblStyle w:val="Table"/>
        <w:tblW w:type="pct" w:w="5000"/>
        <w:tblLook w:firstRow="1" w:lastRow="0" w:firstColumn="0" w:lastColumn="0" w:noHBand="0" w:noVBand="0" w:val="0020"/>
      </w:tblPr>
      <w:tblGrid>
        <w:gridCol w:w="827"/>
        <w:gridCol w:w="709"/>
        <w:gridCol w:w="1891"/>
        <w:gridCol w:w="2600"/>
        <w:gridCol w:w="1891"/>
      </w:tblGrid>
      <w:tr>
        <w:trPr>
          <w:tblHeader w:val="true"/>
        </w:trPr>
        <w:tc>
          <w:tcPr/>
          <w:p>
            <w:pPr>
              <w:pStyle w:val="Compact"/>
              <w:jc w:val="left"/>
            </w:pPr>
            <w:r>
              <w:t xml:space="preserve">Phase</w:t>
            </w:r>
          </w:p>
        </w:tc>
        <w:tc>
          <w:tcPr/>
          <w:p>
            <w:pPr>
              <w:pStyle w:val="Compact"/>
              <w:jc w:val="left"/>
            </w:pPr>
            <w:r>
              <w:t xml:space="preserve">Days</w:t>
            </w:r>
          </w:p>
        </w:tc>
        <w:tc>
          <w:tcPr/>
          <w:p>
            <w:pPr>
              <w:pStyle w:val="Compact"/>
              <w:jc w:val="left"/>
            </w:pPr>
            <w:r>
              <w:t xml:space="preserve">Primary Target</w:t>
            </w:r>
          </w:p>
        </w:tc>
        <w:tc>
          <w:tcPr/>
          <w:p>
            <w:pPr>
              <w:pStyle w:val="Compact"/>
              <w:jc w:val="left"/>
            </w:pPr>
            <w:r>
              <w:t xml:space="preserve">Key Intelligence Asset</w:t>
            </w:r>
          </w:p>
        </w:tc>
        <w:tc>
          <w:tcPr/>
          <w:p>
            <w:pPr>
              <w:pStyle w:val="Compact"/>
              <w:jc w:val="left"/>
            </w:pPr>
            <w:r>
              <w:t xml:space="preserve">Success Metric</w:t>
            </w:r>
          </w:p>
        </w:tc>
      </w:tr>
      <w:tr>
        <w:tc>
          <w:tcPr/>
          <w:p>
            <w:pPr>
              <w:pStyle w:val="Compact"/>
              <w:jc w:val="left"/>
            </w:pPr>
            <w:r>
              <w:rPr>
                <w:bCs/>
                <w:b/>
              </w:rPr>
              <w:t xml:space="preserve">I: Seeding Doubt</w:t>
            </w:r>
          </w:p>
        </w:tc>
        <w:tc>
          <w:tcPr/>
          <w:p>
            <w:pPr>
              <w:pStyle w:val="Compact"/>
              <w:jc w:val="left"/>
            </w:pPr>
            <w:r>
              <w:t xml:space="preserve">June 9-13</w:t>
            </w:r>
          </w:p>
        </w:tc>
        <w:tc>
          <w:tcPr/>
          <w:p>
            <w:pPr>
              <w:pStyle w:val="Compact"/>
              <w:jc w:val="left"/>
            </w:pPr>
            <w:r>
              <w:t xml:space="preserve">CrowdStrike, PANW, Cloudflare</w:t>
            </w:r>
          </w:p>
        </w:tc>
        <w:tc>
          <w:tcPr/>
          <w:p>
            <w:pPr>
              <w:pStyle w:val="Compact"/>
              <w:jc w:val="left"/>
            </w:pPr>
            <w:r>
              <w:t xml:space="preserve">$30M insider selling</w:t>
            </w:r>
            <w:r>
              <w:t xml:space="preserve"> </w:t>
            </w:r>
            <w:r>
              <w:rPr>
                <w:vertAlign w:val="superscript"/>
              </w:rPr>
              <w:t xml:space="preserve">28</w:t>
            </w:r>
            <w:r>
              <w:t xml:space="preserve">; CISA deadline June 10</w:t>
            </w:r>
            <w:r>
              <w:t xml:space="preserve"> </w:t>
            </w:r>
            <w:r>
              <w:rPr>
                <w:vertAlign w:val="superscript"/>
              </w:rPr>
              <w:t xml:space="preserve">23</w:t>
            </w:r>
            <w:r>
              <w:t xml:space="preserve">; 1,100 layoffs</w:t>
            </w:r>
            <w:r>
              <w:t xml:space="preserve"> </w:t>
            </w:r>
            <w:r>
              <w:rPr>
                <w:vertAlign w:val="superscript"/>
              </w:rPr>
              <w:t xml:space="preserve">71</w:t>
            </w:r>
          </w:p>
        </w:tc>
        <w:tc>
          <w:tcPr/>
          <w:p>
            <w:pPr>
              <w:pStyle w:val="Compact"/>
              <w:jc w:val="left"/>
            </w:pPr>
            <w:r>
              <w:t xml:space="preserve">5,000+ report downloads; 3+ media pickups</w:t>
            </w:r>
          </w:p>
        </w:tc>
      </w:tr>
      <w:tr>
        <w:tc>
          <w:tcPr/>
          <w:p>
            <w:pPr>
              <w:pStyle w:val="Compact"/>
              <w:jc w:val="left"/>
            </w:pPr>
            <w:r>
              <w:rPr>
                <w:bCs/>
                <w:b/>
              </w:rPr>
              <w:t xml:space="preserve">II: Amplifying Chaos</w:t>
            </w:r>
          </w:p>
        </w:tc>
        <w:tc>
          <w:tcPr/>
          <w:p>
            <w:pPr>
              <w:pStyle w:val="Compact"/>
              <w:jc w:val="left"/>
            </w:pPr>
            <w:r>
              <w:t xml:space="preserve">June 16-20</w:t>
            </w:r>
          </w:p>
        </w:tc>
        <w:tc>
          <w:tcPr/>
          <w:p>
            <w:pPr>
              <w:pStyle w:val="Compact"/>
              <w:jc w:val="left"/>
            </w:pPr>
            <w:r>
              <w:t xml:space="preserve">All incumbents</w:t>
            </w:r>
          </w:p>
        </w:tc>
        <w:tc>
          <w:tcPr/>
          <w:p>
            <w:pPr>
              <w:pStyle w:val="Compact"/>
              <w:jc w:val="left"/>
            </w:pPr>
            <w:r>
              <w:t xml:space="preserve">Pricing opacity [Dim06]; funding fiction [Dim10]; assessment-only gap [Dim12]</w:t>
            </w:r>
          </w:p>
        </w:tc>
        <w:tc>
          <w:tcPr/>
          <w:p>
            <w:pPr>
              <w:pStyle w:val="Compact"/>
              <w:jc w:val="left"/>
            </w:pPr>
            <w:r>
              <w:t xml:space="preserve">10,000+ compare site visits; 500+ EU scans; 500+ GitHub stars</w:t>
            </w:r>
          </w:p>
        </w:tc>
      </w:tr>
      <w:tr>
        <w:tc>
          <w:tcPr/>
          <w:p>
            <w:pPr>
              <w:pStyle w:val="Compact"/>
              <w:jc w:val="left"/>
            </w:pPr>
            <w:r>
              <w:rPr>
                <w:bCs/>
                <w:b/>
              </w:rPr>
              <w:t xml:space="preserve">III: Economic Drain</w:t>
            </w:r>
          </w:p>
        </w:tc>
        <w:tc>
          <w:tcPr/>
          <w:p>
            <w:pPr>
              <w:pStyle w:val="Compact"/>
              <w:jc w:val="left"/>
            </w:pPr>
            <w:r>
              <w:t xml:space="preserve">June 23-27</w:t>
            </w:r>
          </w:p>
        </w:tc>
        <w:tc>
          <w:tcPr/>
          <w:p>
            <w:pPr>
              <w:pStyle w:val="Compact"/>
              <w:jc w:val="left"/>
            </w:pPr>
            <w:r>
              <w:t xml:space="preserve">OneTrust, Microsoft</w:t>
            </w:r>
          </w:p>
        </w:tc>
        <w:tc>
          <w:tcPr/>
          <w:p>
            <w:pPr>
              <w:pStyle w:val="Compact"/>
              <w:jc w:val="left"/>
            </w:pPr>
            <w:r>
              <w:t xml:space="preserve">275-468% renewal spikes</w:t>
            </w:r>
            <w:r>
              <w:t xml:space="preserve"> </w:t>
            </w:r>
            <w:r>
              <w:rPr>
                <w:vertAlign w:val="superscript"/>
              </w:rPr>
              <w:t xml:space="preserve">84</w:t>
            </w:r>
            <w:r>
              <w:t xml:space="preserve">; Azure CVE cluster</w:t>
            </w:r>
            <w:r>
              <w:t xml:space="preserve"> </w:t>
            </w:r>
            <w:r>
              <w:rPr>
                <w:vertAlign w:val="superscript"/>
              </w:rPr>
              <w:t xml:space="preserve">15</w:t>
            </w:r>
            <w:r>
              <w:t xml:space="preserve"> </w:t>
            </w:r>
            <w:r>
              <w:rPr>
                <w:vertAlign w:val="superscript"/>
              </w:rPr>
              <w:t xml:space="preserve">33</w:t>
            </w:r>
          </w:p>
        </w:tc>
        <w:tc>
          <w:tcPr/>
          <w:p>
            <w:pPr>
              <w:pStyle w:val="Compact"/>
              <w:jc w:val="left"/>
            </w:pPr>
            <w:r>
              <w:t xml:space="preserve">200+ pricing sign-ups; 30+ talent applicants</w:t>
            </w:r>
          </w:p>
        </w:tc>
      </w:tr>
      <w:tr>
        <w:tc>
          <w:tcPr/>
          <w:p>
            <w:pPr>
              <w:pStyle w:val="Compact"/>
              <w:jc w:val="left"/>
            </w:pPr>
            <w:r>
              <w:rPr>
                <w:bCs/>
                <w:b/>
              </w:rPr>
              <w:t xml:space="preserve">IV: Narrative Dominance</w:t>
            </w:r>
          </w:p>
        </w:tc>
        <w:tc>
          <w:tcPr/>
          <w:p>
            <w:pPr>
              <w:pStyle w:val="Compact"/>
              <w:jc w:val="left"/>
            </w:pPr>
            <w:r>
              <w:t xml:space="preserve">June 30-July 4</w:t>
            </w:r>
          </w:p>
        </w:tc>
        <w:tc>
          <w:tcPr/>
          <w:p>
            <w:pPr>
              <w:pStyle w:val="Compact"/>
              <w:jc w:val="left"/>
            </w:pPr>
            <w:r>
              <w:t xml:space="preserve">Industry authority</w:t>
            </w:r>
          </w:p>
        </w:tc>
        <w:tc>
          <w:tcPr/>
          <w:p>
            <w:pPr>
              <w:pStyle w:val="Compact"/>
              <w:jc w:val="left"/>
            </w:pPr>
            <w:r>
              <w:t xml:space="preserve">Certification desert [Insight 3]; July 4 symbolism [Insight 5]</w:t>
            </w:r>
          </w:p>
        </w:tc>
        <w:tc>
          <w:tcPr/>
          <w:p>
            <w:pPr>
              <w:pStyle w:val="Compact"/>
              <w:jc w:val="left"/>
            </w:pPr>
            <w:r>
              <w:t xml:space="preserve">Transparency Index pickup; certification registrations</w:t>
            </w:r>
          </w:p>
        </w:tc>
      </w:tr>
      <w:tr>
        <w:tc>
          <w:tcPr/>
          <w:p>
            <w:pPr>
              <w:pStyle w:val="Compact"/>
              <w:jc w:val="left"/>
            </w:pPr>
            <w:r>
              <w:rPr>
                <w:bCs/>
                <w:b/>
              </w:rPr>
              <w:t xml:space="preserve">V: Coup de Grâce</w:t>
            </w:r>
          </w:p>
        </w:tc>
        <w:tc>
          <w:tcPr/>
          <w:p>
            <w:pPr>
              <w:pStyle w:val="Compact"/>
              <w:jc w:val="left"/>
            </w:pPr>
            <w:r>
              <w:t xml:space="preserve">July 1-4</w:t>
            </w:r>
          </w:p>
        </w:tc>
        <w:tc>
          <w:tcPr/>
          <w:p>
            <w:pPr>
              <w:pStyle w:val="Compact"/>
              <w:jc w:val="left"/>
            </w:pPr>
            <w:r>
              <w:t xml:space="preserve">CrowdStrike (split day)</w:t>
            </w:r>
          </w:p>
        </w:tc>
        <w:tc>
          <w:tcPr/>
          <w:p>
            <w:pPr>
              <w:pStyle w:val="Compact"/>
              <w:jc w:val="left"/>
            </w:pPr>
            <w:r>
              <w:t xml:space="preserve">Stock split convergence [Insight 1]; CVSS 9.8</w:t>
            </w:r>
            <w:r>
              <w:t xml:space="preserve"> </w:t>
            </w:r>
            <w:r>
              <w:rPr>
                <w:vertAlign w:val="superscript"/>
              </w:rPr>
              <w:t xml:space="preserve">1</w:t>
            </w:r>
          </w:p>
        </w:tc>
        <w:tc>
          <w:tcPr/>
          <w:p>
            <w:pPr>
              <w:pStyle w:val="Compact"/>
              <w:jc w:val="left"/>
            </w:pPr>
            <w:r>
              <w:t xml:space="preserve">Launch sign-ups; media embargo execution</w:t>
            </w:r>
          </w:p>
        </w:tc>
      </w:tr>
    </w:tbl>
    <w:p>
      <w:pPr>
        <w:pStyle w:val="BodyText"/>
      </w:pPr>
      <w:r>
        <w:rPr>
          <w:bCs/>
          <w:b/>
        </w:rPr>
        <w:t xml:space="preserve">The 25-Day Strike Protocol is not a marketing plan.</w:t>
      </w:r>
      <w:r>
        <w:t xml:space="preserve"> </w:t>
      </w:r>
      <w:r>
        <w:t xml:space="preserve">It is a compounding damage cascade engineered around verified intelligence assets: SEC filings, CVE disclosures, federal deadlines, earnings calendars, and competitive architecture gaps. Every action exploits a vulnerability that the targets cannot patch in 25 days. CrowdStrike cannot recall its CEO’s stock sales. Palo Alto cannot retract a CISA KEV listing. OneTrust cannot fix its pricing opacity overnight. Microsoft cannot patch six months of Azure vulnerabilities in a week.</w:t>
      </w:r>
    </w:p>
    <w:p>
      <w:pPr>
        <w:pStyle w:val="BodyText"/>
      </w:pPr>
      <w:r>
        <w:t xml:space="preserve">By July 4, the incumbents will be reacting to SOV3’s narrative on five fronts — pricing, transparency, certification, technical architecture, and timing — while SOV3 launches into a market primed by 25 days of doubt, chaos, economic pressure, and narrative dominance. The competitors built their moats over years. SOV3 collapses them in 25 days.</w:t>
      </w:r>
    </w:p>
    <w:p>
      <w:pPr>
        <w:pStyle w:val="BodyText"/>
      </w:pPr>
      <w:r>
        <w:t xml:space="preserve">Nick Templeman executes from this document. No deviations. No hesitation. Strike in order. Strike hard. Launch.</w:t>
      </w:r>
    </w:p>
    <w:p>
      <w:r>
        <w:pict>
          <v:rect style="width:0;height:1.5pt" o:hralign="center" o:hrstd="t" o:hr="t"/>
        </w:pict>
      </w:r>
    </w:p>
    <w:bookmarkEnd w:id="66"/>
    <w:bookmarkEnd w:id="67"/>
    <w:bookmarkStart w:id="72" w:name="X2ad800f73ba7b2ce118b980a70160c357859912"/>
    <w:p>
      <w:pPr>
        <w:pStyle w:val="Heading2"/>
      </w:pPr>
      <w:r>
        <w:t xml:space="preserve">7. Talent, Acquisition &amp; Ecosystem Intelligence</w:t>
      </w:r>
    </w:p>
    <w:bookmarkStart w:id="68" w:name="targets-for-join-the-dragon-recruiting"/>
    <w:p>
      <w:pPr>
        <w:pStyle w:val="Heading3"/>
      </w:pPr>
      <w:r>
        <w:t xml:space="preserve">7.1 Targets for</w:t>
      </w:r>
      <w:r>
        <w:t xml:space="preserve"> </w:t>
      </w:r>
      <w:r>
        <w:t xml:space="preserve">“</w:t>
      </w:r>
      <w:r>
        <w:t xml:space="preserve">Join the Dragon</w:t>
      </w:r>
      <w:r>
        <w:t xml:space="preserve">”</w:t>
      </w:r>
      <w:r>
        <w:t xml:space="preserve"> </w:t>
      </w:r>
      <w:r>
        <w:t xml:space="preserve">Recruiting</w:t>
      </w:r>
    </w:p>
    <w:p>
      <w:pPr>
        <w:pStyle w:val="FirstParagraph"/>
      </w:pPr>
      <w:r>
        <w:t xml:space="preserve">The AI governance talent market is on fire.</w:t>
      </w:r>
      <w:r>
        <w:t xml:space="preserve"> </w:t>
      </w:r>
      <w:r>
        <w:rPr>
          <w:bCs/>
          <w:b/>
        </w:rPr>
        <w:t xml:space="preserve">411 job postings</w:t>
      </w:r>
      <w:r>
        <w:t xml:space="preserve"> </w:t>
      </w:r>
      <w:r>
        <w:t xml:space="preserve">mentioning</w:t>
      </w:r>
      <w:r>
        <w:t xml:space="preserve"> </w:t>
      </w:r>
      <w:r>
        <w:t xml:space="preserve">“</w:t>
      </w:r>
      <w:r>
        <w:t xml:space="preserve">AI governance</w:t>
      </w:r>
      <w:r>
        <w:t xml:space="preserve">”</w:t>
      </w:r>
      <w:r>
        <w:t xml:space="preserve"> </w:t>
      </w:r>
      <w:r>
        <w:t xml:space="preserve">appeared in the last 90 days alone</w:t>
      </w:r>
      <w:r>
        <w:t xml:space="preserve"> </w:t>
      </w:r>
      <w:r>
        <w:rPr>
          <w:vertAlign w:val="superscript"/>
        </w:rPr>
        <w:t xml:space="preserve">62</w:t>
      </w:r>
      <w:r>
        <w:t xml:space="preserve">, driven by the August 2026 EU AI Act enforcement deadline and a 540% surge in prompt-injection vulnerabilities forcing enterprises to staff defensive teams</w:t>
      </w:r>
      <w:r>
        <w:t xml:space="preserve"> </w:t>
      </w:r>
      <w:r>
        <w:rPr>
          <w:vertAlign w:val="superscript"/>
        </w:rPr>
        <w:t xml:space="preserve">96</w:t>
      </w:r>
      <w:r>
        <w:t xml:space="preserve">. The competition for qualified personnel has reached a fever pitch — WitnessAI just 5x’d headcount to 69 employees after raising $58 million</w:t>
      </w:r>
      <w:r>
        <w:t xml:space="preserve"> </w:t>
      </w:r>
      <w:r>
        <w:rPr>
          <w:vertAlign w:val="superscript"/>
        </w:rPr>
        <w:t xml:space="preserve">61</w:t>
      </w:r>
      <w:r>
        <w:t xml:space="preserve"> </w:t>
      </w:r>
      <w:r>
        <w:rPr>
          <w:vertAlign w:val="superscript"/>
        </w:rPr>
        <w:t xml:space="preserve">97</w:t>
      </w:r>
      <w:r>
        <w:t xml:space="preserve">, Zenity has 30+ open roles funded by $59.5 million in venture backing</w:t>
      </w:r>
      <w:r>
        <w:t xml:space="preserve"> </w:t>
      </w:r>
      <w:r>
        <w:rPr>
          <w:vertAlign w:val="superscript"/>
        </w:rPr>
        <w:t xml:space="preserve">9</w:t>
      </w:r>
      <w:r>
        <w:t xml:space="preserve"> </w:t>
      </w:r>
      <w:r>
        <w:rPr>
          <w:vertAlign w:val="superscript"/>
        </w:rPr>
        <w:t xml:space="preserve">95</w:t>
      </w:r>
      <w:r>
        <w:t xml:space="preserve">, and Sycamore Labs closed a $65 million seed round to hire against its agent-OS roadmap</w:t>
      </w:r>
      <w:r>
        <w:t xml:space="preserve"> </w:t>
      </w:r>
      <w:r>
        <w:rPr>
          <w:vertAlign w:val="superscript"/>
        </w:rPr>
        <w:t xml:space="preserve">57</w:t>
      </w:r>
      <w:r>
        <w:t xml:space="preserve"> </w:t>
      </w:r>
      <w:r>
        <w:rPr>
          <w:vertAlign w:val="superscript"/>
        </w:rPr>
        <w:t xml:space="preserve">98</w:t>
      </w:r>
      <w:r>
        <w:t xml:space="preserve">. SOV3 enters this arms race with a decisive advantage: the dragon brand, a mission that resonates beyond corporate sloganeering, and — most critically —</w:t>
      </w:r>
      <w:r>
        <w:t xml:space="preserve"> </w:t>
      </w:r>
      <w:r>
        <w:rPr>
          <w:bCs/>
          <w:b/>
        </w:rPr>
        <w:t xml:space="preserve">competitors who are actively shedding talent</w:t>
      </w:r>
      <w:r>
        <w:t xml:space="preserve">.</w:t>
      </w:r>
    </w:p>
    <w:p>
      <w:pPr>
        <w:pStyle w:val="BodyText"/>
      </w:pPr>
      <w:r>
        <w:t xml:space="preserve">The following table maps the highest-value roles SOV3 must fill immediately, benchmarked against verified market compensation:</w:t>
      </w:r>
    </w:p>
    <w:tbl>
      <w:tblPr>
        <w:tblStyle w:val="Table"/>
        <w:tblW w:type="pct" w:w="5000"/>
        <w:tblLook w:firstRow="1" w:lastRow="0" w:firstColumn="0" w:lastColumn="0" w:noHBand="0" w:noVBand="0" w:val="0020"/>
      </w:tblPr>
      <w:tblGrid>
        <w:gridCol w:w="1552"/>
        <w:gridCol w:w="931"/>
        <w:gridCol w:w="3727"/>
        <w:gridCol w:w="1708"/>
      </w:tblGrid>
      <w:tr>
        <w:trPr>
          <w:tblHeader w:val="true"/>
        </w:trPr>
        <w:tc>
          <w:tcPr/>
          <w:p>
            <w:pPr>
              <w:pStyle w:val="Compact"/>
              <w:jc w:val="left"/>
            </w:pPr>
            <w:r>
              <w:t xml:space="preserve">Priority</w:t>
            </w:r>
          </w:p>
        </w:tc>
        <w:tc>
          <w:tcPr/>
          <w:p>
            <w:pPr>
              <w:pStyle w:val="Compact"/>
              <w:jc w:val="left"/>
            </w:pPr>
            <w:r>
              <w:t xml:space="preserve">Role</w:t>
            </w:r>
          </w:p>
        </w:tc>
        <w:tc>
          <w:tcPr/>
          <w:p>
            <w:pPr>
              <w:pStyle w:val="Compact"/>
              <w:jc w:val="left"/>
            </w:pPr>
            <w:r>
              <w:t xml:space="preserve">Salary Range (US, 2026)</w:t>
            </w:r>
          </w:p>
        </w:tc>
        <w:tc>
          <w:tcPr/>
          <w:p>
            <w:pPr>
              <w:pStyle w:val="Compact"/>
              <w:jc w:val="left"/>
            </w:pPr>
            <w:r>
              <w:t xml:space="preserve">Rationale</w:t>
            </w:r>
          </w:p>
        </w:tc>
      </w:tr>
      <w:tr>
        <w:tc>
          <w:tcPr/>
          <w:p>
            <w:pPr>
              <w:pStyle w:val="Compact"/>
              <w:jc w:val="left"/>
            </w:pPr>
            <w:r>
              <w:t xml:space="preserve">P0</w:t>
            </w:r>
          </w:p>
        </w:tc>
        <w:tc>
          <w:tcPr/>
          <w:p>
            <w:pPr>
              <w:pStyle w:val="Compact"/>
              <w:jc w:val="left"/>
            </w:pPr>
            <w:r>
              <w:t xml:space="preserve">AI Governance Engineer (Senior/Staff)</w:t>
            </w:r>
          </w:p>
        </w:tc>
        <w:tc>
          <w:tcPr/>
          <w:p>
            <w:pPr>
              <w:pStyle w:val="Compact"/>
              <w:jc w:val="left"/>
            </w:pPr>
            <w:r>
              <w:rPr>
                <w:bCs/>
                <w:b/>
              </w:rPr>
              <w:t xml:space="preserve">$160K–$221K</w:t>
            </w:r>
            <w:r>
              <w:t xml:space="preserve"> </w:t>
            </w:r>
            <w:r>
              <w:t xml:space="preserve">base + 0.1–0.5% equity</w:t>
            </w:r>
            <w:r>
              <w:t xml:space="preserve"> </w:t>
            </w:r>
            <w:r>
              <w:rPr>
                <w:vertAlign w:val="superscript"/>
              </w:rPr>
              <w:t xml:space="preserve">56</w:t>
            </w:r>
            <w:r>
              <w:t xml:space="preserve"> </w:t>
            </w:r>
            <w:r>
              <w:rPr>
                <w:vertAlign w:val="superscript"/>
              </w:rPr>
              <w:t xml:space="preserve">53</w:t>
            </w:r>
            <w:r>
              <w:t xml:space="preserve"> </w:t>
            </w:r>
            <w:r>
              <w:rPr>
                <w:vertAlign w:val="superscript"/>
              </w:rPr>
              <w:t xml:space="preserve">50</w:t>
            </w:r>
          </w:p>
        </w:tc>
        <w:tc>
          <w:tcPr/>
          <w:p>
            <w:pPr>
              <w:pStyle w:val="Compact"/>
              <w:jc w:val="left"/>
            </w:pPr>
            <w:r>
              <w:t xml:space="preserve">Technical AI governance roles command the highest premiums; dual-domain security + governance specialists earn 20–38% above general governance median of $123K</w:t>
            </w:r>
            <w:r>
              <w:t xml:space="preserve"> </w:t>
            </w:r>
            <w:r>
              <w:rPr>
                <w:vertAlign w:val="superscript"/>
              </w:rPr>
              <w:t xml:space="preserve">99</w:t>
            </w:r>
          </w:p>
        </w:tc>
      </w:tr>
      <w:tr>
        <w:tc>
          <w:tcPr/>
          <w:p>
            <w:pPr>
              <w:pStyle w:val="Compact"/>
              <w:jc w:val="left"/>
            </w:pPr>
            <w:r>
              <w:t xml:space="preserve">P0</w:t>
            </w:r>
          </w:p>
        </w:tc>
        <w:tc>
          <w:tcPr/>
          <w:p>
            <w:pPr>
              <w:pStyle w:val="Compact"/>
              <w:jc w:val="left"/>
            </w:pPr>
            <w:r>
              <w:t xml:space="preserve">VP / Director of Enterprise AI Strategy</w:t>
            </w:r>
          </w:p>
        </w:tc>
        <w:tc>
          <w:tcPr/>
          <w:p>
            <w:pPr>
              <w:pStyle w:val="Compact"/>
              <w:jc w:val="left"/>
            </w:pPr>
            <w:r>
              <w:rPr>
                <w:bCs/>
                <w:b/>
              </w:rPr>
              <w:t xml:space="preserve">$300K–$340K</w:t>
            </w:r>
            <w:r>
              <w:t xml:space="preserve"> </w:t>
            </w:r>
            <w:r>
              <w:t xml:space="preserve">base + 0.5–1.0% equity</w:t>
            </w:r>
            <w:r>
              <w:t xml:space="preserve"> </w:t>
            </w:r>
            <w:r>
              <w:rPr>
                <w:vertAlign w:val="superscript"/>
              </w:rPr>
              <w:t xml:space="preserve">100</w:t>
            </w:r>
          </w:p>
        </w:tc>
        <w:tc>
          <w:tcPr/>
          <w:p>
            <w:pPr>
              <w:pStyle w:val="Compact"/>
              <w:jc w:val="left"/>
            </w:pPr>
            <w:r>
              <w:t xml:space="preserve">CrowdStrike is actively recruiting this role at $300–340K; SOV3 must match or exceed</w:t>
            </w:r>
          </w:p>
        </w:tc>
      </w:tr>
      <w:tr>
        <w:tc>
          <w:tcPr/>
          <w:p>
            <w:pPr>
              <w:pStyle w:val="Compact"/>
              <w:jc w:val="left"/>
            </w:pPr>
            <w:r>
              <w:t xml:space="preserve">P1</w:t>
            </w:r>
          </w:p>
        </w:tc>
        <w:tc>
          <w:tcPr/>
          <w:p>
            <w:pPr>
              <w:pStyle w:val="Compact"/>
              <w:jc w:val="left"/>
            </w:pPr>
            <w:r>
              <w:t xml:space="preserve">EU AI Act Compliance Engineer</w:t>
            </w:r>
          </w:p>
        </w:tc>
        <w:tc>
          <w:tcPr/>
          <w:p>
            <w:pPr>
              <w:pStyle w:val="Compact"/>
              <w:jc w:val="left"/>
            </w:pPr>
            <w:r>
              <w:rPr>
                <w:bCs/>
                <w:b/>
              </w:rPr>
              <w:t xml:space="preserve">$150K–$200K</w:t>
            </w:r>
            <w:r>
              <w:t xml:space="preserve"> </w:t>
            </w:r>
            <w:r>
              <w:t xml:space="preserve">base</w:t>
            </w:r>
            <w:r>
              <w:t xml:space="preserve"> </w:t>
            </w:r>
            <w:r>
              <w:rPr>
                <w:vertAlign w:val="superscript"/>
              </w:rPr>
              <w:t xml:space="preserve">23</w:t>
            </w:r>
            <w:r>
              <w:t xml:space="preserve"> </w:t>
            </w:r>
            <w:r>
              <w:rPr>
                <w:vertAlign w:val="superscript"/>
              </w:rPr>
              <w:t xml:space="preserve">84</w:t>
            </w:r>
          </w:p>
        </w:tc>
        <w:tc>
          <w:tcPr/>
          <w:p>
            <w:pPr>
              <w:pStyle w:val="Compact"/>
              <w:jc w:val="left"/>
            </w:pPr>
            <w:r>
              <w:t xml:space="preserve">August 2026 deadline creates scarcity; only Credo AI and Holistic AI have deep benches</w:t>
            </w:r>
          </w:p>
        </w:tc>
      </w:tr>
      <w:tr>
        <w:tc>
          <w:tcPr/>
          <w:p>
            <w:pPr>
              <w:pStyle w:val="Compact"/>
              <w:jc w:val="left"/>
            </w:pPr>
            <w:r>
              <w:t xml:space="preserve">P1</w:t>
            </w:r>
          </w:p>
        </w:tc>
        <w:tc>
          <w:tcPr/>
          <w:p>
            <w:pPr>
              <w:pStyle w:val="Compact"/>
              <w:jc w:val="left"/>
            </w:pPr>
            <w:r>
              <w:t xml:space="preserve">AI Safety / Red Team Engineer</w:t>
            </w:r>
          </w:p>
        </w:tc>
        <w:tc>
          <w:tcPr/>
          <w:p>
            <w:pPr>
              <w:pStyle w:val="Compact"/>
              <w:jc w:val="left"/>
            </w:pPr>
            <w:r>
              <w:rPr>
                <w:bCs/>
                <w:b/>
              </w:rPr>
              <w:t xml:space="preserve">$160K–$220K</w:t>
            </w:r>
            <w:r>
              <w:t xml:space="preserve"> </w:t>
            </w:r>
            <w:r>
              <w:t xml:space="preserve">base</w:t>
            </w:r>
            <w:r>
              <w:t xml:space="preserve"> </w:t>
            </w:r>
            <w:r>
              <w:rPr>
                <w:vertAlign w:val="superscript"/>
              </w:rPr>
              <w:t xml:space="preserve">67</w:t>
            </w:r>
          </w:p>
        </w:tc>
        <w:tc>
          <w:tcPr/>
          <w:p>
            <w:pPr>
              <w:pStyle w:val="Compact"/>
              <w:jc w:val="left"/>
            </w:pPr>
            <w:r>
              <w:t xml:space="preserve">WitnessAI and Zenity investing heavily; SOV3 needs offensive testing capability</w:t>
            </w:r>
          </w:p>
        </w:tc>
      </w:tr>
      <w:tr>
        <w:tc>
          <w:tcPr/>
          <w:p>
            <w:pPr>
              <w:pStyle w:val="Compact"/>
              <w:jc w:val="left"/>
            </w:pPr>
            <w:r>
              <w:t xml:space="preserve">P2</w:t>
            </w:r>
          </w:p>
        </w:tc>
        <w:tc>
          <w:tcPr/>
          <w:p>
            <w:pPr>
              <w:pStyle w:val="Compact"/>
              <w:jc w:val="left"/>
            </w:pPr>
            <w:r>
              <w:t xml:space="preserve">AI Governance Product Manager</w:t>
            </w:r>
          </w:p>
        </w:tc>
        <w:tc>
          <w:tcPr/>
          <w:p>
            <w:pPr>
              <w:pStyle w:val="Compact"/>
              <w:jc w:val="left"/>
            </w:pPr>
            <w:r>
              <w:rPr>
                <w:bCs/>
                <w:b/>
              </w:rPr>
              <w:t xml:space="preserve">$140K–$180K</w:t>
            </w:r>
            <w:r>
              <w:t xml:space="preserve"> </w:t>
            </w:r>
            <w:r>
              <w:t xml:space="preserve">base</w:t>
            </w:r>
          </w:p>
        </w:tc>
        <w:tc>
          <w:tcPr/>
          <w:p>
            <w:pPr>
              <w:pStyle w:val="Compact"/>
              <w:jc w:val="left"/>
            </w:pPr>
            <w:r>
              <w:t xml:space="preserve">Bridge technical and regulatory expertise; 4% of all AI governance postings</w:t>
            </w:r>
            <w:r>
              <w:t xml:space="preserve"> </w:t>
            </w:r>
            <w:r>
              <w:rPr>
                <w:vertAlign w:val="superscript"/>
              </w:rPr>
              <w:t xml:space="preserve">62</w:t>
            </w:r>
          </w:p>
        </w:tc>
      </w:tr>
      <w:tr>
        <w:tc>
          <w:tcPr/>
          <w:p>
            <w:pPr>
              <w:pStyle w:val="Compact"/>
              <w:jc w:val="left"/>
            </w:pPr>
            <w:r>
              <w:t xml:space="preserve">P2</w:t>
            </w:r>
          </w:p>
        </w:tc>
        <w:tc>
          <w:tcPr/>
          <w:p>
            <w:pPr>
              <w:pStyle w:val="Compact"/>
              <w:jc w:val="left"/>
            </w:pPr>
            <w:r>
              <w:t xml:space="preserve">Senior Backend Engineer (AI Infrastructure)</w:t>
            </w:r>
          </w:p>
        </w:tc>
        <w:tc>
          <w:tcPr/>
          <w:p>
            <w:pPr>
              <w:pStyle w:val="Compact"/>
              <w:jc w:val="left"/>
            </w:pPr>
            <w:r>
              <w:rPr>
                <w:bCs/>
                <w:b/>
              </w:rPr>
              <w:t xml:space="preserve">$160K–$210K</w:t>
            </w:r>
            <w:r>
              <w:t xml:space="preserve"> </w:t>
            </w:r>
            <w:r>
              <w:t xml:space="preserve">base</w:t>
            </w:r>
          </w:p>
        </w:tc>
        <w:tc>
          <w:tcPr/>
          <w:p>
            <w:pPr>
              <w:pStyle w:val="Compact"/>
              <w:jc w:val="left"/>
            </w:pPr>
            <w:r>
              <w:t xml:space="preserve">Zenity alone is hiring 5+ of these; market is competitive</w:t>
            </w:r>
          </w:p>
        </w:tc>
      </w:tr>
    </w:tbl>
    <w:p>
      <w:pPr>
        <w:pStyle w:val="BodyText"/>
      </w:pPr>
      <w:r>
        <w:rPr>
          <w:bCs/>
          <w:b/>
        </w:rPr>
        <w:t xml:space="preserve">Top recruiting targets — Tier 1 (Vulnerable and Available):</w:t>
      </w:r>
    </w:p>
    <w:p>
      <w:pPr>
        <w:pStyle w:val="BodyText"/>
      </w:pPr>
      <w:r>
        <w:rPr>
          <w:bCs/>
          <w:b/>
        </w:rPr>
        <w:t xml:space="preserve">OneTrust</w:t>
      </w:r>
      <w:r>
        <w:t xml:space="preserve"> </w:t>
      </w:r>
      <w:r>
        <w:t xml:space="preserve">is bleeding. Employee count collapsed from 3,025 (2023) to 2,675 (2025) — a 12% reduction over two years — with two major layoff rounds (950 employees at 25%, then 110 in March 2026)</w:t>
      </w:r>
      <w:r>
        <w:t xml:space="preserve"> </w:t>
      </w:r>
      <w:r>
        <w:rPr>
          <w:vertAlign w:val="superscript"/>
        </w:rPr>
        <w:t xml:space="preserve">91</w:t>
      </w:r>
      <w:r>
        <w:t xml:space="preserve"> </w:t>
      </w:r>
      <w:r>
        <w:rPr>
          <w:vertAlign w:val="superscript"/>
        </w:rPr>
        <w:t xml:space="preserve">95</w:t>
      </w:r>
      <w:r>
        <w:t xml:space="preserve"> </w:t>
      </w:r>
      <w:r>
        <w:rPr>
          <w:vertAlign w:val="superscript"/>
        </w:rPr>
        <w:t xml:space="preserve">65</w:t>
      </w:r>
      <w:r>
        <w:t xml:space="preserve">. Average tenure sits at just</w:t>
      </w:r>
      <w:r>
        <w:t xml:space="preserve"> </w:t>
      </w:r>
      <w:r>
        <w:rPr>
          <w:bCs/>
          <w:b/>
        </w:rPr>
        <w:t xml:space="preserve">2.3 years</w:t>
      </w:r>
      <w:r>
        <w:t xml:space="preserve">, signaling deep cultural dissatisfaction. The company is attempting a pivot to</w:t>
      </w:r>
      <w:r>
        <w:t xml:space="preserve"> </w:t>
      </w:r>
      <w:r>
        <w:t xml:space="preserve">“</w:t>
      </w:r>
      <w:r>
        <w:t xml:space="preserve">AI-Ready Governance</w:t>
      </w:r>
      <w:r>
        <w:t xml:space="preserve">”</w:t>
      </w:r>
      <w:r>
        <w:t xml:space="preserve"> </w:t>
      </w:r>
      <w:r>
        <w:t xml:space="preserve">but execution lags behind its marketing</w:t>
      </w:r>
      <w:r>
        <w:t xml:space="preserve"> </w:t>
      </w:r>
      <w:r>
        <w:rPr>
          <w:vertAlign w:val="superscript"/>
        </w:rPr>
        <w:t xml:space="preserve">48</w:t>
      </w:r>
      <w:r>
        <w:t xml:space="preserve">. SOV3 should target the AI/ML engineers working on this pivot — they have relevant expertise, are likely disillusioned by repeated restructuring, and face limited internal growth prospects.</w:t>
      </w:r>
      <w:r>
        <w:t xml:space="preserve"> </w:t>
      </w:r>
      <w:r>
        <w:rPr>
          <w:bCs/>
          <w:b/>
        </w:rPr>
        <w:t xml:space="preserve">Estimated addressable pool: 200–400 engineers.</w:t>
      </w:r>
    </w:p>
    <w:p>
      <w:pPr>
        <w:pStyle w:val="BodyText"/>
      </w:pPr>
      <w:r>
        <w:rPr>
          <w:bCs/>
          <w:b/>
        </w:rPr>
        <w:t xml:space="preserve">CrowdStrike</w:t>
      </w:r>
      <w:r>
        <w:t xml:space="preserve"> </w:t>
      </w:r>
      <w:r>
        <w:t xml:space="preserve">laid off 500 employees (5%) in May 2025 while CEO George Kurtz explicitly stated that</w:t>
      </w:r>
      <w:r>
        <w:t xml:space="preserve"> </w:t>
      </w:r>
      <w:r>
        <w:t xml:space="preserve">“</w:t>
      </w:r>
      <w:r>
        <w:t xml:space="preserve">AI flattens our hiring curve</w:t>
      </w:r>
      <w:r>
        <w:t xml:space="preserve">”</w:t>
      </w:r>
      <w:r>
        <w:t xml:space="preserve"> </w:t>
      </w:r>
      <w:r>
        <w:rPr>
          <w:vertAlign w:val="superscript"/>
        </w:rPr>
        <w:t xml:space="preserve">66</w:t>
      </w:r>
      <w:r>
        <w:t xml:space="preserve"> </w:t>
      </w:r>
      <w:r>
        <w:rPr>
          <w:vertAlign w:val="superscript"/>
        </w:rPr>
        <w:t xml:space="preserve">58</w:t>
      </w:r>
      <w:r>
        <w:t xml:space="preserve">. The message is unmistakable: AI replaces human roles. Yet CrowdStrike simultaneously hired Dr. Bartley Richardson from NVIDIA as Chief AI Officer in June 2026 and is recruiting a VP of Enterprise AI Strategy at $300–340K</w:t>
      </w:r>
      <w:r>
        <w:t xml:space="preserve"> </w:t>
      </w:r>
      <w:r>
        <w:rPr>
          <w:vertAlign w:val="superscript"/>
        </w:rPr>
        <w:t xml:space="preserve">27</w:t>
      </w:r>
      <w:r>
        <w:t xml:space="preserve"> </w:t>
      </w:r>
      <w:r>
        <w:rPr>
          <w:vertAlign w:val="superscript"/>
        </w:rPr>
        <w:t xml:space="preserve">100</w:t>
      </w:r>
      <w:r>
        <w:t xml:space="preserve">. This internal contradiction — cutting staff while paying top dollar for AI leadership — creates fertile ground for SOV3’s narrative. Engineers who survived the layoffs but heard their CEO describe them as replaceable are psychologically primed for a move. Target: AI governance-curious engineers disillusioned by the</w:t>
      </w:r>
      <w:r>
        <w:t xml:space="preserve"> </w:t>
      </w:r>
      <w:r>
        <w:t xml:space="preserve">“</w:t>
      </w:r>
      <w:r>
        <w:t xml:space="preserve">AI replaces jobs</w:t>
      </w:r>
      <w:r>
        <w:t xml:space="preserve">”</w:t>
      </w:r>
      <w:r>
        <w:t xml:space="preserve"> </w:t>
      </w:r>
      <w:r>
        <w:t xml:space="preserve">messaging.</w:t>
      </w:r>
    </w:p>
    <w:p>
      <w:pPr>
        <w:pStyle w:val="BodyText"/>
      </w:pPr>
      <w:r>
        <w:rPr>
          <w:bCs/>
          <w:b/>
        </w:rPr>
        <w:t xml:space="preserve">WitnessAI</w:t>
      </w:r>
      <w:r>
        <w:t xml:space="preserve"> </w:t>
      </w:r>
      <w:r>
        <w:t xml:space="preserve">demands special attention — not as a source, but as a</w:t>
      </w:r>
      <w:r>
        <w:t xml:space="preserve"> </w:t>
      </w:r>
      <w:r>
        <w:rPr>
          <w:bCs/>
          <w:b/>
        </w:rPr>
        <w:t xml:space="preserve">counter-recruiting battlefield</w:t>
      </w:r>
      <w:r>
        <w:t xml:space="preserve">. After raising $58 million in January 2026 (led by Sound Ventures and Anthropic), they scaled from ~14 to 69 employees — 5x headcount growth — while posting 500%+ ARR growth</w:t>
      </w:r>
      <w:r>
        <w:t xml:space="preserve"> </w:t>
      </w:r>
      <w:r>
        <w:rPr>
          <w:vertAlign w:val="superscript"/>
        </w:rPr>
        <w:t xml:space="preserve">61</w:t>
      </w:r>
      <w:r>
        <w:t xml:space="preserve"> </w:t>
      </w:r>
      <w:r>
        <w:rPr>
          <w:vertAlign w:val="superscript"/>
        </w:rPr>
        <w:t xml:space="preserve">97</w:t>
      </w:r>
      <w:r>
        <w:t xml:space="preserve">. Principal Product Manager roles pay $180–250K, and the company placed retired General Paul Nakasone (former NSA/Cyber Command head) on its board</w:t>
      </w:r>
      <w:r>
        <w:t xml:space="preserve"> </w:t>
      </w:r>
      <w:r>
        <w:rPr>
          <w:vertAlign w:val="superscript"/>
        </w:rPr>
        <w:t xml:space="preserve">16</w:t>
      </w:r>
      <w:r>
        <w:t xml:space="preserve">. Hypergrowth at this velocity creates inevitable execution friction: engineers burning out from 5x scaling chaos, culture dilution, and unproven management layers. SOV3 should identify and target WitnessAI’s mid-level engineering talent — they are being worked hard, and SOV3 can offer equity upside in an earlier-stage environment with a more compelling brand.</w:t>
      </w:r>
    </w:p>
    <w:tbl>
      <w:tblPr>
        <w:tblStyle w:val="Table"/>
        <w:tblW w:type="pct" w:w="5000"/>
        <w:tblLook w:firstRow="1" w:lastRow="0" w:firstColumn="0" w:lastColumn="0" w:noHBand="0" w:noVBand="0" w:val="0020"/>
      </w:tblPr>
      <w:tblGrid>
        <w:gridCol w:w="1284"/>
        <w:gridCol w:w="1712"/>
        <w:gridCol w:w="2354"/>
        <w:gridCol w:w="2568"/>
      </w:tblGrid>
      <w:tr>
        <w:trPr>
          <w:tblHeader w:val="true"/>
        </w:trPr>
        <w:tc>
          <w:tcPr/>
          <w:p>
            <w:pPr>
              <w:pStyle w:val="Compact"/>
              <w:jc w:val="left"/>
            </w:pPr>
            <w:r>
              <w:t xml:space="preserve">Competitor</w:t>
            </w:r>
          </w:p>
        </w:tc>
        <w:tc>
          <w:tcPr/>
          <w:p>
            <w:pPr>
              <w:pStyle w:val="Compact"/>
              <w:jc w:val="left"/>
            </w:pPr>
            <w:r>
              <w:t xml:space="preserve">Headcount Trend</w:t>
            </w:r>
          </w:p>
        </w:tc>
        <w:tc>
          <w:tcPr/>
          <w:p>
            <w:pPr>
              <w:pStyle w:val="Compact"/>
              <w:jc w:val="left"/>
            </w:pPr>
            <w:r>
              <w:t xml:space="preserve">Recruiting Opportunity</w:t>
            </w:r>
          </w:p>
        </w:tc>
        <w:tc>
          <w:tcPr/>
          <w:p>
            <w:pPr>
              <w:pStyle w:val="Compact"/>
              <w:jc w:val="left"/>
            </w:pPr>
            <w:r>
              <w:t xml:space="preserve">Threat to SOV3’s Hiring</w:t>
            </w:r>
          </w:p>
        </w:tc>
      </w:tr>
      <w:tr>
        <w:tc>
          <w:tcPr/>
          <w:p>
            <w:pPr>
              <w:pStyle w:val="Compact"/>
              <w:jc w:val="left"/>
            </w:pPr>
            <w:r>
              <w:t xml:space="preserve">OneTrust</w:t>
            </w:r>
          </w:p>
        </w:tc>
        <w:tc>
          <w:tcPr/>
          <w:p>
            <w:pPr>
              <w:pStyle w:val="Compact"/>
              <w:jc w:val="left"/>
            </w:pPr>
            <w:r>
              <w:t xml:space="preserve">-12% over 2 years</w:t>
            </w:r>
            <w:r>
              <w:t xml:space="preserve"> </w:t>
            </w:r>
            <w:r>
              <w:rPr>
                <w:vertAlign w:val="superscript"/>
              </w:rPr>
              <w:t xml:space="preserve">91</w:t>
            </w:r>
          </w:p>
        </w:tc>
        <w:tc>
          <w:tcPr/>
          <w:p>
            <w:pPr>
              <w:pStyle w:val="Compact"/>
              <w:jc w:val="left"/>
            </w:pPr>
            <w:r>
              <w:rPr>
                <w:bCs/>
                <w:b/>
              </w:rPr>
              <w:t xml:space="preserve">HIGH</w:t>
            </w:r>
            <w:r>
              <w:t xml:space="preserve"> </w:t>
            </w:r>
            <w:r>
              <w:t xml:space="preserve">— 200-400 AI/ML engineers available</w:t>
            </w:r>
          </w:p>
        </w:tc>
        <w:tc>
          <w:tcPr/>
          <w:p>
            <w:pPr>
              <w:pStyle w:val="Compact"/>
              <w:jc w:val="left"/>
            </w:pPr>
            <w:r>
              <w:t xml:space="preserve">LOW — not competitive on growth story</w:t>
            </w:r>
          </w:p>
        </w:tc>
      </w:tr>
      <w:tr>
        <w:tc>
          <w:tcPr/>
          <w:p>
            <w:pPr>
              <w:pStyle w:val="Compact"/>
              <w:jc w:val="left"/>
            </w:pPr>
            <w:r>
              <w:t xml:space="preserve">CrowdStrike</w:t>
            </w:r>
          </w:p>
        </w:tc>
        <w:tc>
          <w:tcPr/>
          <w:p>
            <w:pPr>
              <w:pStyle w:val="Compact"/>
              <w:jc w:val="left"/>
            </w:pPr>
            <w:r>
              <w:t xml:space="preserve">-5% (500 laid off)</w:t>
            </w:r>
            <w:r>
              <w:t xml:space="preserve"> </w:t>
            </w:r>
            <w:r>
              <w:rPr>
                <w:vertAlign w:val="superscript"/>
              </w:rPr>
              <w:t xml:space="preserve">66</w:t>
            </w:r>
          </w:p>
        </w:tc>
        <w:tc>
          <w:tcPr/>
          <w:p>
            <w:pPr>
              <w:pStyle w:val="Compact"/>
              <w:jc w:val="left"/>
            </w:pPr>
            <w:r>
              <w:rPr>
                <w:bCs/>
                <w:b/>
              </w:rPr>
              <w:t xml:space="preserve">MODERATE-HIGH</w:t>
            </w:r>
            <w:r>
              <w:t xml:space="preserve"> </w:t>
            </w:r>
            <w:r>
              <w:t xml:space="preserve">— unsettled post-layoff talent</w:t>
            </w:r>
          </w:p>
        </w:tc>
        <w:tc>
          <w:tcPr/>
          <w:p>
            <w:pPr>
              <w:pStyle w:val="Compact"/>
              <w:jc w:val="left"/>
            </w:pPr>
            <w:r>
              <w:t xml:space="preserve">HIGH — willing to pay $300-340K for VP</w:t>
            </w:r>
            <w:r>
              <w:t xml:space="preserve"> </w:t>
            </w:r>
            <w:r>
              <w:rPr>
                <w:vertAlign w:val="superscript"/>
              </w:rPr>
              <w:t xml:space="preserve">100</w:t>
            </w:r>
          </w:p>
        </w:tc>
      </w:tr>
      <w:tr>
        <w:tc>
          <w:tcPr/>
          <w:p>
            <w:pPr>
              <w:pStyle w:val="Compact"/>
              <w:jc w:val="left"/>
            </w:pPr>
            <w:r>
              <w:t xml:space="preserve">WitnessAI</w:t>
            </w:r>
          </w:p>
        </w:tc>
        <w:tc>
          <w:tcPr/>
          <w:p>
            <w:pPr>
              <w:pStyle w:val="Compact"/>
              <w:jc w:val="left"/>
            </w:pPr>
            <w:r>
              <w:t xml:space="preserve">5x growth to 69</w:t>
            </w:r>
            <w:r>
              <w:t xml:space="preserve"> </w:t>
            </w:r>
            <w:r>
              <w:rPr>
                <w:vertAlign w:val="superscript"/>
              </w:rPr>
              <w:t xml:space="preserve">61</w:t>
            </w:r>
          </w:p>
        </w:tc>
        <w:tc>
          <w:tcPr/>
          <w:p>
            <w:pPr>
              <w:pStyle w:val="Compact"/>
              <w:jc w:val="left"/>
            </w:pPr>
            <w:r>
              <w:rPr>
                <w:bCs/>
                <w:b/>
              </w:rPr>
              <w:t xml:space="preserve">LOW</w:t>
            </w:r>
            <w:r>
              <w:t xml:space="preserve"> </w:t>
            </w:r>
            <w:r>
              <w:t xml:space="preserve">directly; counter-recruit burned engineers</w:t>
            </w:r>
          </w:p>
        </w:tc>
        <w:tc>
          <w:tcPr/>
          <w:p>
            <w:pPr>
              <w:pStyle w:val="Compact"/>
              <w:jc w:val="left"/>
            </w:pPr>
            <w:r>
              <w:t xml:space="preserve">VERY HIGH — hiring aggressively, premium salaries</w:t>
            </w:r>
          </w:p>
        </w:tc>
      </w:tr>
      <w:tr>
        <w:tc>
          <w:tcPr/>
          <w:p>
            <w:pPr>
              <w:pStyle w:val="Compact"/>
              <w:jc w:val="left"/>
            </w:pPr>
            <w:r>
              <w:t xml:space="preserve">Zenity</w:t>
            </w:r>
          </w:p>
        </w:tc>
        <w:tc>
          <w:tcPr/>
          <w:p>
            <w:pPr>
              <w:pStyle w:val="Compact"/>
              <w:jc w:val="left"/>
            </w:pPr>
            <w:r>
              <w:t xml:space="preserve">195 staff, 30+ open roles</w:t>
            </w:r>
            <w:r>
              <w:t xml:space="preserve"> </w:t>
            </w:r>
            <w:r>
              <w:rPr>
                <w:vertAlign w:val="superscript"/>
              </w:rPr>
              <w:t xml:space="preserve">9</w:t>
            </w:r>
          </w:p>
        </w:tc>
        <w:tc>
          <w:tcPr/>
          <w:p>
            <w:pPr>
              <w:pStyle w:val="Compact"/>
              <w:jc w:val="left"/>
            </w:pPr>
            <w:r>
              <w:t xml:space="preserve">LOW — they’re hiring, not shedding</w:t>
            </w:r>
          </w:p>
        </w:tc>
        <w:tc>
          <w:tcPr/>
          <w:p>
            <w:pPr>
              <w:pStyle w:val="Compact"/>
              <w:jc w:val="left"/>
            </w:pPr>
            <w:r>
              <w:t xml:space="preserve">VERY HIGH — competing for same technical profiles</w:t>
            </w:r>
          </w:p>
        </w:tc>
      </w:tr>
      <w:tr>
        <w:tc>
          <w:tcPr/>
          <w:p>
            <w:pPr>
              <w:pStyle w:val="Compact"/>
              <w:jc w:val="left"/>
            </w:pPr>
            <w:r>
              <w:t xml:space="preserve">Sycamore Labs</w:t>
            </w:r>
          </w:p>
        </w:tc>
        <w:tc>
          <w:tcPr/>
          <w:p>
            <w:pPr>
              <w:pStyle w:val="Compact"/>
              <w:jc w:val="left"/>
            </w:pPr>
            <w:r>
              <w:t xml:space="preserve">&lt;50, just raised $65M</w:t>
            </w:r>
            <w:r>
              <w:t xml:space="preserve"> </w:t>
            </w:r>
            <w:r>
              <w:rPr>
                <w:vertAlign w:val="superscript"/>
              </w:rPr>
              <w:t xml:space="preserve">57</w:t>
            </w:r>
          </w:p>
        </w:tc>
        <w:tc>
          <w:tcPr/>
          <w:p>
            <w:pPr>
              <w:pStyle w:val="Compact"/>
              <w:jc w:val="left"/>
            </w:pPr>
            <w:r>
              <w:t xml:space="preserve">LOW — nascent but well-funded</w:t>
            </w:r>
          </w:p>
        </w:tc>
        <w:tc>
          <w:tcPr/>
          <w:p>
            <w:pPr>
              <w:pStyle w:val="Compact"/>
              <w:jc w:val="left"/>
            </w:pPr>
            <w:r>
              <w:t xml:space="preserve">HIGH — founder network, strong backing</w:t>
            </w:r>
          </w:p>
        </w:tc>
      </w:tr>
      <w:tr>
        <w:tc>
          <w:tcPr/>
          <w:p>
            <w:pPr>
              <w:pStyle w:val="Compact"/>
              <w:jc w:val="left"/>
            </w:pPr>
            <w:r>
              <w:t xml:space="preserve">Credo AI</w:t>
            </w:r>
          </w:p>
        </w:tc>
        <w:tc>
          <w:tcPr/>
          <w:p>
            <w:pPr>
              <w:pStyle w:val="Compact"/>
              <w:jc w:val="left"/>
            </w:pPr>
            <w:r>
              <w:t xml:space="preserve">51-200, growing</w:t>
            </w:r>
            <w:r>
              <w:t xml:space="preserve"> </w:t>
            </w:r>
            <w:r>
              <w:rPr>
                <w:vertAlign w:val="superscript"/>
              </w:rPr>
              <w:t xml:space="preserve">98</w:t>
            </w:r>
          </w:p>
        </w:tc>
        <w:tc>
          <w:tcPr/>
          <w:p>
            <w:pPr>
              <w:pStyle w:val="Compact"/>
              <w:jc w:val="left"/>
            </w:pPr>
            <w:r>
              <w:t xml:space="preserve">MODERATE — mission-driven but under-resourced</w:t>
            </w:r>
          </w:p>
        </w:tc>
        <w:tc>
          <w:tcPr/>
          <w:p>
            <w:pPr>
              <w:pStyle w:val="Compact"/>
              <w:jc w:val="left"/>
            </w:pPr>
            <w:r>
              <w:t xml:space="preserve">MODERATE — attracts governance-passionate talent</w:t>
            </w:r>
          </w:p>
        </w:tc>
      </w:tr>
    </w:tbl>
    <w:p>
      <w:pPr>
        <w:pStyle w:val="BodyText"/>
      </w:pPr>
      <w:r>
        <w:rPr>
          <w:bCs/>
          <w:b/>
        </w:rPr>
        <w:t xml:space="preserve">Actionable recruiting plays:</w:t>
      </w:r>
      <w:r>
        <w:t xml:space="preserve"> </w:t>
      </w:r>
      <w:r>
        <w:t xml:space="preserve">1.</w:t>
      </w:r>
      <w:r>
        <w:t xml:space="preserve"> </w:t>
      </w:r>
      <w:r>
        <w:rPr>
          <w:bCs/>
          <w:b/>
        </w:rPr>
        <w:t xml:space="preserve">Launch</w:t>
      </w:r>
      <w:r>
        <w:rPr>
          <w:bCs/>
          <w:b/>
        </w:rPr>
        <w:t xml:space="preserve"> </w:t>
      </w:r>
      <w:r>
        <w:rPr>
          <w:bCs/>
          <w:b/>
        </w:rPr>
        <w:t xml:space="preserve">“</w:t>
      </w:r>
      <w:r>
        <w:rPr>
          <w:bCs/>
          <w:b/>
        </w:rPr>
        <w:t xml:space="preserve">Join the Dragon</w:t>
      </w:r>
      <w:r>
        <w:rPr>
          <w:bCs/>
          <w:b/>
        </w:rPr>
        <w:t xml:space="preserve">”</w:t>
      </w:r>
      <w:r>
        <w:rPr>
          <w:bCs/>
          <w:b/>
        </w:rPr>
        <w:t xml:space="preserve"> </w:t>
      </w:r>
      <w:r>
        <w:rPr>
          <w:bCs/>
          <w:b/>
        </w:rPr>
        <w:t xml:space="preserve">within 30 days</w:t>
      </w:r>
      <w:r>
        <w:t xml:space="preserve"> </w:t>
      </w:r>
      <w:r>
        <w:t xml:space="preserve">targeting OneTrust departures with personalized outreach referencing their AI governance pivot and SOV3’s technical superiority.</w:t>
      </w:r>
      <w:r>
        <w:t xml:space="preserve"> </w:t>
      </w:r>
      <w:r>
        <w:t xml:space="preserve">2.</w:t>
      </w:r>
      <w:r>
        <w:t xml:space="preserve"> </w:t>
      </w:r>
      <w:r>
        <w:rPr>
          <w:bCs/>
          <w:b/>
        </w:rPr>
        <w:t xml:space="preserve">Post-layoff CrowdStrike engineer dinners</w:t>
      </w:r>
      <w:r>
        <w:t xml:space="preserve"> </w:t>
      </w:r>
      <w:r>
        <w:t xml:space="preserve">in Austin — discrete, invitation-only events to gauge interest and communicate SOV3’s</w:t>
      </w:r>
      <w:r>
        <w:t xml:space="preserve"> </w:t>
      </w:r>
      <w:r>
        <w:t xml:space="preserve">“</w:t>
      </w:r>
      <w:r>
        <w:t xml:space="preserve">AI augments humans, not replaces them</w:t>
      </w:r>
      <w:r>
        <w:t xml:space="preserve">”</w:t>
      </w:r>
      <w:r>
        <w:t xml:space="preserve"> </w:t>
      </w:r>
      <w:r>
        <w:t xml:space="preserve">narrative.</w:t>
      </w:r>
      <w:r>
        <w:t xml:space="preserve"> </w:t>
      </w:r>
      <w:r>
        <w:t xml:space="preserve">3.</w:t>
      </w:r>
      <w:r>
        <w:t xml:space="preserve"> </w:t>
      </w:r>
      <w:r>
        <w:rPr>
          <w:bCs/>
          <w:b/>
        </w:rPr>
        <w:t xml:space="preserve">Counter-recruit WitnessAI</w:t>
      </w:r>
      <w:r>
        <w:t xml:space="preserve"> </w:t>
      </w:r>
      <w:r>
        <w:t xml:space="preserve">through LinkedIn engagement with their mid-level engineers; emphasize 5x scaling burnout and offer meaningful equity upside.</w:t>
      </w:r>
      <w:r>
        <w:t xml:space="preserve"> </w:t>
      </w:r>
      <w:r>
        <w:t xml:space="preserve">4.</w:t>
      </w:r>
      <w:r>
        <w:t xml:space="preserve"> </w:t>
      </w:r>
      <w:r>
        <w:rPr>
          <w:bCs/>
          <w:b/>
        </w:rPr>
        <w:t xml:space="preserve">EU AI Act compliance bootcamp</w:t>
      </w:r>
      <w:r>
        <w:t xml:space="preserve"> </w:t>
      </w:r>
      <w:r>
        <w:t xml:space="preserve">— recruit and rapidly train engineers from general security backgrounds, creating a pipeline that doesn’t depend on poaching scarce specialists.</w:t>
      </w:r>
    </w:p>
    <w:p>
      <w:r>
        <w:pict>
          <v:rect style="width:0;height:1.5pt" o:hralign="center" o:hrstd="t" o:hr="t"/>
        </w:pict>
      </w:r>
    </w:p>
    <w:bookmarkEnd w:id="68"/>
    <w:bookmarkStart w:id="69" w:name="fire-sale-acquisitions-companies-to-buy"/>
    <w:p>
      <w:pPr>
        <w:pStyle w:val="Heading3"/>
      </w:pPr>
      <w:r>
        <w:t xml:space="preserve">7.2 Fire-Sale Acquisitions: Companies to Buy</w:t>
      </w:r>
    </w:p>
    <w:p>
      <w:pPr>
        <w:pStyle w:val="FirstParagraph"/>
      </w:pPr>
      <w:r>
        <w:t xml:space="preserve">Market consolidation in AI governance has begun, and it is ruthless. Palo Alto Networks acquired Protect AI for</w:t>
      </w:r>
      <w:r>
        <w:t xml:space="preserve"> </w:t>
      </w:r>
      <w:r>
        <w:rPr>
          <w:bCs/>
          <w:b/>
        </w:rPr>
        <w:t xml:space="preserve">&gt;$300 million</w:t>
      </w:r>
      <w:r>
        <w:t xml:space="preserve"> </w:t>
      </w:r>
      <w:r>
        <w:t xml:space="preserve">despite less than $5 million in revenue [^SecurityWeek^]. Cisco absorbed both Robust Intelligence and Lakera Guard. SentinelOne bought Prompt Security. F5 took CalypsoAI. As Elastic CISO Mandy Andress observed:</w:t>
      </w:r>
      <w:r>
        <w:t xml:space="preserve"> </w:t>
      </w:r>
      <w:r>
        <w:t xml:space="preserve">“</w:t>
      </w:r>
      <w:r>
        <w:t xml:space="preserve">For the last 20 years, security innovation has been through acquisition. Startups are the R&amp;D labs of the larger security companies.</w:t>
      </w:r>
      <w:r>
        <w:t xml:space="preserve">”</w:t>
      </w:r>
      <w:r>
        <w:t xml:space="preserve"> </w:t>
      </w:r>
      <w:r>
        <w:t xml:space="preserve">SOV3 must buy before it is bought — or before these distressed assets disappear into competitors’ portfolios.</w:t>
      </w:r>
    </w:p>
    <w:p>
      <w:pPr>
        <w:pStyle w:val="BodyText"/>
      </w:pPr>
      <w:r>
        <w:t xml:space="preserve">The following table ranks acquisition targets by strike difficulty, strategic value, and estimated cost:</w:t>
      </w:r>
    </w:p>
    <w:tbl>
      <w:tblPr>
        <w:tblStyle w:val="Table"/>
        <w:tblW w:type="pct" w:w="5000"/>
        <w:tblLook w:firstRow="1" w:lastRow="0" w:firstColumn="0" w:lastColumn="0" w:noHBand="0" w:noVBand="0" w:val="0020"/>
      </w:tblPr>
      <w:tblGrid>
        <w:gridCol w:w="950"/>
        <w:gridCol w:w="1425"/>
        <w:gridCol w:w="1742"/>
        <w:gridCol w:w="1425"/>
        <w:gridCol w:w="2376"/>
      </w:tblGrid>
      <w:tr>
        <w:trPr>
          <w:tblHeader w:val="true"/>
        </w:trPr>
        <w:tc>
          <w:tcPr/>
          <w:p>
            <w:pPr>
              <w:pStyle w:val="Compact"/>
              <w:jc w:val="left"/>
            </w:pPr>
            <w:r>
              <w:t xml:space="preserve">Rank</w:t>
            </w:r>
          </w:p>
        </w:tc>
        <w:tc>
          <w:tcPr/>
          <w:p>
            <w:pPr>
              <w:pStyle w:val="Compact"/>
              <w:jc w:val="left"/>
            </w:pPr>
            <w:r>
              <w:t xml:space="preserve">Company</w:t>
            </w:r>
          </w:p>
        </w:tc>
        <w:tc>
          <w:tcPr/>
          <w:p>
            <w:pPr>
              <w:pStyle w:val="Compact"/>
              <w:jc w:val="left"/>
            </w:pPr>
            <w:r>
              <w:t xml:space="preserve">Est. Price</w:t>
            </w:r>
          </w:p>
        </w:tc>
        <w:tc>
          <w:tcPr/>
          <w:p>
            <w:pPr>
              <w:pStyle w:val="Compact"/>
              <w:jc w:val="left"/>
            </w:pPr>
            <w:r>
              <w:t xml:space="preserve">Why Buy</w:t>
            </w:r>
          </w:p>
        </w:tc>
        <w:tc>
          <w:tcPr/>
          <w:p>
            <w:pPr>
              <w:pStyle w:val="Compact"/>
              <w:jc w:val="left"/>
            </w:pPr>
            <w:r>
              <w:t xml:space="preserve">Strike Window</w:t>
            </w:r>
          </w:p>
        </w:tc>
      </w:tr>
      <w:tr>
        <w:tc>
          <w:tcPr/>
          <w:p>
            <w:pPr>
              <w:pStyle w:val="Compact"/>
              <w:jc w:val="left"/>
            </w:pPr>
            <w:r>
              <w:t xml:space="preserve">1</w:t>
            </w:r>
          </w:p>
        </w:tc>
        <w:tc>
          <w:tcPr/>
          <w:p>
            <w:pPr>
              <w:pStyle w:val="Compact"/>
              <w:jc w:val="left"/>
            </w:pPr>
            <w:r>
              <w:rPr>
                <w:bCs/>
                <w:b/>
              </w:rPr>
              <w:t xml:space="preserve">Straion</w:t>
            </w:r>
            <w:r>
              <w:t xml:space="preserve"> </w:t>
            </w:r>
            <w:r>
              <w:t xml:space="preserve">(Linz, Austria)</w:t>
            </w:r>
          </w:p>
        </w:tc>
        <w:tc>
          <w:tcPr/>
          <w:p>
            <w:pPr>
              <w:pStyle w:val="Compact"/>
              <w:jc w:val="left"/>
            </w:pPr>
            <w:r>
              <w:rPr>
                <w:bCs/>
                <w:b/>
              </w:rPr>
              <w:t xml:space="preserve">$2–5M</w:t>
            </w:r>
          </w:p>
        </w:tc>
        <w:tc>
          <w:tcPr/>
          <w:p>
            <w:pPr>
              <w:pStyle w:val="Compact"/>
              <w:jc w:val="left"/>
            </w:pPr>
            <w:r>
              <w:t xml:space="preserve">12 employees, AI coding governance rules engine, pre-revenue, EUR 1.1M seed running dry [^dim10^]</w:t>
            </w:r>
          </w:p>
        </w:tc>
        <w:tc>
          <w:tcPr/>
          <w:p>
            <w:pPr>
              <w:pStyle w:val="Compact"/>
              <w:jc w:val="left"/>
            </w:pPr>
            <w:r>
              <w:rPr>
                <w:bCs/>
                <w:b/>
              </w:rPr>
              <w:t xml:space="preserve">Q2 2026</w:t>
            </w:r>
            <w:r>
              <w:t xml:space="preserve"> </w:t>
            </w:r>
            <w:r>
              <w:t xml:space="preserve">— Marathon VC likely seeking exit</w:t>
            </w:r>
          </w:p>
        </w:tc>
      </w:tr>
      <w:tr>
        <w:tc>
          <w:tcPr/>
          <w:p>
            <w:pPr>
              <w:pStyle w:val="Compact"/>
              <w:jc w:val="left"/>
            </w:pPr>
            <w:r>
              <w:t xml:space="preserve">2</w:t>
            </w:r>
          </w:p>
        </w:tc>
        <w:tc>
          <w:tcPr/>
          <w:p>
            <w:pPr>
              <w:pStyle w:val="Compact"/>
              <w:jc w:val="left"/>
            </w:pPr>
            <w:r>
              <w:rPr>
                <w:bCs/>
                <w:b/>
              </w:rPr>
              <w:t xml:space="preserve">NanoCo</w:t>
            </w:r>
            <w:r>
              <w:t xml:space="preserve"> </w:t>
            </w:r>
            <w:r>
              <w:t xml:space="preserve">(San Francisco)</w:t>
            </w:r>
          </w:p>
        </w:tc>
        <w:tc>
          <w:tcPr/>
          <w:p>
            <w:pPr>
              <w:pStyle w:val="Compact"/>
              <w:jc w:val="left"/>
            </w:pPr>
            <w:r>
              <w:rPr>
                <w:bCs/>
                <w:b/>
              </w:rPr>
              <w:t xml:space="preserve">$3–8M</w:t>
            </w:r>
          </w:p>
        </w:tc>
        <w:tc>
          <w:tcPr/>
          <w:p>
            <w:pPr>
              <w:pStyle w:val="Compact"/>
              <w:jc w:val="left"/>
            </w:pPr>
            <w:r>
              <w:t xml:space="preserve">4 employees (not a typo), human-in-the-loop oversight tech, $12M actual funding (claimed $63M was 5x inflated) [^dim10^]</w:t>
            </w:r>
          </w:p>
        </w:tc>
        <w:tc>
          <w:tcPr/>
          <w:p>
            <w:pPr>
              <w:pStyle w:val="Compact"/>
              <w:jc w:val="left"/>
            </w:pPr>
            <w:r>
              <w:rPr>
                <w:bCs/>
                <w:b/>
              </w:rPr>
              <w:t xml:space="preserve">Q3 2026</w:t>
            </w:r>
            <w:r>
              <w:t xml:space="preserve"> </w:t>
            </w:r>
            <w:r>
              <w:t xml:space="preserve">— distressed asset, investors likely seeking any return</w:t>
            </w:r>
          </w:p>
        </w:tc>
      </w:tr>
      <w:tr>
        <w:tc>
          <w:tcPr/>
          <w:p>
            <w:pPr>
              <w:pStyle w:val="Compact"/>
              <w:jc w:val="left"/>
            </w:pPr>
            <w:r>
              <w:t xml:space="preserve">3</w:t>
            </w:r>
          </w:p>
        </w:tc>
        <w:tc>
          <w:tcPr/>
          <w:p>
            <w:pPr>
              <w:pStyle w:val="Compact"/>
              <w:jc w:val="left"/>
            </w:pPr>
            <w:r>
              <w:rPr>
                <w:bCs/>
                <w:b/>
              </w:rPr>
              <w:t xml:space="preserve">Euno</w:t>
            </w:r>
            <w:r>
              <w:t xml:space="preserve"> </w:t>
            </w:r>
            <w:r>
              <w:t xml:space="preserve">(Sunnyvale, CA)</w:t>
            </w:r>
          </w:p>
        </w:tc>
        <w:tc>
          <w:tcPr/>
          <w:p>
            <w:pPr>
              <w:pStyle w:val="Compact"/>
              <w:jc w:val="left"/>
            </w:pPr>
            <w:r>
              <w:rPr>
                <w:bCs/>
                <w:b/>
              </w:rPr>
              <w:t xml:space="preserve">$10–15M</w:t>
            </w:r>
          </w:p>
        </w:tc>
        <w:tc>
          <w:tcPr/>
          <w:p>
            <w:pPr>
              <w:pStyle w:val="Compact"/>
              <w:jc w:val="left"/>
            </w:pPr>
            <w:r>
              <w:t xml:space="preserve">19 employees,</w:t>
            </w:r>
            <w:r>
              <w:t xml:space="preserve"> </w:t>
            </w:r>
            <w:r>
              <w:t xml:space="preserve">“</w:t>
            </w:r>
            <w:r>
              <w:t xml:space="preserve">shift left</w:t>
            </w:r>
            <w:r>
              <w:t xml:space="preserve">”</w:t>
            </w:r>
            <w:r>
              <w:t xml:space="preserve"> </w:t>
            </w:r>
            <w:r>
              <w:t xml:space="preserve">data model governance, $6.25M seed, no follow-on in 18+ months [^dim10^]</w:t>
            </w:r>
          </w:p>
        </w:tc>
        <w:tc>
          <w:tcPr/>
          <w:p>
            <w:pPr>
              <w:pStyle w:val="Compact"/>
              <w:jc w:val="left"/>
            </w:pPr>
            <w:r>
              <w:rPr>
                <w:bCs/>
                <w:b/>
              </w:rPr>
              <w:t xml:space="preserve">Q3-Q4 2026</w:t>
            </w:r>
            <w:r>
              <w:t xml:space="preserve"> </w:t>
            </w:r>
            <w:r>
              <w:t xml:space="preserve">— 10D VC / INT3 VC may seek strategic alternative</w:t>
            </w:r>
          </w:p>
        </w:tc>
      </w:tr>
      <w:tr>
        <w:tc>
          <w:tcPr/>
          <w:p>
            <w:pPr>
              <w:pStyle w:val="Compact"/>
              <w:jc w:val="left"/>
            </w:pPr>
            <w:r>
              <w:t xml:space="preserve">4</w:t>
            </w:r>
          </w:p>
        </w:tc>
        <w:tc>
          <w:tcPr/>
          <w:p>
            <w:pPr>
              <w:pStyle w:val="Compact"/>
              <w:jc w:val="left"/>
            </w:pPr>
            <w:r>
              <w:rPr>
                <w:bCs/>
                <w:b/>
              </w:rPr>
              <w:t xml:space="preserve">Holistic AI</w:t>
            </w:r>
            <w:r>
              <w:t xml:space="preserve"> </w:t>
            </w:r>
            <w:r>
              <w:t xml:space="preserve">(Palo Alto/London)</w:t>
            </w:r>
          </w:p>
        </w:tc>
        <w:tc>
          <w:tcPr/>
          <w:p>
            <w:pPr>
              <w:pStyle w:val="Compact"/>
              <w:jc w:val="left"/>
            </w:pPr>
            <w:r>
              <w:rPr>
                <w:bCs/>
                <w:b/>
              </w:rPr>
              <w:t xml:space="preserve">$15–25M</w:t>
            </w:r>
          </w:p>
        </w:tc>
        <w:tc>
          <w:tcPr/>
          <w:p>
            <w:pPr>
              <w:pStyle w:val="Compact"/>
              <w:jc w:val="left"/>
            </w:pPr>
            <w:r>
              <w:t xml:space="preserve">EU AI Act expertise, London regulatory relationships, triple-certified (ISO 27001, SOC 2, Cyber Essentials)</w:t>
            </w:r>
            <w:r>
              <w:t xml:space="preserve"> </w:t>
            </w:r>
            <w:r>
              <w:rPr>
                <w:vertAlign w:val="superscript"/>
              </w:rPr>
              <w:t xml:space="preserve">49</w:t>
            </w:r>
            <w:r>
              <w:t xml:space="preserve"> </w:t>
            </w:r>
            <w:r>
              <w:rPr>
                <w:vertAlign w:val="superscript"/>
              </w:rPr>
              <w:t xml:space="preserve">7</w:t>
            </w:r>
          </w:p>
        </w:tc>
        <w:tc>
          <w:tcPr/>
          <w:p>
            <w:pPr>
              <w:pStyle w:val="Compact"/>
              <w:jc w:val="left"/>
            </w:pPr>
            <w:r>
              <w:rPr>
                <w:bCs/>
                <w:b/>
              </w:rPr>
              <w:t xml:space="preserve">Q4 2026</w:t>
            </w:r>
            <w:r>
              <w:t xml:space="preserve"> </w:t>
            </w:r>
            <w:r>
              <w:t xml:space="preserve">— Mozilla Ventures may lack dry powder for follow-on</w:t>
            </w:r>
          </w:p>
        </w:tc>
      </w:tr>
    </w:tbl>
    <w:p>
      <w:pPr>
        <w:pStyle w:val="BodyText"/>
      </w:pPr>
      <w:r>
        <w:rPr>
          <w:bCs/>
          <w:b/>
        </w:rPr>
        <w:t xml:space="preserve">Straion</w:t>
      </w:r>
      <w:r>
        <w:t xml:space="preserve"> </w:t>
      </w:r>
      <w:r>
        <w:t xml:space="preserve">is the immediate target. This 12-person Austrian startup raised only EUR 1.1 million in seed funding plus EUR 280K in grants, and remains pre-revenue [^dim10^]. Their product — a governance rules engine for AI coding agents (Claude Code, Cursor, Copilot) — is directly relevant to SOV3’s platform. Their backer, Marathon Venture Capital, is a Greek seed fund with limited follow-on capacity. By Q3 2026, Marathon will likely push for an acqui-hire rather than bridge financing.</w:t>
      </w:r>
      <w:r>
        <w:t xml:space="preserve"> </w:t>
      </w:r>
      <w:r>
        <w:rPr>
          <w:bCs/>
          <w:b/>
        </w:rPr>
        <w:t xml:space="preserve">SOV3 should offer $2–3 million for team + technology</w:t>
      </w:r>
      <w:r>
        <w:t xml:space="preserve"> </w:t>
      </w:r>
      <w:r>
        <w:t xml:space="preserve">— a price that gives Marathon a respectable return while handing SOV3 a proven rules engine and 12 engineers who understand AI coding governance at the protocol level.</w:t>
      </w:r>
    </w:p>
    <w:p>
      <w:pPr>
        <w:pStyle w:val="BodyText"/>
      </w:pPr>
      <w:r>
        <w:rPr>
          <w:bCs/>
          <w:b/>
        </w:rPr>
        <w:t xml:space="preserve">NanoCo</w:t>
      </w:r>
      <w:r>
        <w:t xml:space="preserve"> </w:t>
      </w:r>
      <w:r>
        <w:t xml:space="preserve">is a distressed asset play. The company claims $63 million in funding; verified records show</w:t>
      </w:r>
      <w:r>
        <w:t xml:space="preserve"> </w:t>
      </w:r>
      <w:r>
        <w:rPr>
          <w:bCs/>
          <w:b/>
        </w:rPr>
        <w:t xml:space="preserve">$12 million actual</w:t>
      </w:r>
      <w:r>
        <w:t xml:space="preserve"> </w:t>
      </w:r>
      <w:r>
        <w:t xml:space="preserve">— a 5x inflation that signals either desperation or dishonesty [^dim10^]. With only</w:t>
      </w:r>
      <w:r>
        <w:t xml:space="preserve"> </w:t>
      </w:r>
      <w:r>
        <w:rPr>
          <w:bCs/>
          <w:b/>
        </w:rPr>
        <w:t xml:space="preserve">4 employees</w:t>
      </w:r>
      <w:r>
        <w:t xml:space="preserve"> </w:t>
      </w:r>
      <w:r>
        <w:t xml:space="preserve">and a product (NanoClaw) providing human-in-the-loop oversight for AI agents in messaging, NanoCo has failed to convert capital into growth. The</w:t>
      </w:r>
      <w:r>
        <w:t xml:space="preserve"> </w:t>
      </w:r>
      <w:r>
        <w:t xml:space="preserve">“</w:t>
      </w:r>
      <w:r>
        <w:t xml:space="preserve">human-in-the-loop</w:t>
      </w:r>
      <w:r>
        <w:t xml:space="preserve">”</w:t>
      </w:r>
      <w:r>
        <w:t xml:space="preserve"> </w:t>
      </w:r>
      <w:r>
        <w:t xml:space="preserve">technology, however, complements SOV3’s automated governance stack. At $3–8 million, this is a low-risk acqui-hire that adds oversight capabilities SOV3 does not currently possess.</w:t>
      </w:r>
    </w:p>
    <w:p>
      <w:pPr>
        <w:pStyle w:val="BodyText"/>
      </w:pPr>
      <w:r>
        <w:rPr>
          <w:bCs/>
          <w:b/>
        </w:rPr>
        <w:t xml:space="preserve">Euno</w:t>
      </w:r>
      <w:r>
        <w:t xml:space="preserve"> </w:t>
      </w:r>
      <w:r>
        <w:t xml:space="preserve">occupies the data model governance niche — a</w:t>
      </w:r>
      <w:r>
        <w:t xml:space="preserve"> </w:t>
      </w:r>
      <w:r>
        <w:t xml:space="preserve">“</w:t>
      </w:r>
      <w:r>
        <w:t xml:space="preserve">shift left</w:t>
      </w:r>
      <w:r>
        <w:t xml:space="preserve">”</w:t>
      </w:r>
      <w:r>
        <w:t xml:space="preserve"> </w:t>
      </w:r>
      <w:r>
        <w:t xml:space="preserve">approach to BI tool governance covering Looker, Tableau, and dbt. Their $6.25 million seed (not the $12.5 million claimed) came from 10D VC and INT3 VC in March 2024, with</w:t>
      </w:r>
      <w:r>
        <w:t xml:space="preserve"> </w:t>
      </w:r>
      <w:r>
        <w:rPr>
          <w:bCs/>
          <w:b/>
        </w:rPr>
        <w:t xml:space="preserve">no follow-on in 18+ months</w:t>
      </w:r>
      <w:r>
        <w:t xml:space="preserve"> </w:t>
      </w:r>
      <w:r>
        <w:t xml:space="preserve">[^dim10^]. The data governance market is increasingly converging with AI governance as enterprises realize that training data quality and model lineage are inseparable. At $10–15 million, Euno provides SOV3 with data governance DNA and a team of 19 engineers who understand the BI integration layer.</w:t>
      </w:r>
    </w:p>
    <w:p>
      <w:pPr>
        <w:pStyle w:val="BodyText"/>
      </w:pPr>
      <w:r>
        <w:rPr>
          <w:bCs/>
          <w:b/>
        </w:rPr>
        <w:t xml:space="preserve">Holistic AI</w:t>
      </w:r>
      <w:r>
        <w:t xml:space="preserve"> </w:t>
      </w:r>
      <w:r>
        <w:t xml:space="preserve">is the strategic prize. Based in London with a Palo Alto office, they hold triple security certifications and deep EU AI Act conformity assessment expertise</w:t>
      </w:r>
      <w:r>
        <w:t xml:space="preserve"> </w:t>
      </w:r>
      <w:r>
        <w:rPr>
          <w:vertAlign w:val="superscript"/>
        </w:rPr>
        <w:t xml:space="preserve">49</w:t>
      </w:r>
      <w:r>
        <w:t xml:space="preserve"> </w:t>
      </w:r>
      <w:r>
        <w:rPr>
          <w:vertAlign w:val="superscript"/>
        </w:rPr>
        <w:t xml:space="preserve">7</w:t>
      </w:r>
      <w:r>
        <w:t xml:space="preserve">. Mozilla Ventures led a strategic investment in March 2024, but no significant round has followed [^dim10^]. For SOV3’s European expansion, Holistic AI’s regulatory relationships and EU AI Act implementation experience are worth the $15–25 million price tag — particularly with the August 2026 enforcement deadline approaching.</w:t>
      </w:r>
    </w:p>
    <w:p>
      <w:pPr>
        <w:pStyle w:val="BlockText"/>
      </w:pPr>
      <w:r>
        <w:rPr>
          <w:bCs/>
          <w:b/>
        </w:rPr>
        <w:t xml:space="preserve">Consolidation Prediction:</w:t>
      </w:r>
      <w:r>
        <w:t xml:space="preserve"> </w:t>
      </w:r>
      <w:r>
        <w:t xml:space="preserve">By end of 2026, expect 3–5 acquisitions in the AI governance space at $50–500 million range, 2–3 shutdowns among sub-$5 million funded companies, and platform convergence as Cisco, Palo Alto Networks, and SentinelOne assemble AI security portfolios via acquisition [^dim10^]. SOV3 must move before the window closes.</w:t>
      </w:r>
    </w:p>
    <w:p>
      <w:r>
        <w:pict>
          <v:rect style="width:0;height:1.5pt" o:hralign="center" o:hrstd="t" o:hr="t"/>
        </w:pict>
      </w:r>
    </w:p>
    <w:bookmarkEnd w:id="69"/>
    <w:bookmarkStart w:id="70" w:name="Xf2cc3aa53304fead462147e7af69b7716dfe82e"/>
    <w:p>
      <w:pPr>
        <w:pStyle w:val="Heading3"/>
      </w:pPr>
      <w:r>
        <w:t xml:space="preserve">7.3 MCP Ecosystem: Becoming the Standards Body</w:t>
      </w:r>
    </w:p>
    <w:p>
      <w:pPr>
        <w:pStyle w:val="FirstParagraph"/>
      </w:pPr>
      <w:r>
        <w:t xml:space="preserve">The MCP (Model Context Protocol) ecosystem has exploded from an Anthropic experiment in late 2024 to a</w:t>
      </w:r>
      <w:r>
        <w:t xml:space="preserve"> </w:t>
      </w:r>
      <w:r>
        <w:rPr>
          <w:bCs/>
          <w:b/>
        </w:rPr>
        <w:t xml:space="preserve">97 million monthly download</w:t>
      </w:r>
      <w:r>
        <w:t xml:space="preserve"> </w:t>
      </w:r>
      <w:r>
        <w:t xml:space="preserve">infrastructure layer with</w:t>
      </w:r>
      <w:r>
        <w:t xml:space="preserve"> </w:t>
      </w:r>
      <w:r>
        <w:rPr>
          <w:bCs/>
          <w:b/>
        </w:rPr>
        <w:t xml:space="preserve">13,000+ public servers</w:t>
      </w:r>
      <w:r>
        <w:t xml:space="preserve"> </w:t>
      </w:r>
      <w:r>
        <w:t xml:space="preserve">and a projected</w:t>
      </w:r>
      <w:r>
        <w:t xml:space="preserve"> </w:t>
      </w:r>
      <w:r>
        <w:rPr>
          <w:bCs/>
          <w:b/>
        </w:rPr>
        <w:t xml:space="preserve">$10.4 billion market</w:t>
      </w:r>
      <w:r>
        <w:t xml:space="preserve"> </w:t>
      </w:r>
      <w:r>
        <w:t xml:space="preserve">growing at 24.7% CAGR</w:t>
      </w:r>
      <w:r>
        <w:t xml:space="preserve"> </w:t>
      </w:r>
      <w:r>
        <w:rPr>
          <w:vertAlign w:val="superscript"/>
        </w:rPr>
        <w:t xml:space="preserve">55</w:t>
      </w:r>
      <w:r>
        <w:t xml:space="preserve"> </w:t>
      </w:r>
      <w:r>
        <w:rPr>
          <w:vertAlign w:val="superscript"/>
        </w:rPr>
        <w:t xml:space="preserve">101</w:t>
      </w:r>
      <w:r>
        <w:t xml:space="preserve"> </w:t>
      </w:r>
      <w:r>
        <w:rPr>
          <w:vertAlign w:val="superscript"/>
        </w:rPr>
        <w:t xml:space="preserve">102</w:t>
      </w:r>
      <w:r>
        <w:t xml:space="preserve">. Every major LLM host speaks MCP natively: Claude Desktop, Claude Code, Cursor, ChatGPT desktop, OpenAI Agents SDK, and Amazon Bedrock AgentCore Gateway</w:t>
      </w:r>
      <w:r>
        <w:t xml:space="preserve"> </w:t>
      </w:r>
      <w:r>
        <w:rPr>
          <w:vertAlign w:val="superscript"/>
        </w:rPr>
        <w:t xml:space="preserve">34</w:t>
      </w:r>
      <w:r>
        <w:t xml:space="preserve">. Both MCP and Google’s A2A protocol now fall under the Linux Foundation’s Agentic AI Foundation governance</w:t>
      </w:r>
      <w:r>
        <w:t xml:space="preserve"> </w:t>
      </w:r>
      <w:r>
        <w:rPr>
          <w:vertAlign w:val="superscript"/>
        </w:rPr>
        <w:t xml:space="preserve">77</w:t>
      </w:r>
      <w:r>
        <w:t xml:space="preserve">. The protocol wars are over. MCP won.</w:t>
      </w:r>
    </w:p>
    <w:p>
      <w:pPr>
        <w:pStyle w:val="BodyText"/>
      </w:pPr>
      <w:r>
        <w:rPr>
          <w:bCs/>
          <w:b/>
        </w:rPr>
        <w:t xml:space="preserve">But winning the protocol battle created a governance vacuum — and that vacuum is SOV3’s strategic opportunity.</w:t>
      </w:r>
    </w:p>
    <w:p>
      <w:pPr>
        <w:pStyle w:val="BodyText"/>
      </w:pPr>
      <w:r>
        <w:t xml:space="preserve">Consider what exists today: six competing MCP marketplaces (MCP.so at 15,704 servers, MCP Market at 13,830, Glama at 7,675, Smithery at 5,625, PulseMCP at 5,264, and Cursor Directory at 1,560), yet</w:t>
      </w:r>
      <w:r>
        <w:t xml:space="preserve"> </w:t>
      </w:r>
      <w:r>
        <w:rPr>
          <w:bCs/>
          <w:b/>
        </w:rPr>
        <w:t xml:space="preserve">not a single one offers industry-vertical curation, security auditing, or compliance certification</w:t>
      </w:r>
      <w:r>
        <w:t xml:space="preserve"> </w:t>
      </w:r>
      <w:r>
        <w:rPr>
          <w:vertAlign w:val="superscript"/>
        </w:rPr>
        <w:t xml:space="preserve">45</w:t>
      </w:r>
      <w:r>
        <w:t xml:space="preserve"> </w:t>
      </w:r>
      <w:r>
        <w:rPr>
          <w:vertAlign w:val="superscript"/>
        </w:rPr>
        <w:t xml:space="preserve">55</w:t>
      </w:r>
      <w:r>
        <w:t xml:space="preserve">. They are directories, not solutions. An enterprise buyer cannot walk into any of these marketplaces and purchase a</w:t>
      </w:r>
      <w:r>
        <w:t xml:space="preserve"> </w:t>
      </w:r>
      <w:r>
        <w:t xml:space="preserve">“</w:t>
      </w:r>
      <w:r>
        <w:t xml:space="preserve">Healthcare MCP Pack</w:t>
      </w:r>
      <w:r>
        <w:t xml:space="preserve">”</w:t>
      </w:r>
      <w:r>
        <w:t xml:space="preserve"> </w:t>
      </w:r>
      <w:r>
        <w:t xml:space="preserve">that is HIPAA-compliant, security-audited, and ready for regulated deployment. That product does not exist anywhere on earth.</w:t>
      </w:r>
    </w:p>
    <w:p>
      <w:pPr>
        <w:pStyle w:val="BodyText"/>
      </w:pPr>
      <w:r>
        <w:t xml:space="preserve">The security situation is catastrophic. A 540% increase in confirmed prompt-injection vulnerabilities was reported by HackerOne in 2025</w:t>
      </w:r>
      <w:r>
        <w:t xml:space="preserve"> </w:t>
      </w:r>
      <w:r>
        <w:rPr>
          <w:vertAlign w:val="superscript"/>
        </w:rPr>
        <w:t xml:space="preserve">96</w:t>
      </w:r>
      <w:r>
        <w:t xml:space="preserve">. Critical CVEs are stacking up: CVE-2025-6514 scored</w:t>
      </w:r>
      <w:r>
        <w:t xml:space="preserve"> </w:t>
      </w:r>
      <w:r>
        <w:rPr>
          <w:bCs/>
          <w:b/>
        </w:rPr>
        <w:t xml:space="preserve">9.6</w:t>
      </w:r>
      <w:r>
        <w:t xml:space="preserve"> </w:t>
      </w:r>
      <w:r>
        <w:t xml:space="preserve">(RCE in the mcp-remote transport library with 437,000+ downloads), CVE-2025-49596 scored</w:t>
      </w:r>
      <w:r>
        <w:t xml:space="preserve"> </w:t>
      </w:r>
      <w:r>
        <w:rPr>
          <w:bCs/>
          <w:b/>
        </w:rPr>
        <w:t xml:space="preserve">9.4</w:t>
      </w:r>
      <w:r>
        <w:t xml:space="preserve"> </w:t>
      </w:r>
      <w:r>
        <w:t xml:space="preserve">(RCE in MCP Inspector), and CVE-2025-59536 scored</w:t>
      </w:r>
      <w:r>
        <w:t xml:space="preserve"> </w:t>
      </w:r>
      <w:r>
        <w:rPr>
          <w:bCs/>
          <w:b/>
        </w:rPr>
        <w:t xml:space="preserve">8.7</w:t>
      </w:r>
      <w:r>
        <w:t xml:space="preserve"> </w:t>
      </w:r>
      <w:r>
        <w:t xml:space="preserve">(configuration injection via malicious hooks with MCP consent bypass)</w:t>
      </w:r>
      <w:r>
        <w:t xml:space="preserve"> </w:t>
      </w:r>
      <w:r>
        <w:rPr>
          <w:vertAlign w:val="superscript"/>
        </w:rPr>
        <w:t xml:space="preserve">96</w:t>
      </w:r>
      <w:r>
        <w:t xml:space="preserve"> </w:t>
      </w:r>
      <w:r>
        <w:rPr>
          <w:vertAlign w:val="superscript"/>
        </w:rPr>
        <w:t xml:space="preserve">103</w:t>
      </w:r>
      <w:r>
        <w:t xml:space="preserve">. OWASP responded by launching the</w:t>
      </w:r>
      <w:r>
        <w:t xml:space="preserve"> </w:t>
      </w:r>
      <w:r>
        <w:rPr>
          <w:bCs/>
          <w:b/>
        </w:rPr>
        <w:t xml:space="preserve">MCP Top 10</w:t>
      </w:r>
      <w:r>
        <w:t xml:space="preserve"> </w:t>
      </w:r>
      <w:r>
        <w:t xml:space="preserve">(MCP01-MCP10:2025) — the first framework dedicated exclusively to MCP security</w:t>
      </w:r>
      <w:r>
        <w:t xml:space="preserve"> </w:t>
      </w:r>
      <w:r>
        <w:rPr>
          <w:vertAlign w:val="superscript"/>
        </w:rPr>
        <w:t xml:space="preserve">40</w:t>
      </w:r>
      <w:r>
        <w:t xml:space="preserve">. The Agentic Skills Top 10 followed, documenting 1,184 malicious skills discovered in the wild</w:t>
      </w:r>
      <w:r>
        <w:t xml:space="preserve"> </w:t>
      </w:r>
      <w:r>
        <w:rPr>
          <w:vertAlign w:val="superscript"/>
        </w:rPr>
        <w:t xml:space="preserve">68</w:t>
      </w:r>
      <w:r>
        <w:t xml:space="preserve">. Tool poisoning attacks (MCPTox) achieved a</w:t>
      </w:r>
      <w:r>
        <w:t xml:space="preserve"> </w:t>
      </w:r>
      <w:r>
        <w:rPr>
          <w:bCs/>
          <w:b/>
        </w:rPr>
        <w:t xml:space="preserve">72.8% attack success rate</w:t>
      </w:r>
      <w:r>
        <w:t xml:space="preserve"> </w:t>
      </w:r>
      <w:r>
        <w:t xml:space="preserve">against o1-mini</w:t>
      </w:r>
      <w:r>
        <w:t xml:space="preserve"> </w:t>
      </w:r>
      <w:r>
        <w:rPr>
          <w:vertAlign w:val="superscript"/>
        </w:rPr>
        <w:t xml:space="preserve">103</w:t>
      </w:r>
      <w:r>
        <w:t xml:space="preserve">.</w:t>
      </w:r>
    </w:p>
    <w:tbl>
      <w:tblPr>
        <w:tblStyle w:val="Table"/>
        <w:tblW w:type="pct" w:w="5000"/>
        <w:tblLook w:firstRow="1" w:lastRow="0" w:firstColumn="0" w:lastColumn="0" w:noHBand="0" w:noVBand="0" w:val="0020"/>
      </w:tblPr>
      <w:tblGrid>
        <w:gridCol w:w="2077"/>
        <w:gridCol w:w="1428"/>
        <w:gridCol w:w="2466"/>
        <w:gridCol w:w="1947"/>
      </w:tblGrid>
      <w:tr>
        <w:trPr>
          <w:tblHeader w:val="true"/>
        </w:trPr>
        <w:tc>
          <w:tcPr/>
          <w:p>
            <w:pPr>
              <w:pStyle w:val="Compact"/>
              <w:jc w:val="left"/>
            </w:pPr>
            <w:r>
              <w:t xml:space="preserve">CVE Identifier</w:t>
            </w:r>
          </w:p>
        </w:tc>
        <w:tc>
          <w:tcPr/>
          <w:p>
            <w:pPr>
              <w:pStyle w:val="Compact"/>
              <w:jc w:val="left"/>
            </w:pPr>
            <w:r>
              <w:t xml:space="preserve">CVSS Score</w:t>
            </w:r>
          </w:p>
        </w:tc>
        <w:tc>
          <w:tcPr/>
          <w:p>
            <w:pPr>
              <w:pStyle w:val="Compact"/>
              <w:jc w:val="left"/>
            </w:pPr>
            <w:r>
              <w:t xml:space="preserve">Affected Component</w:t>
            </w:r>
          </w:p>
        </w:tc>
        <w:tc>
          <w:tcPr/>
          <w:p>
            <w:pPr>
              <w:pStyle w:val="Compact"/>
              <w:jc w:val="left"/>
            </w:pPr>
            <w:r>
              <w:t xml:space="preserve">Attack Vector</w:t>
            </w:r>
          </w:p>
        </w:tc>
      </w:tr>
      <w:tr>
        <w:tc>
          <w:tcPr/>
          <w:p>
            <w:pPr>
              <w:pStyle w:val="Compact"/>
              <w:jc w:val="left"/>
            </w:pPr>
            <w:r>
              <w:t xml:space="preserve">CVE-2025-6514</w:t>
            </w:r>
          </w:p>
        </w:tc>
        <w:tc>
          <w:tcPr/>
          <w:p>
            <w:pPr>
              <w:pStyle w:val="Compact"/>
              <w:jc w:val="left"/>
            </w:pPr>
            <w:r>
              <w:rPr>
                <w:bCs/>
                <w:b/>
              </w:rPr>
              <w:t xml:space="preserve">9.6</w:t>
            </w:r>
          </w:p>
        </w:tc>
        <w:tc>
          <w:tcPr/>
          <w:p>
            <w:pPr>
              <w:pStyle w:val="Compact"/>
              <w:jc w:val="left"/>
            </w:pPr>
            <w:r>
              <w:t xml:space="preserve">mcp-remote transport library (437K+ downloads)</w:t>
            </w:r>
          </w:p>
        </w:tc>
        <w:tc>
          <w:tcPr/>
          <w:p>
            <w:pPr>
              <w:pStyle w:val="Compact"/>
              <w:jc w:val="left"/>
            </w:pPr>
            <w:r>
              <w:t xml:space="preserve">Remote code execution</w:t>
            </w:r>
          </w:p>
        </w:tc>
      </w:tr>
      <w:tr>
        <w:tc>
          <w:tcPr/>
          <w:p>
            <w:pPr>
              <w:pStyle w:val="Compact"/>
              <w:jc w:val="left"/>
            </w:pPr>
            <w:r>
              <w:t xml:space="preserve">CVE-2025-49596</w:t>
            </w:r>
          </w:p>
        </w:tc>
        <w:tc>
          <w:tcPr/>
          <w:p>
            <w:pPr>
              <w:pStyle w:val="Compact"/>
              <w:jc w:val="left"/>
            </w:pPr>
            <w:r>
              <w:rPr>
                <w:bCs/>
                <w:b/>
              </w:rPr>
              <w:t xml:space="preserve">9.4</w:t>
            </w:r>
          </w:p>
        </w:tc>
        <w:tc>
          <w:tcPr/>
          <w:p>
            <w:pPr>
              <w:pStyle w:val="Compact"/>
              <w:jc w:val="left"/>
            </w:pPr>
            <w:r>
              <w:t xml:space="preserve">MCP Inspector</w:t>
            </w:r>
          </w:p>
        </w:tc>
        <w:tc>
          <w:tcPr/>
          <w:p>
            <w:pPr>
              <w:pStyle w:val="Compact"/>
              <w:jc w:val="left"/>
            </w:pPr>
            <w:r>
              <w:t xml:space="preserve">Remote code execution</w:t>
            </w:r>
          </w:p>
        </w:tc>
      </w:tr>
      <w:tr>
        <w:tc>
          <w:tcPr/>
          <w:p>
            <w:pPr>
              <w:pStyle w:val="Compact"/>
              <w:jc w:val="left"/>
            </w:pPr>
            <w:r>
              <w:t xml:space="preserve">CVE-2026-28363</w:t>
            </w:r>
          </w:p>
        </w:tc>
        <w:tc>
          <w:tcPr/>
          <w:p>
            <w:pPr>
              <w:pStyle w:val="Compact"/>
              <w:jc w:val="left"/>
            </w:pPr>
            <w:r>
              <w:rPr>
                <w:bCs/>
                <w:b/>
              </w:rPr>
              <w:t xml:space="preserve">9.9</w:t>
            </w:r>
          </w:p>
        </w:tc>
        <w:tc>
          <w:tcPr/>
          <w:p>
            <w:pPr>
              <w:pStyle w:val="Compact"/>
              <w:jc w:val="left"/>
            </w:pPr>
            <w:r>
              <w:t xml:space="preserve">OpenClaw (135K exposed instances)</w:t>
            </w:r>
          </w:p>
        </w:tc>
        <w:tc>
          <w:tcPr/>
          <w:p>
            <w:pPr>
              <w:pStyle w:val="Compact"/>
              <w:jc w:val="left"/>
            </w:pPr>
            <w:r>
              <w:t xml:space="preserve">WebSocket brute-force (ClawJacked)</w:t>
            </w:r>
          </w:p>
        </w:tc>
      </w:tr>
      <w:tr>
        <w:tc>
          <w:tcPr/>
          <w:p>
            <w:pPr>
              <w:pStyle w:val="Compact"/>
              <w:jc w:val="left"/>
            </w:pPr>
            <w:r>
              <w:t xml:space="preserve">CVE-2025-59536</w:t>
            </w:r>
          </w:p>
        </w:tc>
        <w:tc>
          <w:tcPr/>
          <w:p>
            <w:pPr>
              <w:pStyle w:val="Compact"/>
              <w:jc w:val="left"/>
            </w:pPr>
            <w:r>
              <w:rPr>
                <w:bCs/>
                <w:b/>
              </w:rPr>
              <w:t xml:space="preserve">8.7</w:t>
            </w:r>
          </w:p>
        </w:tc>
        <w:tc>
          <w:tcPr/>
          <w:p>
            <w:pPr>
              <w:pStyle w:val="Compact"/>
              <w:jc w:val="left"/>
            </w:pPr>
            <w:r>
              <w:t xml:space="preserve">Claude Code</w:t>
            </w:r>
          </w:p>
        </w:tc>
        <w:tc>
          <w:tcPr/>
          <w:p>
            <w:pPr>
              <w:pStyle w:val="Compact"/>
              <w:jc w:val="left"/>
            </w:pPr>
            <w:r>
              <w:t xml:space="preserve">Config injection, MCP consent bypass</w:t>
            </w:r>
          </w:p>
        </w:tc>
      </w:tr>
      <w:tr>
        <w:tc>
          <w:tcPr/>
          <w:p>
            <w:pPr>
              <w:pStyle w:val="Compact"/>
              <w:jc w:val="left"/>
            </w:pPr>
            <w:r>
              <w:t xml:space="preserve">CVE-2024-8309</w:t>
            </w:r>
          </w:p>
        </w:tc>
        <w:tc>
          <w:tcPr/>
          <w:p>
            <w:pPr>
              <w:pStyle w:val="Compact"/>
              <w:jc w:val="left"/>
            </w:pPr>
            <w:r>
              <w:t xml:space="preserve">Critical</w:t>
            </w:r>
          </w:p>
        </w:tc>
        <w:tc>
          <w:tcPr/>
          <w:p>
            <w:pPr>
              <w:pStyle w:val="Compact"/>
              <w:jc w:val="left"/>
            </w:pPr>
            <w:r>
              <w:t xml:space="preserve">LangChain GraphCypherQAChain</w:t>
            </w:r>
          </w:p>
        </w:tc>
        <w:tc>
          <w:tcPr/>
          <w:p>
            <w:pPr>
              <w:pStyle w:val="Compact"/>
              <w:jc w:val="left"/>
            </w:pPr>
            <w:r>
              <w:t xml:space="preserve">Prompt injection → full DB compromise</w:t>
            </w:r>
          </w:p>
        </w:tc>
      </w:tr>
      <w:tr>
        <w:tc>
          <w:tcPr/>
          <w:p>
            <w:pPr>
              <w:pStyle w:val="Compact"/>
              <w:jc w:val="left"/>
            </w:pPr>
            <w:r>
              <w:t xml:space="preserve">CVE-2025-32711</w:t>
            </w:r>
          </w:p>
        </w:tc>
        <w:tc>
          <w:tcPr/>
          <w:p>
            <w:pPr>
              <w:pStyle w:val="Compact"/>
              <w:jc w:val="left"/>
            </w:pPr>
            <w:r>
              <w:t xml:space="preserve">Critical</w:t>
            </w:r>
          </w:p>
        </w:tc>
        <w:tc>
          <w:tcPr/>
          <w:p>
            <w:pPr>
              <w:pStyle w:val="Compact"/>
              <w:jc w:val="left"/>
            </w:pPr>
            <w:r>
              <w:t xml:space="preserve">Microsoft 365 Copilot</w:t>
            </w:r>
          </w:p>
        </w:tc>
        <w:tc>
          <w:tcPr/>
          <w:p>
            <w:pPr>
              <w:pStyle w:val="Compact"/>
              <w:jc w:val="left"/>
            </w:pPr>
            <w:r>
              <w:t xml:space="preserve">EchoLeak zero-click prompt exfiltration</w:t>
            </w:r>
          </w:p>
        </w:tc>
      </w:tr>
    </w:tbl>
    <w:p>
      <w:pPr>
        <w:pStyle w:val="BodyText"/>
      </w:pPr>
      <w:r>
        <w:rPr>
          <w:bCs/>
          <w:b/>
        </w:rPr>
        <w:t xml:space="preserve">This is SOV3’s TLS/SSL moment.</w:t>
      </w:r>
      <w:r>
        <w:t xml:space="preserve"> </w:t>
      </w:r>
      <w:r>
        <w:t xml:space="preserve">In the 1990s, the web needed a trust layer — and Verisign (later acquired by Symantec, now DigiCert) became the Certificate Authority that made e-commerce possible. Today, the MCP ecosystem needs an equivalent trust authority. SOV3 can become the</w:t>
      </w:r>
      <w:r>
        <w:t xml:space="preserve"> </w:t>
      </w:r>
      <w:r>
        <w:rPr>
          <w:bCs/>
          <w:b/>
        </w:rPr>
        <w:t xml:space="preserve">“</w:t>
      </w:r>
      <w:r>
        <w:rPr>
          <w:bCs/>
          <w:b/>
        </w:rPr>
        <w:t xml:space="preserve">MCP Security Authority</w:t>
      </w:r>
      <w:r>
        <w:rPr>
          <w:bCs/>
          <w:b/>
        </w:rPr>
        <w:t xml:space="preserve">”</w:t>
      </w:r>
      <w:r>
        <w:t xml:space="preserve"> </w:t>
      </w:r>
      <w:r>
        <w:t xml:space="preserve">— the organization that certifies MCP servers as safe, compliant, and enterprise-ready.</w:t>
      </w:r>
    </w:p>
    <w:p>
      <w:pPr>
        <w:pStyle w:val="BodyText"/>
      </w:pPr>
      <w:r>
        <w:t xml:space="preserve">The competitive gap matrix confirms this opportunity: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SOV3 (Planned)</w:t>
            </w:r>
          </w:p>
        </w:tc>
        <w:tc>
          <w:tcPr/>
          <w:p>
            <w:pPr>
              <w:pStyle w:val="Compact"/>
              <w:jc w:val="left"/>
            </w:pPr>
            <w:r>
              <w:t xml:space="preserve">Sycamore Labs</w:t>
            </w:r>
          </w:p>
        </w:tc>
        <w:tc>
          <w:tcPr/>
          <w:p>
            <w:pPr>
              <w:pStyle w:val="Compact"/>
              <w:jc w:val="left"/>
            </w:pPr>
            <w:r>
              <w:t xml:space="preserve">Microsoft</w:t>
            </w:r>
          </w:p>
        </w:tc>
        <w:tc>
          <w:tcPr/>
          <w:p>
            <w:pPr>
              <w:pStyle w:val="Compact"/>
              <w:jc w:val="left"/>
            </w:pPr>
            <w:r>
              <w:t xml:space="preserve">AWS</w:t>
            </w:r>
          </w:p>
        </w:tc>
        <w:tc>
          <w:tcPr/>
          <w:p>
            <w:pPr>
              <w:pStyle w:val="Compact"/>
              <w:jc w:val="left"/>
            </w:pPr>
            <w:r>
              <w:t xml:space="preserve">Zapier</w:t>
            </w:r>
          </w:p>
        </w:tc>
      </w:tr>
      <w:tr>
        <w:tc>
          <w:tcPr/>
          <w:p>
            <w:pPr>
              <w:pStyle w:val="Compact"/>
              <w:jc w:val="left"/>
            </w:pPr>
            <w:r>
              <w:t xml:space="preserve">Industry Vertical MCP Packs</w:t>
            </w:r>
          </w:p>
        </w:tc>
        <w:tc>
          <w:tcPr/>
          <w:p>
            <w:pPr>
              <w:pStyle w:val="Compact"/>
              <w:jc w:val="left"/>
            </w:pPr>
            <w:r>
              <w:rPr>
                <w:bCs/>
                <w:b/>
              </w:rPr>
              <w:t xml:space="preserve">Planned</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MCP Security Auditing</w:t>
            </w:r>
          </w:p>
        </w:tc>
        <w:tc>
          <w:tcPr/>
          <w:p>
            <w:pPr>
              <w:pStyle w:val="Compact"/>
              <w:jc w:val="left"/>
            </w:pPr>
            <w:r>
              <w:rPr>
                <w:bCs/>
                <w:b/>
              </w:rPr>
              <w:t xml:space="preserve">Planned</w:t>
            </w:r>
          </w:p>
        </w:tc>
        <w:tc>
          <w:tcPr/>
          <w:p>
            <w:pPr>
              <w:pStyle w:val="Compact"/>
              <w:jc w:val="left"/>
            </w:pPr>
            <w:r>
              <w:t xml:space="preserve">Yes (governance only)</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MCP Marketplace Curation</w:t>
            </w:r>
          </w:p>
        </w:tc>
        <w:tc>
          <w:tcPr/>
          <w:p>
            <w:pPr>
              <w:pStyle w:val="Compact"/>
              <w:jc w:val="left"/>
            </w:pPr>
            <w:r>
              <w:rPr>
                <w:bCs/>
                <w:b/>
              </w:rPr>
              <w:t xml:space="preserve">Planned</w:t>
            </w:r>
          </w:p>
        </w:tc>
        <w:tc>
          <w:tcPr/>
          <w:p>
            <w:pPr>
              <w:pStyle w:val="Compact"/>
              <w:jc w:val="left"/>
            </w:pPr>
            <w:r>
              <w:t xml:space="preserve">No</w:t>
            </w:r>
          </w:p>
        </w:tc>
        <w:tc>
          <w:tcPr/>
          <w:p>
            <w:pPr>
              <w:pStyle w:val="Compact"/>
              <w:jc w:val="left"/>
            </w:pPr>
            <w:r>
              <w:t xml:space="preserve">Horizontal only</w:t>
            </w:r>
          </w:p>
        </w:tc>
        <w:tc>
          <w:tcPr/>
          <w:p>
            <w:pPr>
              <w:pStyle w:val="Compact"/>
              <w:jc w:val="left"/>
            </w:pPr>
            <w:r>
              <w:t xml:space="preserve">No</w:t>
            </w:r>
          </w:p>
        </w:tc>
        <w:tc>
          <w:tcPr/>
          <w:p>
            <w:pPr>
              <w:pStyle w:val="Compact"/>
              <w:jc w:val="left"/>
            </w:pPr>
            <w:r>
              <w:t xml:space="preserve">Partial</w:t>
            </w:r>
          </w:p>
        </w:tc>
      </w:tr>
      <w:tr>
        <w:tc>
          <w:tcPr/>
          <w:p>
            <w:pPr>
              <w:pStyle w:val="Compact"/>
              <w:jc w:val="left"/>
            </w:pPr>
            <w:r>
              <w:t xml:space="preserve">Enterprise Lifecycle Platform</w:t>
            </w:r>
          </w:p>
        </w:tc>
        <w:tc>
          <w:tcPr/>
          <w:p>
            <w:pPr>
              <w:pStyle w:val="Compact"/>
              <w:jc w:val="left"/>
            </w:pPr>
            <w:r>
              <w:rPr>
                <w:bCs/>
                <w:b/>
              </w:rPr>
              <w:t xml:space="preserve">Planned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bl>
    <w:p>
      <w:pPr>
        <w:pStyle w:val="BodyText"/>
      </w:pPr>
      <w:r>
        <w:t xml:space="preserve">No competitor — not Sycamore Labs with its $65 million war chest, not Microsoft with its marketplace millions, not AWS with its enterprise infrastructure — is offering</w:t>
      </w:r>
      <w:r>
        <w:t xml:space="preserve"> </w:t>
      </w:r>
      <w:r>
        <w:rPr>
          <w:bCs/>
          <w:b/>
        </w:rPr>
        <w:t xml:space="preserve">pre-built, security-audited, industry-specific MCP server bundles</w:t>
      </w:r>
      <w:r>
        <w:t xml:space="preserve"> </w:t>
      </w:r>
      <w:r>
        <w:t xml:space="preserve">[^dim08^]. The field is wide open.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Strike Opportunity</w:t>
            </w:r>
          </w:p>
        </w:tc>
        <w:tc>
          <w:tcPr/>
          <w:p>
            <w:pPr>
              <w:pStyle w:val="Compact"/>
              <w:jc w:val="left"/>
            </w:pPr>
            <w:r>
              <w:t xml:space="preserve">TAM</w:t>
            </w:r>
          </w:p>
        </w:tc>
        <w:tc>
          <w:tcPr/>
          <w:p>
            <w:pPr>
              <w:pStyle w:val="Compact"/>
              <w:jc w:val="left"/>
            </w:pPr>
            <w:r>
              <w:t xml:space="preserve">Competitive Gap</w:t>
            </w:r>
          </w:p>
        </w:tc>
        <w:tc>
          <w:tcPr/>
          <w:p>
            <w:pPr>
              <w:pStyle w:val="Compact"/>
              <w:jc w:val="left"/>
            </w:pPr>
            <w:r>
              <w:t xml:space="preserve">Time to Market</w:t>
            </w:r>
          </w:p>
        </w:tc>
        <w:tc>
          <w:tcPr/>
          <w:p>
            <w:pPr>
              <w:pStyle w:val="Compact"/>
              <w:jc w:val="left"/>
            </w:pPr>
            <w:r>
              <w:t xml:space="preserve">Priority</w:t>
            </w:r>
          </w:p>
        </w:tc>
      </w:tr>
      <w:tr>
        <w:tc>
          <w:tcPr/>
          <w:p>
            <w:pPr>
              <w:pStyle w:val="Compact"/>
              <w:jc w:val="left"/>
            </w:pPr>
            <w:r>
              <w:rPr>
                <w:bCs/>
                <w:b/>
              </w:rPr>
              <w:t xml:space="preserve">Industry MCP Packs</w:t>
            </w:r>
            <w:r>
              <w:t xml:space="preserve"> </w:t>
            </w:r>
            <w:r>
              <w:t xml:space="preserve">(Healthcare, Finance, Manufacturing, Legal)</w:t>
            </w:r>
          </w:p>
        </w:tc>
        <w:tc>
          <w:tcPr/>
          <w:p>
            <w:pPr>
              <w:pStyle w:val="Compact"/>
              <w:jc w:val="left"/>
            </w:pPr>
            <w:r>
              <w:t xml:space="preserve">$2–5B</w:t>
            </w:r>
          </w:p>
        </w:tc>
        <w:tc>
          <w:tcPr/>
          <w:p>
            <w:pPr>
              <w:pStyle w:val="Compact"/>
              <w:jc w:val="left"/>
            </w:pPr>
            <w:r>
              <w:rPr>
                <w:bCs/>
                <w:b/>
              </w:rPr>
              <w:t xml:space="preserve">No direct competition</w:t>
            </w:r>
          </w:p>
        </w:tc>
        <w:tc>
          <w:tcPr/>
          <w:p>
            <w:pPr>
              <w:pStyle w:val="Compact"/>
              <w:jc w:val="left"/>
            </w:pPr>
            <w:r>
              <w:t xml:space="preserve">2–3 months</w:t>
            </w:r>
          </w:p>
        </w:tc>
        <w:tc>
          <w:tcPr/>
          <w:p>
            <w:pPr>
              <w:pStyle w:val="Compact"/>
              <w:jc w:val="left"/>
            </w:pPr>
            <w:r>
              <w:rPr>
                <w:bCs/>
                <w:b/>
              </w:rPr>
              <w:t xml:space="preserve">P0</w:t>
            </w:r>
          </w:p>
        </w:tc>
      </w:tr>
      <w:tr>
        <w:tc>
          <w:tcPr/>
          <w:p>
            <w:pPr>
              <w:pStyle w:val="Compact"/>
              <w:jc w:val="left"/>
            </w:pPr>
            <w:r>
              <w:rPr>
                <w:bCs/>
                <w:b/>
              </w:rPr>
              <w:t xml:space="preserve">Security-First MCP Marketplace</w:t>
            </w:r>
          </w:p>
        </w:tc>
        <w:tc>
          <w:tcPr/>
          <w:p>
            <w:pPr>
              <w:pStyle w:val="Compact"/>
              <w:jc w:val="left"/>
            </w:pPr>
            <w:r>
              <w:t xml:space="preserve">$1–3B</w:t>
            </w:r>
          </w:p>
        </w:tc>
        <w:tc>
          <w:tcPr/>
          <w:p>
            <w:pPr>
              <w:pStyle w:val="Compact"/>
              <w:jc w:val="left"/>
            </w:pPr>
            <w:r>
              <w:t xml:space="preserve">Unmet demand — zero auditing</w:t>
            </w:r>
          </w:p>
        </w:tc>
        <w:tc>
          <w:tcPr/>
          <w:p>
            <w:pPr>
              <w:pStyle w:val="Compact"/>
              <w:jc w:val="left"/>
            </w:pPr>
            <w:r>
              <w:t xml:space="preserve">4–6 months</w:t>
            </w:r>
          </w:p>
        </w:tc>
        <w:tc>
          <w:tcPr/>
          <w:p>
            <w:pPr>
              <w:pStyle w:val="Compact"/>
              <w:jc w:val="left"/>
            </w:pPr>
            <w:r>
              <w:rPr>
                <w:bCs/>
                <w:b/>
              </w:rPr>
              <w:t xml:space="preserve">P0</w:t>
            </w:r>
          </w:p>
        </w:tc>
      </w:tr>
      <w:tr>
        <w:tc>
          <w:tcPr/>
          <w:p>
            <w:pPr>
              <w:pStyle w:val="Compact"/>
              <w:jc w:val="left"/>
            </w:pPr>
            <w:r>
              <w:rPr>
                <w:bCs/>
                <w:b/>
              </w:rPr>
              <w:t xml:space="preserve">MCP Gateway</w:t>
            </w:r>
            <w:r>
              <w:t xml:space="preserve"> </w:t>
            </w:r>
            <w:r>
              <w:t xml:space="preserve">(context tax optimization)</w:t>
            </w:r>
          </w:p>
        </w:tc>
        <w:tc>
          <w:tcPr/>
          <w:p>
            <w:pPr>
              <w:pStyle w:val="Compact"/>
              <w:jc w:val="left"/>
            </w:pPr>
            <w:r>
              <w:t xml:space="preserve">$500M–$1B</w:t>
            </w:r>
          </w:p>
        </w:tc>
        <w:tc>
          <w:tcPr/>
          <w:p>
            <w:pPr>
              <w:pStyle w:val="Compact"/>
              <w:jc w:val="left"/>
            </w:pPr>
            <w:r>
              <w:t xml:space="preserve">Perplexity pulled out</w:t>
            </w:r>
          </w:p>
        </w:tc>
        <w:tc>
          <w:tcPr/>
          <w:p>
            <w:pPr>
              <w:pStyle w:val="Compact"/>
              <w:jc w:val="left"/>
            </w:pPr>
            <w:r>
              <w:t xml:space="preserve">3–4 months</w:t>
            </w:r>
          </w:p>
        </w:tc>
        <w:tc>
          <w:tcPr/>
          <w:p>
            <w:pPr>
              <w:pStyle w:val="Compact"/>
              <w:jc w:val="left"/>
            </w:pPr>
            <w:r>
              <w:t xml:space="preserve">P1</w:t>
            </w:r>
          </w:p>
        </w:tc>
      </w:tr>
      <w:tr>
        <w:tc>
          <w:tcPr/>
          <w:p>
            <w:pPr>
              <w:pStyle w:val="Compact"/>
              <w:jc w:val="left"/>
            </w:pPr>
            <w:r>
              <w:rPr>
                <w:bCs/>
                <w:b/>
              </w:rPr>
              <w:t xml:space="preserve">Browser Automation MCP Packs</w:t>
            </w:r>
          </w:p>
        </w:tc>
        <w:tc>
          <w:tcPr/>
          <w:p>
            <w:pPr>
              <w:pStyle w:val="Compact"/>
              <w:jc w:val="left"/>
            </w:pPr>
            <w:r>
              <w:t xml:space="preserve">$500M–$1B</w:t>
            </w:r>
          </w:p>
        </w:tc>
        <w:tc>
          <w:tcPr/>
          <w:p>
            <w:pPr>
              <w:pStyle w:val="Compact"/>
              <w:jc w:val="left"/>
            </w:pPr>
            <w:r>
              <w:t xml:space="preserve">Fragmented</w:t>
            </w:r>
          </w:p>
        </w:tc>
        <w:tc>
          <w:tcPr/>
          <w:p>
            <w:pPr>
              <w:pStyle w:val="Compact"/>
              <w:jc w:val="left"/>
            </w:pPr>
            <w:r>
              <w:t xml:space="preserve">2–3 months</w:t>
            </w:r>
          </w:p>
        </w:tc>
        <w:tc>
          <w:tcPr/>
          <w:p>
            <w:pPr>
              <w:pStyle w:val="Compact"/>
              <w:jc w:val="left"/>
            </w:pPr>
            <w:r>
              <w:t xml:space="preserve">P1</w:t>
            </w:r>
          </w:p>
        </w:tc>
      </w:tr>
    </w:tbl>
    <w:p>
      <w:pPr>
        <w:pStyle w:val="BodyText"/>
      </w:pPr>
      <w:r>
        <w:rPr>
          <w:bCs/>
          <w:b/>
        </w:rPr>
        <w:t xml:space="preserve">Recommended execution sequence:</w:t>
      </w:r>
    </w:p>
    <w:p>
      <w:pPr>
        <w:numPr>
          <w:ilvl w:val="0"/>
          <w:numId w:val="1010"/>
        </w:numPr>
      </w:pPr>
      <w:r>
        <w:rPr>
          <w:bCs/>
          <w:b/>
        </w:rPr>
        <w:t xml:space="preserve">Ship the first Industry MCP Pack within 60 days.</w:t>
      </w:r>
      <w:r>
        <w:t xml:space="preserve"> </w:t>
      </w:r>
      <w:r>
        <w:t xml:space="preserve">Start with Healthcare (HL7 FHIR, Epic, Cerner integrations) — the highest-value, most compliance-sensitive vertical where SOV3’s security posture provides maximum differentiation.</w:t>
      </w:r>
    </w:p>
    <w:p>
      <w:pPr>
        <w:numPr>
          <w:ilvl w:val="0"/>
          <w:numId w:val="1010"/>
        </w:numPr>
      </w:pPr>
      <w:r>
        <w:rPr>
          <w:bCs/>
          <w:b/>
        </w:rPr>
        <w:t xml:space="preserve">Launch</w:t>
      </w:r>
      <w:r>
        <w:rPr>
          <w:bCs/>
          <w:b/>
        </w:rPr>
        <w:t xml:space="preserve"> </w:t>
      </w:r>
      <w:r>
        <w:rPr>
          <w:bCs/>
          <w:b/>
        </w:rPr>
        <w:t xml:space="preserve">“</w:t>
      </w:r>
      <w:r>
        <w:rPr>
          <w:bCs/>
          <w:b/>
        </w:rPr>
        <w:t xml:space="preserve">SOV3 Certified</w:t>
      </w:r>
      <w:r>
        <w:rPr>
          <w:bCs/>
          <w:b/>
        </w:rPr>
        <w:t xml:space="preserve">”</w:t>
      </w:r>
      <w:r>
        <w:rPr>
          <w:bCs/>
          <w:b/>
        </w:rPr>
        <w:t xml:space="preserve"> </w:t>
      </w:r>
      <w:r>
        <w:rPr>
          <w:bCs/>
          <w:b/>
        </w:rPr>
        <w:t xml:space="preserve">MCP security auditing</w:t>
      </w:r>
      <w:r>
        <w:t xml:space="preserve"> </w:t>
      </w:r>
      <w:r>
        <w:t xml:space="preserve">alongside the pack. Every MCP server in SOV3’s marketplace receives automated vulnerability scanning, compliance certification (SOC 2, HIPAA, FINRA as applicable), and a published security scorecard. Be the first and only marketplace that enterprises can trust.</w:t>
      </w:r>
    </w:p>
    <w:p>
      <w:pPr>
        <w:numPr>
          <w:ilvl w:val="0"/>
          <w:numId w:val="1010"/>
        </w:numPr>
      </w:pPr>
      <w:r>
        <w:rPr>
          <w:bCs/>
          <w:b/>
        </w:rPr>
        <w:t xml:space="preserve">Partner aggressively</w:t>
      </w:r>
      <w:r>
        <w:t xml:space="preserve"> </w:t>
      </w:r>
      <w:r>
        <w:t xml:space="preserve">with Composio (100+ toolkits, SOC 2 compliant) for integration breadth [^dim08^], browser-use (95K GitHub stars) for browser automation capabilities</w:t>
      </w:r>
      <w:r>
        <w:t xml:space="preserve"> </w:t>
      </w:r>
      <w:r>
        <w:rPr>
          <w:vertAlign w:val="superscript"/>
        </w:rPr>
        <w:t xml:space="preserve">104</w:t>
      </w:r>
      <w:r>
        <w:t xml:space="preserve">, and CrewAI ($18M raised, 2 billion agent executions) for multi-agent orchestration</w:t>
      </w:r>
      <w:r>
        <w:t xml:space="preserve"> </w:t>
      </w:r>
      <w:r>
        <w:rPr>
          <w:vertAlign w:val="superscript"/>
        </w:rPr>
        <w:t xml:space="preserve">81</w:t>
      </w:r>
      <w:r>
        <w:t xml:space="preserve">.</w:t>
      </w:r>
    </w:p>
    <w:p>
      <w:pPr>
        <w:numPr>
          <w:ilvl w:val="0"/>
          <w:numId w:val="1010"/>
        </w:numPr>
      </w:pPr>
      <w:r>
        <w:rPr>
          <w:bCs/>
          <w:b/>
        </w:rPr>
        <w:t xml:space="preserve">Publish the SOV3 MCP Security Standard</w:t>
      </w:r>
      <w:r>
        <w:t xml:space="preserve"> </w:t>
      </w:r>
      <w:r>
        <w:t xml:space="preserve">— a public framework that becomes the de facto enterprise security benchmark for MCP servers. When OWASP updates its MCP Top 10, SOV3’s standard should be cited as the implementation reference. This is how you become the TLS/SSL Certificate Authority of AI agent infrastructure: not by building the protocol, but by making it</w:t>
      </w:r>
      <w:r>
        <w:t xml:space="preserve"> </w:t>
      </w:r>
      <w:r>
        <w:rPr>
          <w:bCs/>
          <w:b/>
        </w:rPr>
        <w:t xml:space="preserve">safe to use</w:t>
      </w:r>
      <w:r>
        <w:t xml:space="preserve">.</w:t>
      </w:r>
    </w:p>
    <w:p>
      <w:pPr>
        <w:pStyle w:val="FirstParagraph"/>
      </w:pPr>
      <w:r>
        <w:t xml:space="preserve">The $10.4 billion MCP market is growing at 24.7% annually</w:t>
      </w:r>
      <w:r>
        <w:t xml:space="preserve"> </w:t>
      </w:r>
      <w:r>
        <w:rPr>
          <w:vertAlign w:val="superscript"/>
        </w:rPr>
        <w:t xml:space="preserve">55</w:t>
      </w:r>
      <w:r>
        <w:t xml:space="preserve">. The overall AI agent market is projected to reach $251.38 billion by 2034</w:t>
      </w:r>
      <w:r>
        <w:t xml:space="preserve"> </w:t>
      </w:r>
      <w:r>
        <w:rPr>
          <w:vertAlign w:val="superscript"/>
        </w:rPr>
        <w:t xml:space="preserve">105</w:t>
      </w:r>
      <w:r>
        <w:t xml:space="preserve">. But these numbers are meaningless without governance — and today,</w:t>
      </w:r>
      <w:r>
        <w:t xml:space="preserve"> </w:t>
      </w:r>
      <w:r>
        <w:rPr>
          <w:bCs/>
          <w:b/>
        </w:rPr>
        <w:t xml:space="preserve">there is zero governance in 13,000+ public MCP servers</w:t>
      </w:r>
      <w:r>
        <w:t xml:space="preserve">. SOV3 fills that gap, it doesn’t just capture market share. It creates the category.</w:t>
      </w:r>
    </w:p>
    <w:p>
      <w:r>
        <w:pict>
          <v:rect style="width:0;height:1.5pt" o:hralign="center" o:hrstd="t" o:hr="t"/>
        </w:pict>
      </w:r>
    </w:p>
    <w:bookmarkEnd w:id="70"/>
    <w:bookmarkStart w:id="71" w:name="chapter-7-key-takeaways"/>
    <w:p>
      <w:pPr>
        <w:pStyle w:val="Heading3"/>
      </w:pPr>
      <w:r>
        <w:t xml:space="preserve">Chapter 7 Key Takeaways</w:t>
      </w:r>
    </w:p>
    <w:p>
      <w:pPr>
        <w:numPr>
          <w:ilvl w:val="0"/>
          <w:numId w:val="1011"/>
        </w:numPr>
      </w:pPr>
      <w:r>
        <w:rPr>
          <w:bCs/>
          <w:b/>
        </w:rPr>
        <w:t xml:space="preserve">Talent is the new battlefield.</w:t>
      </w:r>
      <w:r>
        <w:t xml:space="preserve"> </w:t>
      </w:r>
      <w:r>
        <w:t xml:space="preserve">411 AI governance job postings in 90 days</w:t>
      </w:r>
      <w:r>
        <w:t xml:space="preserve"> </w:t>
      </w:r>
      <w:r>
        <w:rPr>
          <w:vertAlign w:val="superscript"/>
        </w:rPr>
        <w:t xml:space="preserve">62</w:t>
      </w:r>
      <w:r>
        <w:t xml:space="preserve">, with dual-domain security + governance engineers commanding 20–38% salary premiums</w:t>
      </w:r>
      <w:r>
        <w:t xml:space="preserve"> </w:t>
      </w:r>
      <w:r>
        <w:rPr>
          <w:vertAlign w:val="superscript"/>
        </w:rPr>
        <w:t xml:space="preserve">99</w:t>
      </w:r>
      <w:r>
        <w:t xml:space="preserve">. SOV3’s</w:t>
      </w:r>
      <w:r>
        <w:t xml:space="preserve"> </w:t>
      </w:r>
      <w:r>
        <w:t xml:space="preserve">“</w:t>
      </w:r>
      <w:r>
        <w:t xml:space="preserve">Join the Dragon</w:t>
      </w:r>
      <w:r>
        <w:t xml:space="preserve">”</w:t>
      </w:r>
      <w:r>
        <w:t xml:space="preserve"> </w:t>
      </w:r>
      <w:r>
        <w:t xml:space="preserve">campaign must launch within 30 days targeting OneTrust (200–400 available engineers, 2.3-year average tenure) and counter-recruiting WitnessAI’s burned-out hypergrowth talent.</w:t>
      </w:r>
    </w:p>
    <w:p>
      <w:pPr>
        <w:numPr>
          <w:ilvl w:val="0"/>
          <w:numId w:val="1011"/>
        </w:numPr>
      </w:pPr>
      <w:r>
        <w:rPr>
          <w:bCs/>
          <w:b/>
        </w:rPr>
        <w:t xml:space="preserve">Buy before you’re outbid.</w:t>
      </w:r>
      <w:r>
        <w:t xml:space="preserve"> </w:t>
      </w:r>
      <w:r>
        <w:t xml:space="preserve">Four acquisition targets are priced from $2 million (Straion) to $25 million (Holistic AI) — all below the $300 million that Palo Alto Networks paid for Protect AI. Straion is the immediate Q2 2026 target: $2–3 million for a 12-engineer AI coding governance team.</w:t>
      </w:r>
    </w:p>
    <w:p>
      <w:pPr>
        <w:numPr>
          <w:ilvl w:val="0"/>
          <w:numId w:val="1011"/>
        </w:numPr>
      </w:pPr>
      <w:r>
        <w:rPr>
          <w:bCs/>
          <w:b/>
        </w:rPr>
        <w:t xml:space="preserve">The MCP ecosystem is a $10.4 billion governance vacuum.</w:t>
      </w:r>
      <w:r>
        <w:t xml:space="preserve"> </w:t>
      </w:r>
      <w:r>
        <w:t xml:space="preserve">97 million monthly downloads, 13,000+ servers, zero security auditing, zero industry-specific packs</w:t>
      </w:r>
      <w:r>
        <w:t xml:space="preserve"> </w:t>
      </w:r>
      <w:r>
        <w:rPr>
          <w:vertAlign w:val="superscript"/>
        </w:rPr>
        <w:t xml:space="preserve">55</w:t>
      </w:r>
      <w:r>
        <w:t xml:space="preserve"> </w:t>
      </w:r>
      <w:r>
        <w:rPr>
          <w:vertAlign w:val="superscript"/>
        </w:rPr>
        <w:t xml:space="preserve">101</w:t>
      </w:r>
      <w:r>
        <w:t xml:space="preserve">. A 540% surge in prompt injection attacks and the launch of OWASP MCP Top 10</w:t>
      </w:r>
      <w:r>
        <w:t xml:space="preserve"> </w:t>
      </w:r>
      <w:r>
        <w:rPr>
          <w:vertAlign w:val="superscript"/>
        </w:rPr>
        <w:t xml:space="preserve">96</w:t>
      </w:r>
      <w:r>
        <w:t xml:space="preserve"> </w:t>
      </w:r>
      <w:r>
        <w:rPr>
          <w:vertAlign w:val="superscript"/>
        </w:rPr>
        <w:t xml:space="preserve">40</w:t>
      </w:r>
      <w:r>
        <w:t xml:space="preserve">prove the market is screaming for a security authority. SOV3 becomes the</w:t>
      </w:r>
      <w:r>
        <w:t xml:space="preserve"> </w:t>
      </w:r>
      <w:r>
        <w:t xml:space="preserve">“</w:t>
      </w:r>
      <w:r>
        <w:t xml:space="preserve">TLS/SSL Certificate Authority</w:t>
      </w:r>
      <w:r>
        <w:t xml:space="preserve">”</w:t>
      </w:r>
      <w:r>
        <w:t xml:space="preserve"> </w:t>
      </w:r>
      <w:r>
        <w:t xml:space="preserve">of AI agent infrastructure.</w:t>
      </w:r>
    </w:p>
    <w:p>
      <w:pPr>
        <w:numPr>
          <w:ilvl w:val="0"/>
          <w:numId w:val="1011"/>
        </w:numPr>
      </w:pPr>
      <w:r>
        <w:rPr>
          <w:bCs/>
          <w:b/>
        </w:rPr>
        <w:t xml:space="preserve">Speed beats funding.</w:t>
      </w:r>
      <w:r>
        <w:t xml:space="preserve"> </w:t>
      </w:r>
      <w:r>
        <w:t xml:space="preserve">Sycamore Labs has $65 million but is pre-launch and horizontal</w:t>
      </w:r>
      <w:r>
        <w:t xml:space="preserve"> </w:t>
      </w:r>
      <w:r>
        <w:rPr>
          <w:vertAlign w:val="superscript"/>
        </w:rPr>
        <w:t xml:space="preserve">57</w:t>
      </w:r>
      <w:r>
        <w:t xml:space="preserve">. Microsoft has distribution but no vertical focus. AWS has infrastructure but no governance. SOV3’s 2–3 month time-to-market for Industry MCP Packs beats every well-funded competitor’s timeline.</w:t>
      </w:r>
    </w:p>
    <w:p>
      <w:pPr>
        <w:numPr>
          <w:ilvl w:val="0"/>
          <w:numId w:val="1011"/>
        </w:numPr>
      </w:pPr>
      <w:r>
        <w:rPr>
          <w:bCs/>
          <w:b/>
        </w:rPr>
        <w:t xml:space="preserve">The EU AI Act deadline (August 2, 2026) is a recruiting and revenue forcing function.</w:t>
      </w:r>
      <w:r>
        <w:t xml:space="preserve"> </w:t>
      </w:r>
      <w:r>
        <w:t xml:space="preserve">Companies are hiring compliance talent they cannot find. SOV3 should run an EU AI Act compliance bootcamp — creating its own talent pipeline while generating consulting revenue and embedding its governance platform into client workflows.</w:t>
      </w:r>
    </w:p>
    <w:p>
      <w:r>
        <w:pict>
          <v:rect style="width:0;height:1.5pt" o:hralign="center" o:hrstd="t" o:hr="t"/>
        </w:pict>
      </w:r>
    </w:p>
    <w:bookmarkEnd w:id="71"/>
    <w:bookmarkEnd w:id="72"/>
    <w:bookmarkStart w:id="103" w:name="X500bc04e66af70327a7c8b91cac3d0816274bf9"/>
    <w:p>
      <w:pPr>
        <w:pStyle w:val="Heading2"/>
      </w:pPr>
      <w:r>
        <w:t xml:space="preserve">8. Final Strike Playbook: Actions for Nick Templeman</w:t>
      </w:r>
    </w:p>
    <w:p>
      <w:pPr>
        <w:pStyle w:val="BlockText"/>
      </w:pPr>
      <w:r>
        <w:rPr>
          <w:iCs/>
          <w:i/>
        </w:rPr>
        <w:t xml:space="preserve">“</w:t>
      </w:r>
      <w:r>
        <w:rPr>
          <w:iCs/>
          <w:i/>
        </w:rPr>
        <w:t xml:space="preserve">Plans are worthless, but planning is everything.</w:t>
      </w:r>
      <w:r>
        <w:rPr>
          <w:iCs/>
          <w:i/>
        </w:rPr>
        <w:t xml:space="preserve">”</w:t>
      </w:r>
      <w:r>
        <w:t xml:space="preserve"> </w:t>
      </w:r>
      <w:r>
        <w:t xml:space="preserve">— Dwight D. Eisenhower</w:t>
      </w:r>
    </w:p>
    <w:p>
      <w:pPr>
        <w:pStyle w:val="FirstParagraph"/>
      </w:pPr>
      <w:r>
        <w:t xml:space="preserve">This chapter is not analysis. This is not recommendation. This is the operational order of battle. Every action below has been derived from the 10 strategic insights extracted across twelve dimensions of competitive intelligence (see Chapter 6). Nick Templeman executes directly from this playbook. Dates are real. Targets are named. Channels are specified. The only variable left is execution speed.</w:t>
      </w:r>
    </w:p>
    <w:p>
      <w:r>
        <w:pict>
          <v:rect style="width:0;height:1.5pt" o:hralign="center" o:hrstd="t" o:hr="t"/>
        </w:pict>
      </w:r>
    </w:p>
    <w:bookmarkStart w:id="79" w:name="week-1-actions-june-814"/>
    <w:p>
      <w:pPr>
        <w:pStyle w:val="Heading3"/>
      </w:pPr>
      <w:r>
        <w:t xml:space="preserve">8.1 Week 1 Actions (June 8–14)</w:t>
      </w:r>
    </w:p>
    <w:p>
      <w:pPr>
        <w:pStyle w:val="FirstParagraph"/>
      </w:pPr>
      <w:r>
        <w:rPr>
          <w:bCs/>
          <w:b/>
        </w:rPr>
        <w:t xml:space="preserve">Theme:</w:t>
      </w:r>
      <w:r>
        <w:t xml:space="preserve"> </w:t>
      </w:r>
      <w:r>
        <w:rPr>
          <w:iCs/>
          <w:i/>
        </w:rPr>
        <w:t xml:space="preserve">Seeding the Narrative</w:t>
      </w:r>
    </w:p>
    <w:p>
      <w:pPr>
        <w:pStyle w:val="BodyText"/>
      </w:pPr>
      <w:r>
        <w:t xml:space="preserve">The objective of Week 1 is not to sell. It is to create the informational environment in which SOV3’s July 4 launch will detonate. Every action this week plants a cognitive seed that will sprout in the final 72 hours.</w:t>
      </w:r>
    </w:p>
    <w:bookmarkStart w:id="73" w:name="monday-june-8-day-1-the-whisper-campaign"/>
    <w:p>
      <w:pPr>
        <w:pStyle w:val="Heading4"/>
      </w:pPr>
      <w:r>
        <w:t xml:space="preserve">Monday, June 8 — Day 1: The Whisper Campaign</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Post 1:</w:t>
            </w:r>
            <w:r>
              <w:t xml:space="preserve"> </w:t>
            </w:r>
            <w:r>
              <w:t xml:space="preserve">“</w:t>
            </w:r>
            <w:r>
              <w:t xml:space="preserve">What if AI governance consolidation creates systemic risk?</w:t>
            </w:r>
            <w:r>
              <w:t xml:space="preserve">”</w:t>
            </w:r>
          </w:p>
        </w:tc>
        <w:tc>
          <w:tcPr/>
          <w:p>
            <w:pPr>
              <w:pStyle w:val="Compact"/>
              <w:jc w:val="left"/>
            </w:pPr>
            <w:r>
              <w:t xml:space="preserve">Reddit r/MachineLearning</w:t>
            </w:r>
          </w:p>
        </w:tc>
        <w:tc>
          <w:tcPr/>
          <w:p>
            <w:pPr>
              <w:pStyle w:val="Compact"/>
              <w:jc w:val="left"/>
            </w:pPr>
            <w:r>
              <w:t xml:space="preserve">2.1M members</w:t>
            </w:r>
          </w:p>
        </w:tc>
        <w:tc>
          <w:tcPr/>
          <w:p>
            <w:pPr>
              <w:pStyle w:val="Compact"/>
              <w:jc w:val="left"/>
            </w:pPr>
            <w:r>
              <w:t xml:space="preserve">NT</w:t>
            </w:r>
          </w:p>
        </w:tc>
      </w:tr>
      <w:tr>
        <w:tc>
          <w:tcPr/>
          <w:p>
            <w:pPr>
              <w:pStyle w:val="Compact"/>
              <w:jc w:val="left"/>
            </w:pPr>
            <w:r>
              <w:t xml:space="preserve">Post 2:</w:t>
            </w:r>
            <w:r>
              <w:t xml:space="preserve"> </w:t>
            </w:r>
            <w:r>
              <w:t xml:space="preserve">“</w:t>
            </w:r>
            <w:r>
              <w:t xml:space="preserve">The problem with putting all your AI compliance eggs in one vendor basket</w:t>
            </w:r>
            <w:r>
              <w:t xml:space="preserve">”</w:t>
            </w:r>
          </w:p>
        </w:tc>
        <w:tc>
          <w:tcPr/>
          <w:p>
            <w:pPr>
              <w:pStyle w:val="Compact"/>
              <w:jc w:val="left"/>
            </w:pPr>
            <w:r>
              <w:t xml:space="preserve">Reddit r/cybersecurity</w:t>
            </w:r>
          </w:p>
        </w:tc>
        <w:tc>
          <w:tcPr/>
          <w:p>
            <w:pPr>
              <w:pStyle w:val="Compact"/>
              <w:jc w:val="left"/>
            </w:pPr>
            <w:r>
              <w:t xml:space="preserve">1.4M members</w:t>
            </w:r>
          </w:p>
        </w:tc>
        <w:tc>
          <w:tcPr/>
          <w:p>
            <w:pPr>
              <w:pStyle w:val="Compact"/>
              <w:jc w:val="left"/>
            </w:pPr>
            <w:r>
              <w:t xml:space="preserve">NT</w:t>
            </w:r>
          </w:p>
        </w:tc>
      </w:tr>
      <w:tr>
        <w:tc>
          <w:tcPr/>
          <w:p>
            <w:pPr>
              <w:pStyle w:val="Compact"/>
              <w:jc w:val="left"/>
            </w:pPr>
            <w:r>
              <w:t xml:space="preserve">Comment campaign on 5 active HN threads about AI regulation</w:t>
            </w:r>
          </w:p>
        </w:tc>
        <w:tc>
          <w:tcPr/>
          <w:p>
            <w:pPr>
              <w:pStyle w:val="Compact"/>
              <w:jc w:val="left"/>
            </w:pPr>
            <w:r>
              <w:t xml:space="preserve">Hacker News</w:t>
            </w:r>
          </w:p>
        </w:tc>
        <w:tc>
          <w:tcPr/>
          <w:p>
            <w:pPr>
              <w:pStyle w:val="Compact"/>
              <w:jc w:val="left"/>
            </w:pPr>
            <w:r>
              <w:t xml:space="preserve">Top-ranking threads</w:t>
            </w:r>
          </w:p>
        </w:tc>
        <w:tc>
          <w:tcPr/>
          <w:p>
            <w:pPr>
              <w:pStyle w:val="Compact"/>
              <w:jc w:val="left"/>
            </w:pPr>
            <w:r>
              <w:t xml:space="preserve">NT</w:t>
            </w:r>
          </w:p>
        </w:tc>
      </w:tr>
      <w:tr>
        <w:tc>
          <w:tcPr/>
          <w:p>
            <w:pPr>
              <w:pStyle w:val="Compact"/>
              <w:jc w:val="left"/>
            </w:pPr>
            <w:r>
              <w:t xml:space="preserve">DM 10 AI governance influencers on X/Twitter</w:t>
            </w:r>
          </w:p>
        </w:tc>
        <w:tc>
          <w:tcPr/>
          <w:p>
            <w:pPr>
              <w:pStyle w:val="Compact"/>
              <w:jc w:val="left"/>
            </w:pPr>
            <w:r>
              <w:t xml:space="preserve">X DMs</w:t>
            </w:r>
          </w:p>
        </w:tc>
        <w:tc>
          <w:tcPr/>
          <w:p>
            <w:pPr>
              <w:pStyle w:val="Compact"/>
              <w:jc w:val="left"/>
            </w:pPr>
            <w:r>
              <w:t xml:space="preserve">Targets listed below</w:t>
            </w:r>
          </w:p>
        </w:tc>
        <w:tc>
          <w:tcPr/>
          <w:p>
            <w:pPr>
              <w:pStyle w:val="Compact"/>
              <w:jc w:val="left"/>
            </w:pPr>
            <w:r>
              <w:t xml:space="preserve">NT</w:t>
            </w:r>
          </w:p>
        </w:tc>
      </w:tr>
    </w:tbl>
    <w:p>
      <w:pPr>
        <w:pStyle w:val="BodyText"/>
      </w:pPr>
      <w:r>
        <w:rPr>
          <w:bCs/>
          <w:b/>
        </w:rPr>
        <w:t xml:space="preserve">Specific Posts to Write:</w:t>
      </w:r>
    </w:p>
    <w:p>
      <w:pPr>
        <w:pStyle w:val="BodyText"/>
      </w:pPr>
      <w:r>
        <w:rPr>
          <w:bCs/>
          <w:b/>
        </w:rPr>
        <w:t xml:space="preserve">Reddit Post 1 (r/MachineLearning):</w:t>
      </w:r>
      <w:r>
        <w:t xml:space="preserve"> </w:t>
      </w:r>
      <w:r>
        <w:t xml:space="preserve">Title:</w:t>
      </w:r>
      <w:r>
        <w:t xml:space="preserve"> </w:t>
      </w:r>
      <w:r>
        <w:rPr>
          <w:iCs/>
          <w:i/>
        </w:rPr>
        <w:t xml:space="preserve">“</w:t>
      </w:r>
      <w:r>
        <w:rPr>
          <w:iCs/>
          <w:i/>
        </w:rPr>
        <w:t xml:space="preserve">Consolidation in AI Governance: A Systemic Risk We’re Ignoring</w:t>
      </w:r>
      <w:r>
        <w:rPr>
          <w:iCs/>
          <w:i/>
        </w:rPr>
        <w:t xml:space="preserve">”</w:t>
      </w:r>
      <w:r>
        <w:t xml:space="preserve"> </w:t>
      </w:r>
      <w:r>
        <w:t xml:space="preserve">— Body frames the Protect AI → Palo Alto acquisition ($300M+) as creating</w:t>
      </w:r>
      <w:r>
        <w:t xml:space="preserve"> </w:t>
      </w:r>
      <w:r>
        <w:t xml:space="preserve">“</w:t>
      </w:r>
      <w:r>
        <w:t xml:space="preserve">governance monocultures</w:t>
      </w:r>
      <w:r>
        <w:t xml:space="preserve">”</w:t>
      </w:r>
      <w:r>
        <w:t xml:space="preserve"> </w:t>
      </w:r>
      <w:r>
        <w:t xml:space="preserve">where one vendor’s failure becomes everyone’s compliance failure. Reference the 67% shadow AI usage statistic</w:t>
      </w:r>
      <w:r>
        <w:rPr>
          <w:vertAlign w:val="superscript"/>
        </w:rPr>
        <w:t xml:space="preserve">18</w:t>
      </w:r>
      <w:r>
        <w:t xml:space="preserve">to show the problem is already bigger than any single vendor. End with:</w:t>
      </w:r>
      <w:r>
        <w:t xml:space="preserve"> </w:t>
      </w:r>
      <w:r>
        <w:rPr>
          <w:iCs/>
          <w:i/>
        </w:rPr>
        <w:t xml:space="preserve">“</w:t>
      </w:r>
      <w:r>
        <w:rPr>
          <w:iCs/>
          <w:i/>
        </w:rPr>
        <w:t xml:space="preserve">Full disclosure: I’m building something in this space. But the systemic risk concern stands regardless.</w:t>
      </w:r>
      <w:r>
        <w:rPr>
          <w:iCs/>
          <w:i/>
        </w:rPr>
        <w:t xml:space="preserve">”</w:t>
      </w:r>
      <w:r>
        <w:t xml:space="preserve"> </w:t>
      </w:r>
      <w:r>
        <w:t xml:space="preserve">— This establishes credibility through transparency while planting the vendor-concentration fear.</w:t>
      </w:r>
    </w:p>
    <w:p>
      <w:pPr>
        <w:pStyle w:val="BodyText"/>
      </w:pPr>
      <w:r>
        <w:rPr>
          <w:bCs/>
          <w:b/>
        </w:rPr>
        <w:t xml:space="preserve">Reddit Post 2 (r/cybersecurity):</w:t>
      </w:r>
      <w:r>
        <w:t xml:space="preserve"> </w:t>
      </w:r>
      <w:r>
        <w:t xml:space="preserve">Title:</w:t>
      </w:r>
      <w:r>
        <w:t xml:space="preserve"> </w:t>
      </w:r>
      <w:r>
        <w:rPr>
          <w:iCs/>
          <w:i/>
        </w:rPr>
        <w:t xml:space="preserve">“</w:t>
      </w:r>
      <w:r>
        <w:rPr>
          <w:iCs/>
          <w:i/>
        </w:rPr>
        <w:t xml:space="preserve">Why I Won’t Consolidate AI Governance Into My Existing GRC Stack</w:t>
      </w:r>
      <w:r>
        <w:rPr>
          <w:iCs/>
          <w:i/>
        </w:rPr>
        <w:t xml:space="preserve">”</w:t>
      </w:r>
      <w:r>
        <w:t xml:space="preserve"> </w:t>
      </w:r>
      <w:r>
        <w:t xml:space="preserve">— Body attacks the OneTrust/Holistic AI acquisition narrative directly. Cite the 275–468% renewal price increases and 1.5/5 Trustpilot rating</w:t>
      </w:r>
      <w:r>
        <w:rPr>
          <w:vertAlign w:val="superscript"/>
        </w:rPr>
        <w:t xml:space="preserve">14</w:t>
      </w:r>
      <w:r>
        <w:t xml:space="preserve">as evidence that GRC consolidation benefits vendors, not customers. Reference the EU AI Act Article 14 requirement for</w:t>
      </w:r>
      <w:r>
        <w:t xml:space="preserve"> </w:t>
      </w:r>
      <w:r>
        <w:t xml:space="preserve">“</w:t>
      </w:r>
      <w:r>
        <w:t xml:space="preserve">qualified personnel</w:t>
      </w:r>
      <w:r>
        <w:t xml:space="preserve">”</w:t>
      </w:r>
      <w:r>
        <w:rPr>
          <w:vertAlign w:val="superscript"/>
        </w:rPr>
        <w:t xml:space="preserve">3</w:t>
      </w:r>
      <w:r>
        <w:t xml:space="preserve">— which no GRC platform provides.</w:t>
      </w:r>
    </w:p>
    <w:p>
      <w:pPr>
        <w:pStyle w:val="BodyText"/>
      </w:pPr>
      <w:r>
        <w:rPr>
          <w:bCs/>
          <w:b/>
        </w:rPr>
        <w:t xml:space="preserve">Hacker News Comment Strategy:</w:t>
      </w:r>
      <w:r>
        <w:t xml:space="preserve"> </w:t>
      </w:r>
      <w:r>
        <w:t xml:space="preserve">Find active threads on: (a) EU AI Act enforcement, (b) Palo Alto/Protect AI acquisition, (c) CrowdStrike security issues, (d) MCP ecosystem growth, (e) AI governance tooling. Post thoughtful 2-3 sentence comments that mention SOV3-adjacent concepts without naming the product. Goal: 50+ upvotes total across comments. Build profile recognition.</w:t>
      </w:r>
    </w:p>
    <w:p>
      <w:pPr>
        <w:pStyle w:val="BodyText"/>
      </w:pPr>
      <w:r>
        <w:rPr>
          <w:bCs/>
          <w:b/>
        </w:rPr>
        <w:t xml:space="preserve">X/Twitter DM Targets:</w:t>
      </w:r>
      <w:r>
        <w:t xml:space="preserve"> </w:t>
      </w:r>
      <w:r>
        <w:t xml:space="preserve">10 micro-influencers in AI governance (5K–50K followers). Message:</w:t>
      </w:r>
      <w:r>
        <w:t xml:space="preserve"> </w:t>
      </w:r>
      <w:r>
        <w:rPr>
          <w:iCs/>
          <w:i/>
        </w:rPr>
        <w:t xml:space="preserve">“</w:t>
      </w:r>
      <w:r>
        <w:rPr>
          <w:iCs/>
          <w:i/>
        </w:rPr>
        <w:t xml:space="preserve">Hey [name], I’ve been following your takes on [specific topic]. Quick question: do you think the current AI governance vendor landscape is healthier or less healthy than it was 12 months ago? I’m seeing some concerning patterns.</w:t>
      </w:r>
      <w:r>
        <w:rPr>
          <w:iCs/>
          <w:i/>
        </w:rPr>
        <w:t xml:space="preserve">”</w:t>
      </w:r>
      <w:r>
        <w:t xml:space="preserve"> </w:t>
      </w:r>
      <w:r>
        <w:t xml:space="preserve">— Do NOT pitch. Do NOT link. Build relationships for Week 3 amplification.</w:t>
      </w:r>
    </w:p>
    <w:bookmarkEnd w:id="73"/>
    <w:bookmarkStart w:id="74" w:name="X28064c7986aa3e171d2e57fd622b341e1bfe858"/>
    <w:p>
      <w:pPr>
        <w:pStyle w:val="Heading4"/>
      </w:pPr>
      <w:r>
        <w:t xml:space="preserve">Tuesday, June 9 — Day 2: The Security Audit Checklist</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AI Governance Security Audit Checklist</w:t>
            </w:r>
            <w:r>
              <w:t xml:space="preserve">”</w:t>
            </w:r>
          </w:p>
        </w:tc>
        <w:tc>
          <w:tcPr/>
          <w:p>
            <w:pPr>
              <w:pStyle w:val="Compact"/>
              <w:jc w:val="left"/>
            </w:pPr>
            <w:r>
              <w:t xml:space="preserve">sov3.ai/blog</w:t>
            </w:r>
          </w:p>
        </w:tc>
        <w:tc>
          <w:tcPr/>
          <w:p>
            <w:pPr>
              <w:pStyle w:val="Compact"/>
              <w:jc w:val="left"/>
            </w:pPr>
            <w:r>
              <w:t xml:space="preserve">SEO + social</w:t>
            </w:r>
          </w:p>
        </w:tc>
        <w:tc>
          <w:tcPr/>
          <w:p>
            <w:pPr>
              <w:pStyle w:val="Compact"/>
              <w:jc w:val="left"/>
            </w:pPr>
            <w:r>
              <w:t xml:space="preserve">NT</w:t>
            </w:r>
          </w:p>
        </w:tc>
      </w:tr>
      <w:tr>
        <w:tc>
          <w:tcPr/>
          <w:p>
            <w:pPr>
              <w:pStyle w:val="Compact"/>
              <w:jc w:val="left"/>
            </w:pPr>
            <w:r>
              <w:t xml:space="preserve">Share to LinkedIn with personal commentary</w:t>
            </w:r>
          </w:p>
        </w:tc>
        <w:tc>
          <w:tcPr/>
          <w:p>
            <w:pPr>
              <w:pStyle w:val="Compact"/>
              <w:jc w:val="left"/>
            </w:pPr>
            <w:r>
              <w:t xml:space="preserve">LinkedIn</w:t>
            </w:r>
          </w:p>
        </w:tc>
        <w:tc>
          <w:tcPr/>
          <w:p>
            <w:pPr>
              <w:pStyle w:val="Compact"/>
              <w:jc w:val="left"/>
            </w:pPr>
            <w:r>
              <w:t xml:space="preserve">5,000+ connections</w:t>
            </w:r>
          </w:p>
        </w:tc>
        <w:tc>
          <w:tcPr/>
          <w:p>
            <w:pPr>
              <w:pStyle w:val="Compact"/>
              <w:jc w:val="left"/>
            </w:pPr>
            <w:r>
              <w:t xml:space="preserve">NT</w:t>
            </w:r>
          </w:p>
        </w:tc>
      </w:tr>
      <w:tr>
        <w:tc>
          <w:tcPr/>
          <w:p>
            <w:pPr>
              <w:pStyle w:val="Compact"/>
              <w:jc w:val="left"/>
            </w:pPr>
            <w:r>
              <w:t xml:space="preserve">Submit to Hacker News</w:t>
            </w:r>
          </w:p>
        </w:tc>
        <w:tc>
          <w:tcPr/>
          <w:p>
            <w:pPr>
              <w:pStyle w:val="Compact"/>
              <w:jc w:val="left"/>
            </w:pPr>
            <w:r>
              <w:t xml:space="preserve">HN</w:t>
            </w:r>
            <w:r>
              <w:t xml:space="preserve"> </w:t>
            </w:r>
            <w:r>
              <w:t xml:space="preserve">“</w:t>
            </w:r>
            <w:r>
              <w:t xml:space="preserve">Show HN</w:t>
            </w:r>
            <w:r>
              <w:t xml:space="preserve">”</w:t>
            </w:r>
          </w:p>
        </w:tc>
        <w:tc>
          <w:tcPr/>
          <w:p>
            <w:pPr>
              <w:pStyle w:val="Compact"/>
              <w:jc w:val="left"/>
            </w:pPr>
            <w:r>
              <w:t xml:space="preserve">Front page target</w:t>
            </w:r>
          </w:p>
        </w:tc>
        <w:tc>
          <w:tcPr/>
          <w:p>
            <w:pPr>
              <w:pStyle w:val="Compact"/>
              <w:jc w:val="left"/>
            </w:pPr>
            <w:r>
              <w:t xml:space="preserve">NT</w:t>
            </w:r>
          </w:p>
        </w:tc>
      </w:tr>
    </w:tbl>
    <w:p>
      <w:pPr>
        <w:pStyle w:val="BodyText"/>
      </w:pPr>
      <w:r>
        <w:rPr>
          <w:bCs/>
          <w:b/>
        </w:rPr>
        <w:t xml:space="preserve">The Checklist Content:</w:t>
      </w:r>
      <w:r>
        <w:t xml:space="preserve"> </w:t>
      </w:r>
      <w:r>
        <w:t xml:space="preserve">A 47-point security audit checklist for evaluating AI governance vendors. Include categories: Authentication, Encryption, Audit Logging, Compliance Mapping, Incident Response, Vendor Lock-in Assessment, Pricing Transparency Score. Make points 23 and 24:</w:t>
      </w:r>
      <w:r>
        <w:t xml:space="preserve"> </w:t>
      </w:r>
      <w:r>
        <w:rPr>
          <w:iCs/>
          <w:i/>
        </w:rPr>
        <w:t xml:space="preserve">“</w:t>
      </w:r>
      <w:r>
        <w:rPr>
          <w:iCs/>
          <w:i/>
        </w:rPr>
        <w:t xml:space="preserve">Does the vendor publish their pricing publicly?</w:t>
      </w:r>
      <w:r>
        <w:rPr>
          <w:iCs/>
          <w:i/>
        </w:rPr>
        <w:t xml:space="preserve">”</w:t>
      </w:r>
      <w:r>
        <w:t xml:space="preserve"> </w:t>
      </w:r>
      <w:r>
        <w:t xml:space="preserve">and</w:t>
      </w:r>
      <w:r>
        <w:t xml:space="preserve"> </w:t>
      </w:r>
      <w:r>
        <w:rPr>
          <w:iCs/>
          <w:i/>
        </w:rPr>
        <w:t xml:space="preserve">“</w:t>
      </w:r>
      <w:r>
        <w:rPr>
          <w:iCs/>
          <w:i/>
        </w:rPr>
        <w:t xml:space="preserve">Does the vendor’s CEO sell $30M+ in stock while claiming the company is stronger than ever?</w:t>
      </w:r>
      <w:r>
        <w:rPr>
          <w:iCs/>
          <w:i/>
        </w:rPr>
        <w:t xml:space="preserve">”</w:t>
      </w:r>
      <w:r>
        <w:t xml:space="preserve"> </w:t>
      </w:r>
      <w:r>
        <w:t xml:space="preserve">— This is the CrowdStrike strike, embedded in a useful tool.</w:t>
      </w:r>
    </w:p>
    <w:bookmarkEnd w:id="74"/>
    <w:bookmarkStart w:id="75" w:name="X615f5fb761582c7fd79a7c66000674bed8030f2"/>
    <w:p>
      <w:pPr>
        <w:pStyle w:val="Heading4"/>
      </w:pPr>
      <w:r>
        <w:t xml:space="preserve">Wednesday, June 10 — Day 3: The Engineer Outreach</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LinkedIn connection requests to 10 OneTrust engineers</w:t>
            </w:r>
          </w:p>
        </w:tc>
        <w:tc>
          <w:tcPr/>
          <w:p>
            <w:pPr>
              <w:pStyle w:val="Compact"/>
              <w:jc w:val="left"/>
            </w:pPr>
            <w:r>
              <w:t xml:space="preserve">LinkedIn</w:t>
            </w:r>
          </w:p>
        </w:tc>
        <w:tc>
          <w:tcPr/>
          <w:p>
            <w:pPr>
              <w:pStyle w:val="Compact"/>
              <w:jc w:val="left"/>
            </w:pPr>
            <w:r>
              <w:t xml:space="preserve">Specific names below</w:t>
            </w:r>
          </w:p>
        </w:tc>
        <w:tc>
          <w:tcPr/>
          <w:p>
            <w:pPr>
              <w:pStyle w:val="Compact"/>
              <w:jc w:val="left"/>
            </w:pPr>
            <w:r>
              <w:t xml:space="preserve">NT</w:t>
            </w:r>
          </w:p>
        </w:tc>
      </w:tr>
      <w:tr>
        <w:tc>
          <w:tcPr/>
          <w:p>
            <w:pPr>
              <w:pStyle w:val="Compact"/>
              <w:jc w:val="left"/>
            </w:pPr>
            <w:r>
              <w:t xml:space="preserve">Personalized message referencing their work</w:t>
            </w:r>
          </w:p>
        </w:tc>
        <w:tc>
          <w:tcPr/>
          <w:p>
            <w:pPr>
              <w:pStyle w:val="Compact"/>
              <w:jc w:val="left"/>
            </w:pPr>
            <w:r>
              <w:t xml:space="preserve">LinkedIn InMail</w:t>
            </w:r>
          </w:p>
        </w:tc>
        <w:tc>
          <w:tcPr/>
          <w:p>
            <w:pPr>
              <w:pStyle w:val="Compact"/>
              <w:jc w:val="left"/>
            </w:pPr>
            <w:r>
              <w:t xml:space="preserve">Open rate target: 40%</w:t>
            </w:r>
          </w:p>
        </w:tc>
        <w:tc>
          <w:tcPr/>
          <w:p>
            <w:pPr>
              <w:pStyle w:val="Compact"/>
              <w:jc w:val="left"/>
            </w:pPr>
            <w:r>
              <w:t xml:space="preserve">NT</w:t>
            </w:r>
          </w:p>
        </w:tc>
      </w:tr>
      <w:tr>
        <w:tc>
          <w:tcPr/>
          <w:p>
            <w:pPr>
              <w:pStyle w:val="Compact"/>
              <w:jc w:val="left"/>
            </w:pPr>
            <w:r>
              <w:t xml:space="preserve">Identify 5</w:t>
            </w:r>
            <w:r>
              <w:t xml:space="preserve"> </w:t>
            </w:r>
            <w:r>
              <w:t xml:space="preserve">“</w:t>
            </w:r>
            <w:r>
              <w:t xml:space="preserve">flight risk</w:t>
            </w:r>
            <w:r>
              <w:t xml:space="preserve">”</w:t>
            </w:r>
            <w:r>
              <w:t xml:space="preserve"> </w:t>
            </w:r>
            <w:r>
              <w:t xml:space="preserve">OneTrust employees</w:t>
            </w:r>
          </w:p>
        </w:tc>
        <w:tc>
          <w:tcPr/>
          <w:p>
            <w:pPr>
              <w:pStyle w:val="Compact"/>
              <w:jc w:val="left"/>
            </w:pPr>
            <w:r>
              <w:t xml:space="preserve">LinkedIn + Glassdoor</w:t>
            </w:r>
          </w:p>
        </w:tc>
        <w:tc>
          <w:tcPr/>
          <w:p>
            <w:pPr>
              <w:pStyle w:val="Compact"/>
              <w:jc w:val="left"/>
            </w:pPr>
            <w:r>
              <w:t xml:space="preserve">Talent intel</w:t>
            </w:r>
          </w:p>
        </w:tc>
        <w:tc>
          <w:tcPr/>
          <w:p>
            <w:pPr>
              <w:pStyle w:val="Compact"/>
              <w:jc w:val="left"/>
            </w:pPr>
            <w:r>
              <w:t xml:space="preserve">NT</w:t>
            </w:r>
          </w:p>
        </w:tc>
      </w:tr>
    </w:tbl>
    <w:p>
      <w:pPr>
        <w:pStyle w:val="BodyText"/>
      </w:pPr>
      <w:r>
        <w:rPr>
          <w:bCs/>
          <w:b/>
        </w:rPr>
        <w:t xml:space="preserve">Specific OneTrust Targets:</w:t>
      </w:r>
      <w:r>
        <w:t xml:space="preserve"> </w:t>
      </w:r>
      <w:r>
        <w:t xml:space="preserve">Use LinkedIn search:</w:t>
      </w:r>
      <w:r>
        <w:t xml:space="preserve"> </w:t>
      </w:r>
      <w:r>
        <w:rPr>
          <w:iCs/>
          <w:i/>
        </w:rPr>
        <w:t xml:space="preserve">“</w:t>
      </w:r>
      <w:r>
        <w:rPr>
          <w:iCs/>
          <w:i/>
        </w:rPr>
        <w:t xml:space="preserve">OneTrust</w:t>
      </w:r>
      <w:r>
        <w:rPr>
          <w:iCs/>
          <w:i/>
        </w:rPr>
        <w:t xml:space="preserve">”</w:t>
      </w:r>
      <w:r>
        <w:rPr>
          <w:iCs/>
          <w:i/>
        </w:rPr>
        <w:t xml:space="preserve"> </w:t>
      </w:r>
      <w:r>
        <w:rPr>
          <w:iCs/>
          <w:i/>
        </w:rPr>
        <w:t xml:space="preserve">AND (</w:t>
      </w:r>
      <w:r>
        <w:rPr>
          <w:iCs/>
          <w:i/>
        </w:rPr>
        <w:t xml:space="preserve">“</w:t>
      </w:r>
      <w:r>
        <w:rPr>
          <w:iCs/>
          <w:i/>
        </w:rPr>
        <w:t xml:space="preserve">software engineer</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ML engineer</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security engineer</w:t>
      </w:r>
      <w:r>
        <w:rPr>
          <w:iCs/>
          <w:i/>
        </w:rPr>
        <w:t xml:space="preserve">”</w:t>
      </w:r>
      <w:r>
        <w:rPr>
          <w:iCs/>
          <w:i/>
        </w:rPr>
        <w:t xml:space="preserve">) AND</w:t>
      </w:r>
      <w:r>
        <w:rPr>
          <w:iCs/>
          <w:i/>
        </w:rPr>
        <w:t xml:space="preserve"> </w:t>
      </w:r>
      <w:r>
        <w:rPr>
          <w:iCs/>
          <w:i/>
        </w:rPr>
        <w:t xml:space="preserve">“</w:t>
      </w:r>
      <w:r>
        <w:rPr>
          <w:iCs/>
          <w:i/>
        </w:rPr>
        <w:t xml:space="preserve">Holistic AI</w:t>
      </w:r>
      <w:r>
        <w:rPr>
          <w:iCs/>
          <w:i/>
        </w:rPr>
        <w:t xml:space="preserve">”</w:t>
      </w:r>
      <w:r>
        <w:t xml:space="preserve">. Filter for profiles that joined OneTrust through the Holistic AI acquisition — these employees are most disillusioned. Message:</w:t>
      </w:r>
      <w:r>
        <w:t xml:space="preserve"> </w:t>
      </w:r>
      <w:r>
        <w:rPr>
          <w:iCs/>
          <w:i/>
        </w:rPr>
        <w:t xml:space="preserve">“</w:t>
      </w:r>
      <w:r>
        <w:rPr>
          <w:iCs/>
          <w:i/>
        </w:rPr>
        <w:t xml:space="preserve">Hey [name], saw you came over from Holistic AI. Curious — how’s the integration going? I’ve been tracking the GRC/AI governance convergence and would love an insider perspective (off the record).</w:t>
      </w:r>
      <w:r>
        <w:rPr>
          <w:iCs/>
          <w:i/>
        </w:rPr>
        <w:t xml:space="preserve">”</w:t>
      </w:r>
    </w:p>
    <w:p>
      <w:pPr>
        <w:pStyle w:val="BodyText"/>
      </w:pPr>
      <w:r>
        <w:rPr>
          <w:bCs/>
          <w:b/>
        </w:rPr>
        <w:t xml:space="preserve">Rationale:</w:t>
      </w:r>
      <w:r>
        <w:t xml:space="preserve"> </w:t>
      </w:r>
      <w:r>
        <w:t xml:space="preserve">OneTrust’s 1,060+ layoffs and declining headcount (-5.8% YoY)</w:t>
      </w:r>
      <w:r>
        <w:rPr>
          <w:vertAlign w:val="superscript"/>
        </w:rPr>
        <w:t xml:space="preserve">14</w:t>
      </w:r>
      <w:r>
        <w:t xml:space="preserve">have created a talent pool of disaffected engineers who know the AI governance space but are questioning their employer’s future. These conversations are intelligence-gathering missions, not recruiting — yet.</w:t>
      </w:r>
    </w:p>
    <w:bookmarkEnd w:id="75"/>
    <w:bookmarkStart w:id="76" w:name="X7906362bc2820b1f2a325c876fca5aa071d79af"/>
    <w:p>
      <w:pPr>
        <w:pStyle w:val="Heading4"/>
      </w:pPr>
      <w:r>
        <w:t xml:space="preserve">Thursday, June 11 — Day 4: The Comparison Teaser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Post comparison teaser graphic</w:t>
            </w:r>
          </w:p>
        </w:tc>
        <w:tc>
          <w:tcPr/>
          <w:p>
            <w:pPr>
              <w:pStyle w:val="Compact"/>
              <w:jc w:val="left"/>
            </w:pPr>
            <w:r>
              <w:t xml:space="preserve">X/Twitter, LinkedIn</w:t>
            </w:r>
          </w:p>
        </w:tc>
        <w:tc>
          <w:tcPr/>
          <w:p>
            <w:pPr>
              <w:pStyle w:val="Compact"/>
              <w:jc w:val="left"/>
            </w:pPr>
            <w:r>
              <w:t xml:space="preserve">Viral target: 10K impressions</w:t>
            </w:r>
          </w:p>
        </w:tc>
        <w:tc>
          <w:tcPr/>
          <w:p>
            <w:pPr>
              <w:pStyle w:val="Compact"/>
              <w:jc w:val="left"/>
            </w:pPr>
            <w:r>
              <w:t xml:space="preserve">NT</w:t>
            </w:r>
          </w:p>
        </w:tc>
      </w:tr>
      <w:tr>
        <w:tc>
          <w:tcPr/>
          <w:p>
            <w:pPr>
              <w:pStyle w:val="Compact"/>
              <w:jc w:val="left"/>
            </w:pPr>
            <w:r>
              <w:t xml:space="preserve">Comment on 3 competitor posts</w:t>
            </w:r>
          </w:p>
        </w:tc>
        <w:tc>
          <w:tcPr/>
          <w:p>
            <w:pPr>
              <w:pStyle w:val="Compact"/>
              <w:jc w:val="left"/>
            </w:pPr>
            <w:r>
              <w:t xml:space="preserve">LinkedIn</w:t>
            </w:r>
          </w:p>
        </w:tc>
        <w:tc>
          <w:tcPr/>
          <w:p>
            <w:pPr>
              <w:pStyle w:val="Compact"/>
              <w:jc w:val="left"/>
            </w:pPr>
            <w:r>
              <w:t xml:space="preserve">OneTrust, Holistic AI, IBM</w:t>
            </w:r>
          </w:p>
        </w:tc>
        <w:tc>
          <w:tcPr/>
          <w:p>
            <w:pPr>
              <w:pStyle w:val="Compact"/>
              <w:jc w:val="left"/>
            </w:pPr>
            <w:r>
              <w:t xml:space="preserve">NT</w:t>
            </w:r>
          </w:p>
        </w:tc>
      </w:tr>
      <w:tr>
        <w:tc>
          <w:tcPr/>
          <w:p>
            <w:pPr>
              <w:pStyle w:val="Compact"/>
              <w:jc w:val="left"/>
            </w:pPr>
            <w:r>
              <w:t xml:space="preserve">Engage with competitor accounts directly</w:t>
            </w:r>
          </w:p>
        </w:tc>
        <w:tc>
          <w:tcPr/>
          <w:p>
            <w:pPr>
              <w:pStyle w:val="Compact"/>
              <w:jc w:val="left"/>
            </w:pPr>
            <w:r>
              <w:t xml:space="preserve">Social media</w:t>
            </w:r>
          </w:p>
        </w:tc>
        <w:tc>
          <w:tcPr/>
          <w:p>
            <w:pPr>
              <w:pStyle w:val="Compact"/>
              <w:jc w:val="left"/>
            </w:pPr>
            <w:r>
              <w:t xml:space="preserve">5 accounts</w:t>
            </w:r>
          </w:p>
        </w:tc>
        <w:tc>
          <w:tcPr/>
          <w:p>
            <w:pPr>
              <w:pStyle w:val="Compact"/>
              <w:jc w:val="left"/>
            </w:pPr>
            <w:r>
              <w:t xml:space="preserve">NT</w:t>
            </w:r>
          </w:p>
        </w:tc>
      </w:tr>
    </w:tbl>
    <w:p>
      <w:pPr>
        <w:pStyle w:val="BodyText"/>
      </w:pPr>
      <w:r>
        <w:rPr>
          <w:bCs/>
          <w:b/>
        </w:rPr>
        <w:t xml:space="preserve">The Teaser Graphic:</w:t>
      </w:r>
      <w:r>
        <w:t xml:space="preserve"> </w:t>
      </w:r>
      <w:r>
        <w:t xml:space="preserve">A simple table showing</w:t>
      </w:r>
      <w:r>
        <w:t xml:space="preserve"> </w:t>
      </w:r>
      <w:r>
        <w:t xml:space="preserve">“</w:t>
      </w:r>
      <w:r>
        <w:t xml:space="preserve">10 AI Governance Vendors — 3 Questions They Won’t Answer.</w:t>
      </w:r>
      <w:r>
        <w:t xml:space="preserve">”</w:t>
      </w:r>
      <w:r>
        <w:t xml:space="preserve"> </w:t>
      </w:r>
      <w:r>
        <w:t xml:space="preserve">Questions: (1) What does your platform cost? (2) How many certifications have you issued? (3) What’s your CEO’s insider trading history? — Every cell is</w:t>
      </w:r>
      <w:r>
        <w:t xml:space="preserve"> </w:t>
      </w:r>
      <w:r>
        <w:t xml:space="preserve">“</w:t>
      </w:r>
      <w:r>
        <w:t xml:space="preserve">Contact Sales,</w:t>
      </w:r>
      <w:r>
        <w:t xml:space="preserve">”</w:t>
      </w:r>
      <w:r>
        <w:t xml:space="preserve"> </w:t>
      </w:r>
      <w:r>
        <w:t xml:space="preserve">“</w:t>
      </w:r>
      <w:r>
        <w:t xml:space="preserve">N/A,</w:t>
      </w:r>
      <w:r>
        <w:t xml:space="preserve">”</w:t>
      </w:r>
      <w:r>
        <w:t xml:space="preserve"> </w:t>
      </w:r>
      <w:r>
        <w:t xml:space="preserve">or a dollar figure. No SOV3 branding. Just the questions. Let the audience fill in the blanks.</w:t>
      </w:r>
    </w:p>
    <w:p>
      <w:pPr>
        <w:pStyle w:val="BodyText"/>
      </w:pPr>
      <w:r>
        <w:rPr>
          <w:bCs/>
          <w:b/>
        </w:rPr>
        <w:t xml:space="preserve">Direct Engagement Strategy:</w:t>
      </w:r>
      <w:r>
        <w:t xml:space="preserve"> </w:t>
      </w:r>
      <w:r>
        <w:t xml:space="preserve">On OneTrust’s latest LinkedIn post about</w:t>
      </w:r>
      <w:r>
        <w:t xml:space="preserve"> </w:t>
      </w:r>
      <w:r>
        <w:t xml:space="preserve">“</w:t>
      </w:r>
      <w:r>
        <w:t xml:space="preserve">AI governance for the enterprise,</w:t>
      </w:r>
      <w:r>
        <w:t xml:space="preserve">”</w:t>
      </w:r>
      <w:r>
        <w:t xml:space="preserve"> </w:t>
      </w:r>
      <w:r>
        <w:t xml:space="preserve">comment:</w:t>
      </w:r>
      <w:r>
        <w:t xml:space="preserve"> </w:t>
      </w:r>
      <w:r>
        <w:rPr>
          <w:iCs/>
          <w:i/>
        </w:rPr>
        <w:t xml:space="preserve">“</w:t>
      </w:r>
      <w:r>
        <w:rPr>
          <w:iCs/>
          <w:i/>
        </w:rPr>
        <w:t xml:space="preserve">Interesting approach. Does this include certification for the</w:t>
      </w:r>
      <w:r>
        <w:rPr>
          <w:iCs/>
          <w:i/>
        </w:rPr>
        <w:t xml:space="preserve"> </w:t>
      </w:r>
      <w:r>
        <w:rPr>
          <w:iCs/>
          <w:i/>
        </w:rPr>
        <w:t xml:space="preserve">‘</w:t>
      </w:r>
      <w:r>
        <w:rPr>
          <w:iCs/>
          <w:i/>
        </w:rPr>
        <w:t xml:space="preserve">qualified personnel</w:t>
      </w:r>
      <w:r>
        <w:rPr>
          <w:iCs/>
          <w:i/>
        </w:rPr>
        <w:t xml:space="preserve">’</w:t>
      </w:r>
      <w:r>
        <w:rPr>
          <w:iCs/>
          <w:i/>
        </w:rPr>
        <w:t xml:space="preserve"> </w:t>
      </w:r>
      <w:r>
        <w:rPr>
          <w:iCs/>
          <w:i/>
        </w:rPr>
        <w:t xml:space="preserve">the EU AI Act requires? Asking for mid-market companies that can’t afford $100K+ implementation timelines.</w:t>
      </w:r>
      <w:r>
        <w:rPr>
          <w:iCs/>
          <w:i/>
        </w:rPr>
        <w:t xml:space="preserve">”</w:t>
      </w:r>
      <w:r>
        <w:t xml:space="preserve"> </w:t>
      </w:r>
      <w:r>
        <w:t xml:space="preserve">— This plants the certification desert insight</w:t>
      </w:r>
      <w:r>
        <w:rPr>
          <w:vertAlign w:val="superscript"/>
        </w:rPr>
        <w:t xml:space="preserve">3</w:t>
      </w:r>
      <w:r>
        <w:t xml:space="preserve">in their own comment section.</w:t>
      </w:r>
    </w:p>
    <w:bookmarkEnd w:id="76"/>
    <w:bookmarkStart w:id="77" w:name="friday-june-12-day-5-the-shadow-ai-bomb"/>
    <w:p>
      <w:pPr>
        <w:pStyle w:val="Heading4"/>
      </w:pPr>
      <w:r>
        <w:t xml:space="preserve">Friday, June 12 — Day 5: The Shadow AI Bomb</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The Shadow AI Crisis: 67% of Your Employees Are Using AI You Don’t Know About</w:t>
            </w:r>
            <w:r>
              <w:t xml:space="preserve">”</w:t>
            </w:r>
          </w:p>
        </w:tc>
        <w:tc>
          <w:tcPr/>
          <w:p>
            <w:pPr>
              <w:pStyle w:val="Compact"/>
              <w:jc w:val="left"/>
            </w:pPr>
            <w:r>
              <w:t xml:space="preserve">sov3.ai/blog + Medium</w:t>
            </w:r>
          </w:p>
        </w:tc>
        <w:tc>
          <w:tcPr/>
          <w:p>
            <w:pPr>
              <w:pStyle w:val="Compact"/>
              <w:jc w:val="left"/>
            </w:pPr>
            <w:r>
              <w:t xml:space="preserve">SEO:</w:t>
            </w:r>
            <w:r>
              <w:t xml:space="preserve"> </w:t>
            </w:r>
            <w:r>
              <w:t xml:space="preserve">“</w:t>
            </w:r>
            <w:r>
              <w:t xml:space="preserve">shadow AI detection</w:t>
            </w:r>
            <w:r>
              <w:t xml:space="preserve">”</w:t>
            </w:r>
          </w:p>
        </w:tc>
        <w:tc>
          <w:tcPr/>
          <w:p>
            <w:pPr>
              <w:pStyle w:val="Compact"/>
              <w:jc w:val="left"/>
            </w:pPr>
            <w:r>
              <w:t xml:space="preserve">NT</w:t>
            </w:r>
          </w:p>
        </w:tc>
      </w:tr>
      <w:tr>
        <w:tc>
          <w:tcPr/>
          <w:p>
            <w:pPr>
              <w:pStyle w:val="Compact"/>
              <w:jc w:val="left"/>
            </w:pPr>
            <w:r>
              <w:t xml:space="preserve">Post key statistic graphics to LinkedIn and X</w:t>
            </w:r>
          </w:p>
        </w:tc>
        <w:tc>
          <w:tcPr/>
          <w:p>
            <w:pPr>
              <w:pStyle w:val="Compact"/>
              <w:jc w:val="left"/>
            </w:pPr>
            <w:r>
              <w:t xml:space="preserve">Social</w:t>
            </w:r>
          </w:p>
        </w:tc>
        <w:tc>
          <w:tcPr/>
          <w:p>
            <w:pPr>
              <w:pStyle w:val="Compact"/>
              <w:jc w:val="left"/>
            </w:pPr>
            <w:r>
              <w:t xml:space="preserve">Viral target: 50K impressions</w:t>
            </w:r>
          </w:p>
        </w:tc>
        <w:tc>
          <w:tcPr/>
          <w:p>
            <w:pPr>
              <w:pStyle w:val="Compact"/>
              <w:jc w:val="left"/>
            </w:pPr>
            <w:r>
              <w:t xml:space="preserve">NT</w:t>
            </w:r>
          </w:p>
        </w:tc>
      </w:tr>
      <w:tr>
        <w:tc>
          <w:tcPr/>
          <w:p>
            <w:pPr>
              <w:pStyle w:val="Compact"/>
              <w:jc w:val="left"/>
            </w:pPr>
            <w:r>
              <w:t xml:space="preserve">Begin compiling</w:t>
            </w:r>
            <w:r>
              <w:t xml:space="preserve"> </w:t>
            </w:r>
            <w:r>
              <w:t xml:space="preserve">“</w:t>
            </w:r>
            <w:r>
              <w:t xml:space="preserve">AI Governance Funding Truth Report</w:t>
            </w:r>
            <w:r>
              <w:t xml:space="preserve">”</w:t>
            </w:r>
          </w:p>
        </w:tc>
        <w:tc>
          <w:tcPr/>
          <w:p>
            <w:pPr>
              <w:pStyle w:val="Compact"/>
              <w:jc w:val="left"/>
            </w:pPr>
            <w:r>
              <w:t xml:space="preserve">Internal</w:t>
            </w:r>
          </w:p>
        </w:tc>
        <w:tc>
          <w:tcPr/>
          <w:p>
            <w:pPr>
              <w:pStyle w:val="Compact"/>
              <w:jc w:val="left"/>
            </w:pPr>
            <w:r>
              <w:t xml:space="preserve">Week 2 deliverable</w:t>
            </w:r>
          </w:p>
        </w:tc>
        <w:tc>
          <w:tcPr/>
          <w:p>
            <w:pPr>
              <w:pStyle w:val="Compact"/>
              <w:jc w:val="left"/>
            </w:pPr>
            <w:r>
              <w:t xml:space="preserve">NT</w:t>
            </w:r>
          </w:p>
        </w:tc>
      </w:tr>
    </w:tbl>
    <w:p>
      <w:pPr>
        <w:pStyle w:val="BodyText"/>
      </w:pPr>
      <w:r>
        <w:rPr>
          <w:bCs/>
          <w:b/>
        </w:rPr>
        <w:t xml:space="preserve">The Shadow AI Article:</w:t>
      </w:r>
      <w:r>
        <w:t xml:space="preserve"> </w:t>
      </w:r>
      <w:r>
        <w:t xml:space="preserve">Lead with the 67% shadow AI usage statistic</w:t>
      </w:r>
      <w:r>
        <w:rPr>
          <w:vertAlign w:val="superscript"/>
        </w:rPr>
        <w:t xml:space="preserve">18</w:t>
      </w:r>
      <w:r>
        <w:t xml:space="preserve">and the 97% of enterprises expecting a major AI agent security incident</w:t>
      </w:r>
      <w:r>
        <w:rPr>
          <w:vertAlign w:val="superscript"/>
        </w:rPr>
        <w:t xml:space="preserve">18</w:t>
      </w:r>
      <w:r>
        <w:t xml:space="preserve">. Frame as:</w:t>
      </w:r>
      <w:r>
        <w:t xml:space="preserve"> </w:t>
      </w:r>
      <w:r>
        <w:rPr>
          <w:iCs/>
          <w:i/>
        </w:rPr>
        <w:t xml:space="preserve">“</w:t>
      </w:r>
      <w:r>
        <w:rPr>
          <w:iCs/>
          <w:i/>
        </w:rPr>
        <w:t xml:space="preserve">You can’t govern what you can’t see. Every AI governance platform on the market starts with inventory — but 83% of enterprises don’t have one.</w:t>
      </w:r>
      <w:r>
        <w:rPr>
          <w:iCs/>
          <w:i/>
        </w:rPr>
        <w:t xml:space="preserve">”</w:t>
      </w:r>
      <w:r>
        <w:t xml:space="preserve"> </w:t>
      </w:r>
      <w:r>
        <w:t xml:space="preserve">This positions SOV3’s auto-discovery feature as the solution to a crisis, not a nice-to-have feature.</w:t>
      </w:r>
    </w:p>
    <w:bookmarkEnd w:id="77"/>
    <w:bookmarkStart w:id="78" w:name="saturdaysunday-june-1314-rest-and-intel"/>
    <w:p>
      <w:pPr>
        <w:pStyle w:val="Heading4"/>
      </w:pPr>
      <w:r>
        <w:t xml:space="preserve">Saturday–Sunday, June 13–14: Rest and Intel</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Monitor competitor social for reactions</w:t>
            </w:r>
          </w:p>
        </w:tc>
        <w:tc>
          <w:tcPr/>
          <w:p>
            <w:pPr>
              <w:pStyle w:val="Compact"/>
              <w:jc w:val="left"/>
            </w:pPr>
            <w:r>
              <w:t xml:space="preserve">Manual + alerts</w:t>
            </w:r>
          </w:p>
        </w:tc>
        <w:tc>
          <w:tcPr/>
          <w:p>
            <w:pPr>
              <w:pStyle w:val="Compact"/>
              <w:jc w:val="left"/>
            </w:pPr>
            <w:r>
              <w:t xml:space="preserve">All 10 competitors</w:t>
            </w:r>
          </w:p>
        </w:tc>
        <w:tc>
          <w:tcPr/>
          <w:p>
            <w:pPr>
              <w:pStyle w:val="Compact"/>
              <w:jc w:val="left"/>
            </w:pPr>
            <w:r>
              <w:t xml:space="preserve">NT</w:t>
            </w:r>
          </w:p>
        </w:tc>
      </w:tr>
      <w:tr>
        <w:tc>
          <w:tcPr/>
          <w:p>
            <w:pPr>
              <w:pStyle w:val="Compact"/>
              <w:jc w:val="left"/>
            </w:pPr>
            <w:r>
              <w:t xml:space="preserve">Compile Week 1 metrics report</w:t>
            </w:r>
          </w:p>
        </w:tc>
        <w:tc>
          <w:tcPr/>
          <w:p>
            <w:pPr>
              <w:pStyle w:val="Compact"/>
              <w:jc w:val="left"/>
            </w:pPr>
            <w:r>
              <w:t xml:space="preserve">Internal</w:t>
            </w:r>
          </w:p>
        </w:tc>
        <w:tc>
          <w:tcPr/>
          <w:p>
            <w:pPr>
              <w:pStyle w:val="Compact"/>
              <w:jc w:val="left"/>
            </w:pPr>
            <w:r>
              <w:t xml:space="preserve">Baseline for optimization</w:t>
            </w:r>
          </w:p>
        </w:tc>
        <w:tc>
          <w:tcPr/>
          <w:p>
            <w:pPr>
              <w:pStyle w:val="Compact"/>
              <w:jc w:val="left"/>
            </w:pPr>
            <w:r>
              <w:t xml:space="preserve">NT</w:t>
            </w:r>
          </w:p>
        </w:tc>
      </w:tr>
      <w:tr>
        <w:tc>
          <w:tcPr/>
          <w:p>
            <w:pPr>
              <w:pStyle w:val="Compact"/>
              <w:jc w:val="left"/>
            </w:pPr>
            <w:r>
              <w:t xml:space="preserve">Draft Week 2 content calendar</w:t>
            </w:r>
          </w:p>
        </w:tc>
        <w:tc>
          <w:tcPr/>
          <w:p>
            <w:pPr>
              <w:pStyle w:val="Compact"/>
              <w:jc w:val="left"/>
            </w:pPr>
            <w:r>
              <w:t xml:space="preserve">Internal</w:t>
            </w:r>
          </w:p>
        </w:tc>
        <w:tc>
          <w:tcPr/>
          <w:p>
            <w:pPr>
              <w:pStyle w:val="Compact"/>
              <w:jc w:val="left"/>
            </w:pPr>
            <w:r>
              <w:t xml:space="preserve">7 pieces of content</w:t>
            </w:r>
          </w:p>
        </w:tc>
        <w:tc>
          <w:tcPr/>
          <w:p>
            <w:pPr>
              <w:pStyle w:val="Compact"/>
              <w:jc w:val="left"/>
            </w:pPr>
            <w:r>
              <w:t xml:space="preserve">NT</w:t>
            </w:r>
          </w:p>
        </w:tc>
      </w:tr>
    </w:tbl>
    <w:p>
      <w:pPr>
        <w:pStyle w:val="BodyText"/>
      </w:pPr>
      <w:r>
        <w:rPr>
          <w:bCs/>
          <w:b/>
        </w:rPr>
        <w:t xml:space="preserve">Week 1 Success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Reddit post upvotes</w:t>
            </w:r>
          </w:p>
        </w:tc>
        <w:tc>
          <w:tcPr/>
          <w:p>
            <w:pPr>
              <w:pStyle w:val="Compact"/>
              <w:jc w:val="left"/>
            </w:pPr>
            <w:r>
              <w:t xml:space="preserve">500+ combined</w:t>
            </w:r>
          </w:p>
        </w:tc>
        <w:tc>
          <w:tcPr/>
          <w:p>
            <w:pPr>
              <w:pStyle w:val="Compact"/>
              <w:jc w:val="left"/>
            </w:pPr>
            <w:r>
              <w:t xml:space="preserve">Native analytics</w:t>
            </w:r>
          </w:p>
        </w:tc>
      </w:tr>
      <w:tr>
        <w:tc>
          <w:tcPr/>
          <w:p>
            <w:pPr>
              <w:pStyle w:val="Compact"/>
              <w:jc w:val="left"/>
            </w:pPr>
            <w:r>
              <w:t xml:space="preserve">HN comment karma</w:t>
            </w:r>
          </w:p>
        </w:tc>
        <w:tc>
          <w:tcPr/>
          <w:p>
            <w:pPr>
              <w:pStyle w:val="Compact"/>
              <w:jc w:val="left"/>
            </w:pPr>
            <w:r>
              <w:t xml:space="preserve">50+</w:t>
            </w:r>
          </w:p>
        </w:tc>
        <w:tc>
          <w:tcPr/>
          <w:p>
            <w:pPr>
              <w:pStyle w:val="Compact"/>
              <w:jc w:val="left"/>
            </w:pPr>
            <w:r>
              <w:t xml:space="preserve">Profile page</w:t>
            </w:r>
          </w:p>
        </w:tc>
      </w:tr>
      <w:tr>
        <w:tc>
          <w:tcPr/>
          <w:p>
            <w:pPr>
              <w:pStyle w:val="Compact"/>
              <w:jc w:val="left"/>
            </w:pPr>
            <w:r>
              <w:t xml:space="preserve">LinkedIn post impressions</w:t>
            </w:r>
          </w:p>
        </w:tc>
        <w:tc>
          <w:tcPr/>
          <w:p>
            <w:pPr>
              <w:pStyle w:val="Compact"/>
              <w:jc w:val="left"/>
            </w:pPr>
            <w:r>
              <w:t xml:space="preserve">25,000+</w:t>
            </w:r>
          </w:p>
        </w:tc>
        <w:tc>
          <w:tcPr/>
          <w:p>
            <w:pPr>
              <w:pStyle w:val="Compact"/>
              <w:jc w:val="left"/>
            </w:pPr>
            <w:r>
              <w:t xml:space="preserve">Creator analytics</w:t>
            </w:r>
          </w:p>
        </w:tc>
      </w:tr>
      <w:tr>
        <w:tc>
          <w:tcPr/>
          <w:p>
            <w:pPr>
              <w:pStyle w:val="Compact"/>
              <w:jc w:val="left"/>
            </w:pPr>
            <w:r>
              <w:t xml:space="preserve">OneTrust engineer connections</w:t>
            </w:r>
          </w:p>
        </w:tc>
        <w:tc>
          <w:tcPr/>
          <w:p>
            <w:pPr>
              <w:pStyle w:val="Compact"/>
              <w:jc w:val="left"/>
            </w:pPr>
            <w:r>
              <w:t xml:space="preserve">5/10 accepted</w:t>
            </w:r>
          </w:p>
        </w:tc>
        <w:tc>
          <w:tcPr/>
          <w:p>
            <w:pPr>
              <w:pStyle w:val="Compact"/>
              <w:jc w:val="left"/>
            </w:pPr>
            <w:r>
              <w:t xml:space="preserve">LinkedIn</w:t>
            </w:r>
          </w:p>
        </w:tc>
      </w:tr>
      <w:tr>
        <w:tc>
          <w:tcPr/>
          <w:p>
            <w:pPr>
              <w:pStyle w:val="Compact"/>
              <w:jc w:val="left"/>
            </w:pPr>
            <w:r>
              <w:t xml:space="preserve">sov3.ai blog traffic</w:t>
            </w:r>
          </w:p>
        </w:tc>
        <w:tc>
          <w:tcPr/>
          <w:p>
            <w:pPr>
              <w:pStyle w:val="Compact"/>
              <w:jc w:val="left"/>
            </w:pPr>
            <w:r>
              <w:t xml:space="preserve">2,000+ unique visitors</w:t>
            </w:r>
          </w:p>
        </w:tc>
        <w:tc>
          <w:tcPr/>
          <w:p>
            <w:pPr>
              <w:pStyle w:val="Compact"/>
              <w:jc w:val="left"/>
            </w:pPr>
            <w:r>
              <w:t xml:space="preserve">Google Analytics</w:t>
            </w:r>
          </w:p>
        </w:tc>
      </w:tr>
      <w:tr>
        <w:tc>
          <w:tcPr/>
          <w:p>
            <w:pPr>
              <w:pStyle w:val="Compact"/>
              <w:jc w:val="left"/>
            </w:pPr>
            <w:r>
              <w:t xml:space="preserve">Social media mentions of</w:t>
            </w:r>
            <w:r>
              <w:t xml:space="preserve"> </w:t>
            </w:r>
            <w:r>
              <w:t xml:space="preserve">“</w:t>
            </w:r>
            <w:r>
              <w:t xml:space="preserve">SOV3</w:t>
            </w:r>
            <w:r>
              <w:t xml:space="preserve">”</w:t>
            </w:r>
          </w:p>
        </w:tc>
        <w:tc>
          <w:tcPr/>
          <w:p>
            <w:pPr>
              <w:pStyle w:val="Compact"/>
              <w:jc w:val="left"/>
            </w:pPr>
            <w:r>
              <w:t xml:space="preserve">50+</w:t>
            </w:r>
          </w:p>
        </w:tc>
        <w:tc>
          <w:tcPr/>
          <w:p>
            <w:pPr>
              <w:pStyle w:val="Compact"/>
              <w:jc w:val="left"/>
            </w:pPr>
            <w:r>
              <w:t xml:space="preserve">Brand monitoring</w:t>
            </w:r>
          </w:p>
        </w:tc>
      </w:tr>
    </w:tbl>
    <w:p>
      <w:r>
        <w:pict>
          <v:rect style="width:0;height:1.5pt" o:hralign="center" o:hrstd="t" o:hr="t"/>
        </w:pict>
      </w:r>
    </w:p>
    <w:bookmarkEnd w:id="78"/>
    <w:bookmarkEnd w:id="79"/>
    <w:bookmarkStart w:id="86" w:name="week-2-actions-june-1521"/>
    <w:p>
      <w:pPr>
        <w:pStyle w:val="Heading3"/>
      </w:pPr>
      <w:r>
        <w:t xml:space="preserve">8.2 Week 2 Actions (June 15–21)</w:t>
      </w:r>
    </w:p>
    <w:p>
      <w:pPr>
        <w:pStyle w:val="FirstParagraph"/>
      </w:pPr>
      <w:r>
        <w:rPr>
          <w:bCs/>
          <w:b/>
        </w:rPr>
        <w:t xml:space="preserve">Theme:</w:t>
      </w:r>
      <w:r>
        <w:t xml:space="preserve"> </w:t>
      </w:r>
      <w:r>
        <w:rPr>
          <w:iCs/>
          <w:i/>
        </w:rPr>
        <w:t xml:space="preserve">Building the Arsenal</w:t>
      </w:r>
    </w:p>
    <w:p>
      <w:pPr>
        <w:pStyle w:val="BodyText"/>
      </w:pPr>
      <w:r>
        <w:t xml:space="preserve">Week 2 transitions from narrative-seeding to asset-deployment. Every tool launched this week becomes a weapon in the final 72-hour blitz.</w:t>
      </w:r>
    </w:p>
    <w:bookmarkStart w:id="80" w:name="monday-june-15-launch-sov3.aicompare"/>
    <w:p>
      <w:pPr>
        <w:pStyle w:val="Heading4"/>
      </w:pPr>
      <w:r>
        <w:t xml:space="preserve">Monday, June 15: Launch sov3.ai/compare</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Deploy comparison microsite</w:t>
            </w:r>
          </w:p>
        </w:tc>
        <w:tc>
          <w:tcPr/>
          <w:p>
            <w:pPr>
              <w:pStyle w:val="Compact"/>
              <w:jc w:val="left"/>
            </w:pPr>
            <w:r>
              <w:t xml:space="preserve">sov3.ai/compare</w:t>
            </w:r>
          </w:p>
        </w:tc>
        <w:tc>
          <w:tcPr/>
          <w:p>
            <w:pPr>
              <w:pStyle w:val="Compact"/>
              <w:jc w:val="left"/>
            </w:pPr>
            <w:r>
              <w:t xml:space="preserve">10,000 scans in Week 2</w:t>
            </w:r>
          </w:p>
        </w:tc>
        <w:tc>
          <w:tcPr/>
          <w:p>
            <w:pPr>
              <w:pStyle w:val="Compact"/>
              <w:jc w:val="left"/>
            </w:pPr>
            <w:r>
              <w:t xml:space="preserve">NT + Dev</w:t>
            </w:r>
          </w:p>
        </w:tc>
      </w:tr>
      <w:tr>
        <w:tc>
          <w:tcPr/>
          <w:p>
            <w:pPr>
              <w:pStyle w:val="Compact"/>
              <w:jc w:val="left"/>
            </w:pPr>
            <w:r>
              <w:t xml:space="preserve">Announce on all social channels</w:t>
            </w:r>
          </w:p>
        </w:tc>
        <w:tc>
          <w:tcPr/>
          <w:p>
            <w:pPr>
              <w:pStyle w:val="Compact"/>
              <w:jc w:val="left"/>
            </w:pPr>
            <w:r>
              <w:t xml:space="preserve">X, LinkedIn, HN, Reddit</w:t>
            </w:r>
          </w:p>
        </w:tc>
        <w:tc>
          <w:tcPr/>
          <w:p>
            <w:pPr>
              <w:pStyle w:val="Compact"/>
              <w:jc w:val="left"/>
            </w:pPr>
            <w:r>
              <w:t xml:space="preserve">Viral launch</w:t>
            </w:r>
          </w:p>
        </w:tc>
        <w:tc>
          <w:tcPr/>
          <w:p>
            <w:pPr>
              <w:pStyle w:val="Compact"/>
              <w:jc w:val="left"/>
            </w:pPr>
            <w:r>
              <w:t xml:space="preserve">NT</w:t>
            </w:r>
          </w:p>
        </w:tc>
      </w:tr>
      <w:tr>
        <w:tc>
          <w:tcPr/>
          <w:p>
            <w:pPr>
              <w:pStyle w:val="Compact"/>
              <w:jc w:val="left"/>
            </w:pPr>
            <w:r>
              <w:t xml:space="preserve">Email announcement to waitlist</w:t>
            </w:r>
          </w:p>
        </w:tc>
        <w:tc>
          <w:tcPr/>
          <w:p>
            <w:pPr>
              <w:pStyle w:val="Compact"/>
              <w:jc w:val="left"/>
            </w:pPr>
            <w:r>
              <w:t xml:space="preserve">Email</w:t>
            </w:r>
          </w:p>
        </w:tc>
        <w:tc>
          <w:tcPr/>
          <w:p>
            <w:pPr>
              <w:pStyle w:val="Compact"/>
              <w:jc w:val="left"/>
            </w:pPr>
            <w:r>
              <w:t xml:space="preserve">100% of list</w:t>
            </w:r>
          </w:p>
        </w:tc>
        <w:tc>
          <w:tcPr/>
          <w:p>
            <w:pPr>
              <w:pStyle w:val="Compact"/>
              <w:jc w:val="left"/>
            </w:pPr>
            <w:r>
              <w:t xml:space="preserve">NT</w:t>
            </w:r>
          </w:p>
        </w:tc>
      </w:tr>
    </w:tbl>
    <w:p>
      <w:pPr>
        <w:pStyle w:val="BodyText"/>
      </w:pPr>
      <w:r>
        <w:rPr>
          <w:bCs/>
          <w:b/>
        </w:rPr>
        <w:t xml:space="preserve">The Comparison Tool:</w:t>
      </w:r>
      <w:r>
        <w:t xml:space="preserve"> </w:t>
      </w:r>
      <w:r>
        <w:t xml:space="preserve">A 10-question wizard that generates a personalized vendor comparison report. Questions cover: company size, budget, compliance needs (EU AI Act, NIST, ISO), technical requirements, timeline. Output: a ranked vendor list with SOV3 highlighted as the only option that covers all requirements under $10K/year. Embed the pricing transparency insight</w:t>
      </w:r>
      <w:r>
        <w:rPr>
          <w:vertAlign w:val="superscript"/>
        </w:rPr>
        <w:t xml:space="preserve">26</w:t>
      </w:r>
      <w:r>
        <w:t xml:space="preserve">— show competitor pricing as</w:t>
      </w:r>
      <w:r>
        <w:t xml:space="preserve"> </w:t>
      </w:r>
      <w:r>
        <w:t xml:space="preserve">“</w:t>
      </w:r>
      <w:r>
        <w:t xml:space="preserve">Hidden</w:t>
      </w:r>
      <w:r>
        <w:t xml:space="preserve">”</w:t>
      </w:r>
      <w:r>
        <w:t xml:space="preserve"> </w:t>
      </w:r>
      <w:r>
        <w:t xml:space="preserve">or</w:t>
      </w:r>
      <w:r>
        <w:t xml:space="preserve"> </w:t>
      </w:r>
      <w:r>
        <w:t xml:space="preserve">“</w:t>
      </w:r>
      <w:r>
        <w:t xml:space="preserve">$100K+</w:t>
      </w:r>
      <w:r>
        <w:t xml:space="preserve">”</w:t>
      </w:r>
      <w:r>
        <w:t xml:space="preserve"> </w:t>
      </w:r>
      <w:r>
        <w:t xml:space="preserve">with source links.</w:t>
      </w:r>
    </w:p>
    <w:bookmarkEnd w:id="80"/>
    <w:bookmarkStart w:id="81" w:name="Xe3c1505e57884404a650dbead34c7a8999f0913"/>
    <w:p>
      <w:pPr>
        <w:pStyle w:val="Heading4"/>
      </w:pPr>
      <w:r>
        <w:t xml:space="preserve">Tuesday, June 16: Release Free EU AI Act Scanner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Deploy EU AI Act readiness scanner</w:t>
            </w:r>
          </w:p>
        </w:tc>
        <w:tc>
          <w:tcPr/>
          <w:p>
            <w:pPr>
              <w:pStyle w:val="Compact"/>
              <w:jc w:val="left"/>
            </w:pPr>
            <w:r>
              <w:t xml:space="preserve">sov3.ai/eu-scan</w:t>
            </w:r>
          </w:p>
        </w:tc>
        <w:tc>
          <w:tcPr/>
          <w:p>
            <w:pPr>
              <w:pStyle w:val="Compact"/>
              <w:jc w:val="left"/>
            </w:pPr>
            <w:r>
              <w:t xml:space="preserve">5,000 scans in Week 2</w:t>
            </w:r>
          </w:p>
        </w:tc>
        <w:tc>
          <w:tcPr/>
          <w:p>
            <w:pPr>
              <w:pStyle w:val="Compact"/>
              <w:jc w:val="left"/>
            </w:pPr>
            <w:r>
              <w:t xml:space="preserve">NT + Dev</w:t>
            </w:r>
          </w:p>
        </w:tc>
      </w:tr>
      <w:tr>
        <w:tc>
          <w:tcPr/>
          <w:p>
            <w:pPr>
              <w:pStyle w:val="Compact"/>
              <w:jc w:val="left"/>
            </w:pPr>
            <w:r>
              <w:t xml:space="preserve">Target European AI/ML communities</w:t>
            </w:r>
          </w:p>
        </w:tc>
        <w:tc>
          <w:tcPr/>
          <w:p>
            <w:pPr>
              <w:pStyle w:val="Compact"/>
              <w:jc w:val="left"/>
            </w:pPr>
            <w:r>
              <w:t xml:space="preserve">Reddit, Discord, Slack</w:t>
            </w:r>
          </w:p>
        </w:tc>
        <w:tc>
          <w:tcPr/>
          <w:p>
            <w:pPr>
              <w:pStyle w:val="Compact"/>
              <w:jc w:val="left"/>
            </w:pPr>
            <w:r>
              <w:t xml:space="preserve">EU-focused channels</w:t>
            </w:r>
          </w:p>
        </w:tc>
        <w:tc>
          <w:tcPr/>
          <w:p>
            <w:pPr>
              <w:pStyle w:val="Compact"/>
              <w:jc w:val="left"/>
            </w:pPr>
            <w:r>
              <w:t xml:space="preserve">NT</w:t>
            </w:r>
          </w:p>
        </w:tc>
      </w:tr>
      <w:tr>
        <w:tc>
          <w:tcPr/>
          <w:p>
            <w:pPr>
              <w:pStyle w:val="Compact"/>
              <w:jc w:val="left"/>
            </w:pPr>
            <w:r>
              <w:t xml:space="preserve">Partner outreach: 5 European AI consultancies</w:t>
            </w:r>
          </w:p>
        </w:tc>
        <w:tc>
          <w:tcPr/>
          <w:p>
            <w:pPr>
              <w:pStyle w:val="Compact"/>
              <w:jc w:val="left"/>
            </w:pPr>
            <w:r>
              <w:t xml:space="preserve">Email + LinkedIn</w:t>
            </w:r>
          </w:p>
        </w:tc>
        <w:tc>
          <w:tcPr/>
          <w:p>
            <w:pPr>
              <w:pStyle w:val="Compact"/>
              <w:jc w:val="left"/>
            </w:pPr>
            <w:r>
              <w:t xml:space="preserve">Partnership pipeline</w:t>
            </w:r>
          </w:p>
        </w:tc>
        <w:tc>
          <w:tcPr/>
          <w:p>
            <w:pPr>
              <w:pStyle w:val="Compact"/>
              <w:jc w:val="left"/>
            </w:pPr>
            <w:r>
              <w:t xml:space="preserve">NT</w:t>
            </w:r>
          </w:p>
        </w:tc>
      </w:tr>
    </w:tbl>
    <w:p>
      <w:pPr>
        <w:pStyle w:val="BodyText"/>
      </w:pPr>
      <w:r>
        <w:rPr>
          <w:bCs/>
          <w:b/>
        </w:rPr>
        <w:t xml:space="preserve">The Scanner:</w:t>
      </w:r>
      <w:r>
        <w:t xml:space="preserve"> </w:t>
      </w:r>
      <w:r>
        <w:t xml:space="preserve">Upload an AI system description → receive a compliance score (0–100), specific Article references, and remediation steps. Score intentionally conservative — most submissions will score 30–60, creating urgency for the full platform. Gate the detailed remediation behind email capture. This is the lead generation engine for the EU market, where enforcement begins in 47 days</w:t>
      </w:r>
      <w:r>
        <w:rPr>
          <w:vertAlign w:val="superscript"/>
        </w:rPr>
        <w:t xml:space="preserve">2</w:t>
      </w:r>
      <w:r>
        <w:t xml:space="preserve">.</w:t>
      </w:r>
    </w:p>
    <w:bookmarkEnd w:id="81"/>
    <w:bookmarkStart w:id="82" w:name="X6e5843eac17bb947b014bb379b3edacca48e12a"/>
    <w:p>
      <w:pPr>
        <w:pStyle w:val="Heading4"/>
      </w:pPr>
      <w:r>
        <w:t xml:space="preserve">Wednesday, June 17: Open-Source PDCA Engine on GitHub</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PDCA governance engine</w:t>
            </w:r>
          </w:p>
        </w:tc>
        <w:tc>
          <w:tcPr/>
          <w:p>
            <w:pPr>
              <w:pStyle w:val="Compact"/>
              <w:jc w:val="left"/>
            </w:pPr>
            <w:r>
              <w:t xml:space="preserve">GitHub</w:t>
            </w:r>
          </w:p>
        </w:tc>
        <w:tc>
          <w:tcPr/>
          <w:p>
            <w:pPr>
              <w:pStyle w:val="Compact"/>
              <w:jc w:val="left"/>
            </w:pPr>
            <w:r>
              <w:t xml:space="preserve">500 stars in Week 2</w:t>
            </w:r>
          </w:p>
        </w:tc>
        <w:tc>
          <w:tcPr/>
          <w:p>
            <w:pPr>
              <w:pStyle w:val="Compact"/>
              <w:jc w:val="left"/>
            </w:pPr>
            <w:r>
              <w:t xml:space="preserve">NT + Dev</w:t>
            </w:r>
          </w:p>
        </w:tc>
      </w:tr>
      <w:tr>
        <w:tc>
          <w:tcPr/>
          <w:p>
            <w:pPr>
              <w:pStyle w:val="Compact"/>
              <w:jc w:val="left"/>
            </w:pPr>
            <w:r>
              <w:t xml:space="preserve">Write launch post:</w:t>
            </w:r>
            <w:r>
              <w:t xml:space="preserve"> </w:t>
            </w:r>
            <w:r>
              <w:t xml:space="preserve">“</w:t>
            </w:r>
            <w:r>
              <w:t xml:space="preserve">Why We’re Open-Sourcing Our Core Engine</w:t>
            </w:r>
            <w:r>
              <w:t xml:space="preserve">”</w:t>
            </w:r>
          </w:p>
        </w:tc>
        <w:tc>
          <w:tcPr/>
          <w:p>
            <w:pPr>
              <w:pStyle w:val="Compact"/>
              <w:jc w:val="left"/>
            </w:pPr>
            <w:r>
              <w:t xml:space="preserve">HN, Reddit, Dev.to</w:t>
            </w:r>
          </w:p>
        </w:tc>
        <w:tc>
          <w:tcPr/>
          <w:p>
            <w:pPr>
              <w:pStyle w:val="Compact"/>
              <w:jc w:val="left"/>
            </w:pPr>
            <w:r>
              <w:t xml:space="preserve">Front page target</w:t>
            </w:r>
          </w:p>
        </w:tc>
        <w:tc>
          <w:tcPr/>
          <w:p>
            <w:pPr>
              <w:pStyle w:val="Compact"/>
              <w:jc w:val="left"/>
            </w:pPr>
            <w:r>
              <w:t xml:space="preserve">NT</w:t>
            </w:r>
          </w:p>
        </w:tc>
      </w:tr>
      <w:tr>
        <w:tc>
          <w:tcPr/>
          <w:p>
            <w:pPr>
              <w:pStyle w:val="Compact"/>
              <w:jc w:val="left"/>
            </w:pPr>
            <w:r>
              <w:t xml:space="preserve">Include MCP governance module</w:t>
            </w:r>
          </w:p>
        </w:tc>
        <w:tc>
          <w:tcPr/>
          <w:p>
            <w:pPr>
              <w:pStyle w:val="Compact"/>
              <w:jc w:val="left"/>
            </w:pPr>
            <w:r>
              <w:t xml:space="preserve">GitHub repo</w:t>
            </w:r>
          </w:p>
        </w:tc>
        <w:tc>
          <w:tcPr/>
          <w:p>
            <w:pPr>
              <w:pStyle w:val="Compact"/>
              <w:jc w:val="left"/>
            </w:pPr>
            <w:r>
              <w:t xml:space="preserve">MCP community</w:t>
            </w:r>
          </w:p>
        </w:tc>
        <w:tc>
          <w:tcPr/>
          <w:p>
            <w:pPr>
              <w:pStyle w:val="Compact"/>
              <w:jc w:val="left"/>
            </w:pPr>
            <w:r>
              <w:t xml:space="preserve">NT</w:t>
            </w:r>
          </w:p>
        </w:tc>
      </w:tr>
    </w:tbl>
    <w:p>
      <w:pPr>
        <w:pStyle w:val="BodyText"/>
      </w:pPr>
      <w:r>
        <w:rPr>
          <w:bCs/>
          <w:b/>
        </w:rPr>
        <w:t xml:space="preserve">The Open-Source Strategy:</w:t>
      </w:r>
      <w:r>
        <w:t xml:space="preserve"> </w:t>
      </w:r>
      <w:r>
        <w:t xml:space="preserve">Release the core PDCA (Plan-Do-Check-Act) governance loop as Apache 2.0. Include: (1) Policy-as-code definitions, (2) Runtime enforcement hooks, (3) Blockchain audit trail module, (4) MCP server security scanner. Keep the SaaS orchestration layer, certification engine, and enterprise features proprietary. This is the</w:t>
      </w:r>
      <w:r>
        <w:t xml:space="preserve"> </w:t>
      </w:r>
      <w:r>
        <w:t xml:space="preserve">“</w:t>
      </w:r>
      <w:r>
        <w:t xml:space="preserve">assessment vs enforcement</w:t>
      </w:r>
      <w:r>
        <w:t xml:space="preserve">”</w:t>
      </w:r>
      <w:r>
        <w:t xml:space="preserve"> </w:t>
      </w:r>
      <w:r>
        <w:t xml:space="preserve">insight</w:t>
      </w:r>
      <w:r>
        <w:rPr>
          <w:vertAlign w:val="superscript"/>
        </w:rPr>
        <w:t xml:space="preserve">28</w:t>
      </w:r>
      <w:r>
        <w:t xml:space="preserve">made tangible — competitors can’t open-source what they don’t have.</w:t>
      </w:r>
    </w:p>
    <w:p>
      <w:pPr>
        <w:pStyle w:val="BodyText"/>
      </w:pPr>
      <w:r>
        <w:rPr>
          <w:bCs/>
          <w:b/>
        </w:rPr>
        <w:t xml:space="preserve">The GitHub README:</w:t>
      </w:r>
      <w:r>
        <w:t xml:space="preserve"> </w:t>
      </w:r>
      <w:r>
        <w:t xml:space="preserve">Title:</w:t>
      </w:r>
      <w:r>
        <w:t xml:space="preserve"> </w:t>
      </w:r>
      <w:r>
        <w:rPr>
          <w:iCs/>
          <w:i/>
        </w:rPr>
        <w:t xml:space="preserve">“</w:t>
      </w:r>
      <w:r>
        <w:rPr>
          <w:iCs/>
          <w:i/>
        </w:rPr>
        <w:t xml:space="preserve">SOV3 PDCA Engine — Governance That Acts, Not Just Reports</w:t>
      </w:r>
      <w:r>
        <w:rPr>
          <w:iCs/>
          <w:i/>
        </w:rPr>
        <w:t xml:space="preserve">”</w:t>
      </w:r>
      <w:r>
        <w:t xml:space="preserve"> </w:t>
      </w:r>
      <w:r>
        <w:t xml:space="preserve">— This phrase becomes the core positioning. Every mention of competitors uses the frame:</w:t>
      </w:r>
      <w:r>
        <w:t xml:space="preserve"> </w:t>
      </w:r>
      <w:r>
        <w:t xml:space="preserve">“</w:t>
      </w:r>
      <w:r>
        <w:t xml:space="preserve">[Competitor] evaluates. SOV3 enforces.</w:t>
      </w:r>
      <w:r>
        <w:t xml:space="preserve">”</w:t>
      </w:r>
    </w:p>
    <w:bookmarkEnd w:id="82"/>
    <w:bookmarkStart w:id="83" w:name="Xd248f4d1fb587898f2314b4f273b8422a21b586"/>
    <w:p>
      <w:pPr>
        <w:pStyle w:val="Heading4"/>
      </w:pPr>
      <w:r>
        <w:t xml:space="preserve">Thursday, June 18: Host</w:t>
      </w:r>
      <w:r>
        <w:t xml:space="preserve"> </w:t>
      </w:r>
      <w:r>
        <w:t xml:space="preserve">“</w:t>
      </w:r>
      <w:r>
        <w:t xml:space="preserve">What Vendors Won’t Tell You</w:t>
      </w:r>
      <w:r>
        <w:t xml:space="preserve">”</w:t>
      </w:r>
      <w:r>
        <w:t xml:space="preserve"> </w:t>
      </w:r>
      <w:r>
        <w:t xml:space="preserve">Webinar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Live webinar: 60 minutes</w:t>
            </w:r>
          </w:p>
        </w:tc>
        <w:tc>
          <w:tcPr/>
          <w:p>
            <w:pPr>
              <w:pStyle w:val="Compact"/>
              <w:jc w:val="left"/>
            </w:pPr>
            <w:r>
              <w:t xml:space="preserve">Zoom + YouTube Live</w:t>
            </w:r>
          </w:p>
        </w:tc>
        <w:tc>
          <w:tcPr/>
          <w:p>
            <w:pPr>
              <w:pStyle w:val="Compact"/>
              <w:jc w:val="left"/>
            </w:pPr>
            <w:r>
              <w:t xml:space="preserve">1,000 registrants</w:t>
            </w:r>
          </w:p>
        </w:tc>
        <w:tc>
          <w:tcPr/>
          <w:p>
            <w:pPr>
              <w:pStyle w:val="Compact"/>
              <w:jc w:val="left"/>
            </w:pPr>
            <w:r>
              <w:t xml:space="preserve">NT</w:t>
            </w:r>
          </w:p>
        </w:tc>
      </w:tr>
      <w:tr>
        <w:tc>
          <w:tcPr/>
          <w:p>
            <w:pPr>
              <w:pStyle w:val="Compact"/>
              <w:jc w:val="left"/>
            </w:pPr>
            <w:r>
              <w:t xml:space="preserve">Invite 3 industry analysts as panelists</w:t>
            </w:r>
          </w:p>
        </w:tc>
        <w:tc>
          <w:tcPr/>
          <w:p>
            <w:pPr>
              <w:pStyle w:val="Compact"/>
              <w:jc w:val="left"/>
            </w:pPr>
            <w:r>
              <w:t xml:space="preserve">Email</w:t>
            </w:r>
          </w:p>
        </w:tc>
        <w:tc>
          <w:tcPr/>
          <w:p>
            <w:pPr>
              <w:pStyle w:val="Compact"/>
              <w:jc w:val="left"/>
            </w:pPr>
            <w:r>
              <w:t xml:space="preserve">Target: Gartner, Forrester</w:t>
            </w:r>
          </w:p>
        </w:tc>
        <w:tc>
          <w:tcPr/>
          <w:p>
            <w:pPr>
              <w:pStyle w:val="Compact"/>
              <w:jc w:val="left"/>
            </w:pPr>
            <w:r>
              <w:t xml:space="preserve">NT</w:t>
            </w:r>
          </w:p>
        </w:tc>
      </w:tr>
      <w:tr>
        <w:tc>
          <w:tcPr/>
          <w:p>
            <w:pPr>
              <w:pStyle w:val="Compact"/>
              <w:jc w:val="left"/>
            </w:pPr>
            <w:r>
              <w:t xml:space="preserve">Publish recording as gated content</w:t>
            </w:r>
          </w:p>
        </w:tc>
        <w:tc>
          <w:tcPr/>
          <w:p>
            <w:pPr>
              <w:pStyle w:val="Compact"/>
              <w:jc w:val="left"/>
            </w:pPr>
            <w:r>
              <w:t xml:space="preserve">sov3.ai/webinar</w:t>
            </w:r>
          </w:p>
        </w:tc>
        <w:tc>
          <w:tcPr/>
          <w:p>
            <w:pPr>
              <w:pStyle w:val="Compact"/>
              <w:jc w:val="left"/>
            </w:pPr>
            <w:r>
              <w:t xml:space="preserve">Lead capture</w:t>
            </w:r>
          </w:p>
        </w:tc>
        <w:tc>
          <w:tcPr/>
          <w:p>
            <w:pPr>
              <w:pStyle w:val="Compact"/>
              <w:jc w:val="left"/>
            </w:pPr>
            <w:r>
              <w:t xml:space="preserve">NT</w:t>
            </w:r>
          </w:p>
        </w:tc>
      </w:tr>
    </w:tbl>
    <w:p>
      <w:pPr>
        <w:pStyle w:val="BodyText"/>
      </w:pPr>
      <w:r>
        <w:rPr>
          <w:bCs/>
          <w:b/>
        </w:rPr>
        <w:t xml:space="preserve">Webinar Agenda:</w:t>
      </w:r>
      <w:r>
        <w:t xml:space="preserve"> </w:t>
      </w:r>
      <w:r>
        <w:t xml:space="preserve">- 0:00–0:05: Introduction —</w:t>
      </w:r>
      <w:r>
        <w:t xml:space="preserve"> </w:t>
      </w:r>
      <w:r>
        <w:t xml:space="preserve">“</w:t>
      </w:r>
      <w:r>
        <w:t xml:space="preserve">Why I spent 6 months auditing every AI governance vendor</w:t>
      </w:r>
      <w:r>
        <w:t xml:space="preserve">”</w:t>
      </w:r>
      <w:r>
        <w:t xml:space="preserve"> </w:t>
      </w:r>
      <w:r>
        <w:t xml:space="preserve">- 0:05–0:20: The Funding Fiction — present NanoCo’s 5x inflated funding ($12M vs claimed $63M), Torch Security’s zero verified funding, Euno’s 2x overstatement</w:t>
      </w:r>
      <w:r>
        <w:rPr>
          <w:vertAlign w:val="superscript"/>
        </w:rPr>
        <w:t xml:space="preserve">24</w:t>
      </w:r>
      <w:r>
        <w:t xml:space="preserve">. Name names. Show sources.</w:t>
      </w:r>
      <w:r>
        <w:t xml:space="preserve"> </w:t>
      </w:r>
      <w:r>
        <w:t xml:space="preserve">- 0:20–0:35: The Certification Desert — 0/10 competitors offer certification despite $309M+ in market funding</w:t>
      </w:r>
      <w:r>
        <w:rPr>
          <w:vertAlign w:val="superscript"/>
        </w:rPr>
        <w:t xml:space="preserve">3</w:t>
      </w:r>
      <w:r>
        <w:t xml:space="preserve">. EU AI Act Article 14 requires</w:t>
      </w:r>
      <w:r>
        <w:t xml:space="preserve"> </w:t>
      </w:r>
      <w:r>
        <w:t xml:space="preserve">“</w:t>
      </w:r>
      <w:r>
        <w:t xml:space="preserve">qualified personnel</w:t>
      </w:r>
      <w:r>
        <w:t xml:space="preserve">”</w:t>
      </w:r>
      <w:r>
        <w:t xml:space="preserve"> </w:t>
      </w:r>
      <w:r>
        <w:t xml:space="preserve">— who qualifies them?</w:t>
      </w:r>
      <w:r>
        <w:t xml:space="preserve"> </w:t>
      </w:r>
      <w:r>
        <w:t xml:space="preserve">- 0:35–0:50: Live demo of SOV3 PDCA engine, comparison tool, and EU scanner</w:t>
      </w:r>
      <w:r>
        <w:t xml:space="preserve"> </w:t>
      </w:r>
      <w:r>
        <w:t xml:space="preserve">- 0:50–1:00: Q&amp;A — pre-seed 3 friendly questions from allies</w:t>
      </w:r>
    </w:p>
    <w:bookmarkEnd w:id="83"/>
    <w:bookmarkStart w:id="84" w:name="X81b726d62a564663ded40b000f6a28a913cf7a4"/>
    <w:p>
      <w:pPr>
        <w:pStyle w:val="Heading4"/>
      </w:pPr>
      <w:r>
        <w:t xml:space="preserve">Friday, June 19: Publish</w:t>
      </w:r>
      <w:r>
        <w:t xml:space="preserve"> </w:t>
      </w:r>
      <w:r>
        <w:t xml:space="preserve">“</w:t>
      </w:r>
      <w:r>
        <w:t xml:space="preserve">AI Governance Market Shift Report</w:t>
      </w:r>
      <w:r>
        <w:t xml:space="preserve">”</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20-page market report</w:t>
            </w:r>
          </w:p>
        </w:tc>
        <w:tc>
          <w:tcPr/>
          <w:p>
            <w:pPr>
              <w:pStyle w:val="Compact"/>
              <w:jc w:val="left"/>
            </w:pPr>
            <w:r>
              <w:t xml:space="preserve">sov3.ai/report</w:t>
            </w:r>
          </w:p>
        </w:tc>
        <w:tc>
          <w:tcPr/>
          <w:p>
            <w:pPr>
              <w:pStyle w:val="Compact"/>
              <w:jc w:val="left"/>
            </w:pPr>
            <w:r>
              <w:t xml:space="preserve">5,000 downloads</w:t>
            </w:r>
          </w:p>
        </w:tc>
        <w:tc>
          <w:tcPr/>
          <w:p>
            <w:pPr>
              <w:pStyle w:val="Compact"/>
              <w:jc w:val="left"/>
            </w:pPr>
            <w:r>
              <w:t xml:space="preserve">NT</w:t>
            </w:r>
          </w:p>
        </w:tc>
      </w:tr>
      <w:tr>
        <w:tc>
          <w:tcPr/>
          <w:p>
            <w:pPr>
              <w:pStyle w:val="Compact"/>
              <w:jc w:val="left"/>
            </w:pPr>
            <w:r>
              <w:t xml:space="preserve">Pitch to 10 tech journalists</w:t>
            </w:r>
          </w:p>
        </w:tc>
        <w:tc>
          <w:tcPr/>
          <w:p>
            <w:pPr>
              <w:pStyle w:val="Compact"/>
              <w:jc w:val="left"/>
            </w:pPr>
            <w:r>
              <w:t xml:space="preserve">Email</w:t>
            </w:r>
          </w:p>
        </w:tc>
        <w:tc>
          <w:tcPr/>
          <w:p>
            <w:pPr>
              <w:pStyle w:val="Compact"/>
              <w:jc w:val="left"/>
            </w:pPr>
            <w:r>
              <w:t xml:space="preserve">Target list below</w:t>
            </w:r>
          </w:p>
        </w:tc>
        <w:tc>
          <w:tcPr/>
          <w:p>
            <w:pPr>
              <w:pStyle w:val="Compact"/>
              <w:jc w:val="left"/>
            </w:pPr>
            <w:r>
              <w:t xml:space="preserve">NT</w:t>
            </w:r>
          </w:p>
        </w:tc>
      </w:tr>
      <w:tr>
        <w:tc>
          <w:tcPr/>
          <w:p>
            <w:pPr>
              <w:pStyle w:val="Compact"/>
              <w:jc w:val="left"/>
            </w:pPr>
            <w:r>
              <w:t xml:space="preserve">Submit to industry publications</w:t>
            </w:r>
          </w:p>
        </w:tc>
        <w:tc>
          <w:tcPr/>
          <w:p>
            <w:pPr>
              <w:pStyle w:val="Compact"/>
              <w:jc w:val="left"/>
            </w:pPr>
            <w:r>
              <w:t xml:space="preserve">Submissions</w:t>
            </w:r>
          </w:p>
        </w:tc>
        <w:tc>
          <w:tcPr/>
          <w:p>
            <w:pPr>
              <w:pStyle w:val="Compact"/>
              <w:jc w:val="left"/>
            </w:pPr>
            <w:r>
              <w:t xml:space="preserve">VentureBeat, TechCrunch, The Register</w:t>
            </w:r>
          </w:p>
        </w:tc>
        <w:tc>
          <w:tcPr/>
          <w:p>
            <w:pPr>
              <w:pStyle w:val="Compact"/>
              <w:jc w:val="left"/>
            </w:pPr>
            <w:r>
              <w:t xml:space="preserve">NT</w:t>
            </w:r>
          </w:p>
        </w:tc>
      </w:tr>
    </w:tbl>
    <w:p>
      <w:pPr>
        <w:pStyle w:val="BodyText"/>
      </w:pPr>
      <w:r>
        <w:rPr>
          <w:bCs/>
          <w:b/>
        </w:rPr>
        <w:t xml:space="preserve">Report Contents:</w:t>
      </w:r>
      <w:r>
        <w:t xml:space="preserve"> </w:t>
      </w:r>
      <w:r>
        <w:t xml:space="preserve">- Executive Summary:</w:t>
      </w:r>
      <w:r>
        <w:t xml:space="preserve"> </w:t>
      </w:r>
      <w:r>
        <w:t xml:space="preserve">“</w:t>
      </w:r>
      <w:r>
        <w:t xml:space="preserve">The AI governance market is consolidating around assessment-only tools at the exact moment the market needs enforcement-capable platforms.</w:t>
      </w:r>
      <w:r>
        <w:t xml:space="preserve">”</w:t>
      </w:r>
      <w:r>
        <w:t xml:space="preserve"> </w:t>
      </w:r>
      <w:r>
        <w:t xml:space="preserve">- Chapter 1: Market Sizing ($309M funding, $2.67B → $5.41B compliance training market)</w:t>
      </w:r>
      <w:r>
        <w:rPr>
          <w:vertAlign w:val="superscript"/>
        </w:rPr>
        <w:t xml:space="preserve">3</w:t>
      </w:r>
      <w:r>
        <w:t xml:space="preserve"> </w:t>
      </w:r>
      <w:r>
        <w:rPr>
          <w:vertAlign w:val="superscript"/>
        </w:rPr>
        <w:t xml:space="preserve">26</w:t>
      </w:r>
      <w:r>
        <w:t xml:space="preserve">- Chapter 2: The Certification Gap (0/10 vendors certified)</w:t>
      </w:r>
      <w:r>
        <w:rPr>
          <w:vertAlign w:val="superscript"/>
        </w:rPr>
        <w:t xml:space="preserve">3</w:t>
      </w:r>
      <w:r>
        <w:t xml:space="preserve">- Chapter 3: The Funding Fiction (3 competitors with inflated numbers)</w:t>
      </w:r>
      <w:r>
        <w:rPr>
          <w:vertAlign w:val="superscript"/>
        </w:rPr>
        <w:t xml:space="preserve">24</w:t>
      </w:r>
      <w:r>
        <w:t xml:space="preserve">- Chapter 4: The Assessment Trap (why runtime enforcement matters)</w:t>
      </w:r>
      <w:r>
        <w:rPr>
          <w:vertAlign w:val="superscript"/>
        </w:rPr>
        <w:t xml:space="preserve">28</w:t>
      </w:r>
      <w:r>
        <w:t xml:space="preserve">- Chapter 5: Shadow AI — The $10B+ Problem Nobody’s Solving</w:t>
      </w:r>
      <w:r>
        <w:rPr>
          <w:vertAlign w:val="superscript"/>
        </w:rPr>
        <w:t xml:space="preserve">18</w:t>
      </w:r>
      <w:r>
        <w:t xml:space="preserve">- Chapter 6: The SOV3 Alternative (positioned as research finding, not sales pitch)</w:t>
      </w:r>
    </w:p>
    <w:bookmarkEnd w:id="84"/>
    <w:bookmarkStart w:id="85" w:name="X6369465902acce48582a1a00d63f84aecdf6b6c"/>
    <w:p>
      <w:pPr>
        <w:pStyle w:val="Heading4"/>
      </w:pPr>
      <w:r>
        <w:t xml:space="preserve">Saturday–Sunday, June 20–21: Consolidation and Prep</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Compile all Week 2 assets</w:t>
            </w:r>
          </w:p>
        </w:tc>
        <w:tc>
          <w:tcPr/>
          <w:p>
            <w:pPr>
              <w:pStyle w:val="Compact"/>
              <w:jc w:val="left"/>
            </w:pPr>
            <w:r>
              <w:t xml:space="preserve">Internal</w:t>
            </w:r>
          </w:p>
        </w:tc>
        <w:tc>
          <w:tcPr/>
          <w:p>
            <w:pPr>
              <w:pStyle w:val="Compact"/>
              <w:jc w:val="left"/>
            </w:pPr>
            <w:r>
              <w:t xml:space="preserve">Launch readiness</w:t>
            </w:r>
          </w:p>
        </w:tc>
        <w:tc>
          <w:tcPr/>
          <w:p>
            <w:pPr>
              <w:pStyle w:val="Compact"/>
              <w:jc w:val="left"/>
            </w:pPr>
            <w:r>
              <w:t xml:space="preserve">NT</w:t>
            </w:r>
          </w:p>
        </w:tc>
      </w:tr>
      <w:tr>
        <w:tc>
          <w:tcPr/>
          <w:p>
            <w:pPr>
              <w:pStyle w:val="Compact"/>
              <w:jc w:val="left"/>
            </w:pPr>
            <w:r>
              <w:t xml:space="preserve">Finalize</w:t>
            </w:r>
            <w:r>
              <w:t xml:space="preserve"> </w:t>
            </w:r>
            <w:r>
              <w:t xml:space="preserve">“</w:t>
            </w:r>
            <w:r>
              <w:t xml:space="preserve">OneTrust Escape</w:t>
            </w:r>
            <w:r>
              <w:t xml:space="preserve">”</w:t>
            </w:r>
            <w:r>
              <w:t xml:space="preserve"> </w:t>
            </w:r>
            <w:r>
              <w:t xml:space="preserve">campaign materials</w:t>
            </w:r>
          </w:p>
        </w:tc>
        <w:tc>
          <w:tcPr/>
          <w:p>
            <w:pPr>
              <w:pStyle w:val="Compact"/>
              <w:jc w:val="left"/>
            </w:pPr>
            <w:r>
              <w:t xml:space="preserve">Internal</w:t>
            </w:r>
          </w:p>
        </w:tc>
        <w:tc>
          <w:tcPr/>
          <w:p>
            <w:pPr>
              <w:pStyle w:val="Compact"/>
              <w:jc w:val="left"/>
            </w:pPr>
            <w:r>
              <w:t xml:space="preserve">Week 3 deployment</w:t>
            </w:r>
          </w:p>
        </w:tc>
        <w:tc>
          <w:tcPr/>
          <w:p>
            <w:pPr>
              <w:pStyle w:val="Compact"/>
              <w:jc w:val="left"/>
            </w:pPr>
            <w:r>
              <w:t xml:space="preserve">NT</w:t>
            </w:r>
          </w:p>
        </w:tc>
      </w:tr>
      <w:tr>
        <w:tc>
          <w:tcPr/>
          <w:p>
            <w:pPr>
              <w:pStyle w:val="Compact"/>
              <w:jc w:val="left"/>
            </w:pPr>
            <w:r>
              <w:t xml:space="preserve">Draft CrowdStrike stock split strike content</w:t>
            </w:r>
          </w:p>
        </w:tc>
        <w:tc>
          <w:tcPr/>
          <w:p>
            <w:pPr>
              <w:pStyle w:val="Compact"/>
              <w:jc w:val="left"/>
            </w:pPr>
            <w:r>
              <w:t xml:space="preserve">Internal</w:t>
            </w:r>
          </w:p>
        </w:tc>
        <w:tc>
          <w:tcPr/>
          <w:p>
            <w:pPr>
              <w:pStyle w:val="Compact"/>
              <w:jc w:val="left"/>
            </w:pPr>
            <w:r>
              <w:t xml:space="preserve">July 2–3 deployment</w:t>
            </w:r>
          </w:p>
        </w:tc>
        <w:tc>
          <w:tcPr/>
          <w:p>
            <w:pPr>
              <w:pStyle w:val="Compact"/>
              <w:jc w:val="left"/>
            </w:pPr>
            <w:r>
              <w:t xml:space="preserve">NT</w:t>
            </w:r>
          </w:p>
        </w:tc>
      </w:tr>
      <w:tr>
        <w:tc>
          <w:tcPr/>
          <w:p>
            <w:pPr>
              <w:pStyle w:val="Compact"/>
              <w:jc w:val="left"/>
            </w:pPr>
            <w:r>
              <w:t xml:space="preserve">Confirm AWS Marketplace partnership timeline</w:t>
            </w:r>
          </w:p>
        </w:tc>
        <w:tc>
          <w:tcPr/>
          <w:p>
            <w:pPr>
              <w:pStyle w:val="Compact"/>
              <w:jc w:val="left"/>
            </w:pPr>
            <w:r>
              <w:t xml:space="preserve">Email/AWS</w:t>
            </w:r>
          </w:p>
        </w:tc>
        <w:tc>
          <w:tcPr/>
          <w:p>
            <w:pPr>
              <w:pStyle w:val="Compact"/>
              <w:jc w:val="left"/>
            </w:pPr>
            <w:r>
              <w:t xml:space="preserve">Go-live by June 25</w:t>
            </w:r>
          </w:p>
        </w:tc>
        <w:tc>
          <w:tcPr/>
          <w:p>
            <w:pPr>
              <w:pStyle w:val="Compact"/>
              <w:jc w:val="left"/>
            </w:pPr>
            <w:r>
              <w:t xml:space="preserve">NT</w:t>
            </w:r>
          </w:p>
        </w:tc>
      </w:tr>
    </w:tbl>
    <w:p>
      <w:pPr>
        <w:pStyle w:val="BodyText"/>
      </w:pPr>
      <w:r>
        <w:rPr>
          <w:bCs/>
          <w:b/>
        </w:rPr>
        <w:t xml:space="preserve">Week 2 Success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sov3.ai/compare scans</w:t>
            </w:r>
          </w:p>
        </w:tc>
        <w:tc>
          <w:tcPr/>
          <w:p>
            <w:pPr>
              <w:pStyle w:val="Compact"/>
              <w:jc w:val="left"/>
            </w:pPr>
            <w:r>
              <w:t xml:space="preserve">10,000</w:t>
            </w:r>
          </w:p>
        </w:tc>
        <w:tc>
          <w:tcPr/>
          <w:p>
            <w:pPr>
              <w:pStyle w:val="Compact"/>
              <w:jc w:val="left"/>
            </w:pPr>
            <w:r>
              <w:t xml:space="preserve">Internal analytics</w:t>
            </w:r>
          </w:p>
        </w:tc>
      </w:tr>
      <w:tr>
        <w:tc>
          <w:tcPr/>
          <w:p>
            <w:pPr>
              <w:pStyle w:val="Compact"/>
              <w:jc w:val="left"/>
            </w:pPr>
            <w:r>
              <w:t xml:space="preserve">EU AI Act scanner completions</w:t>
            </w:r>
          </w:p>
        </w:tc>
        <w:tc>
          <w:tcPr/>
          <w:p>
            <w:pPr>
              <w:pStyle w:val="Compact"/>
              <w:jc w:val="left"/>
            </w:pPr>
            <w:r>
              <w:t xml:space="preserve">5,000</w:t>
            </w:r>
          </w:p>
        </w:tc>
        <w:tc>
          <w:tcPr/>
          <w:p>
            <w:pPr>
              <w:pStyle w:val="Compact"/>
              <w:jc w:val="left"/>
            </w:pPr>
            <w:r>
              <w:t xml:space="preserve">Internal analytics</w:t>
            </w:r>
          </w:p>
        </w:tc>
      </w:tr>
      <w:tr>
        <w:tc>
          <w:tcPr/>
          <w:p>
            <w:pPr>
              <w:pStyle w:val="Compact"/>
              <w:jc w:val="left"/>
            </w:pPr>
            <w:r>
              <w:t xml:space="preserve">GitHub stars (PDCA engine)</w:t>
            </w:r>
          </w:p>
        </w:tc>
        <w:tc>
          <w:tcPr/>
          <w:p>
            <w:pPr>
              <w:pStyle w:val="Compact"/>
              <w:jc w:val="left"/>
            </w:pPr>
            <w:r>
              <w:t xml:space="preserve">500</w:t>
            </w:r>
          </w:p>
        </w:tc>
        <w:tc>
          <w:tcPr/>
          <w:p>
            <w:pPr>
              <w:pStyle w:val="Compact"/>
              <w:jc w:val="left"/>
            </w:pPr>
            <w:r>
              <w:t xml:space="preserve">GitHub API</w:t>
            </w:r>
          </w:p>
        </w:tc>
      </w:tr>
      <w:tr>
        <w:tc>
          <w:tcPr/>
          <w:p>
            <w:pPr>
              <w:pStyle w:val="Compact"/>
              <w:jc w:val="left"/>
            </w:pPr>
            <w:r>
              <w:t xml:space="preserve">Webinar registrants</w:t>
            </w:r>
          </w:p>
        </w:tc>
        <w:tc>
          <w:tcPr/>
          <w:p>
            <w:pPr>
              <w:pStyle w:val="Compact"/>
              <w:jc w:val="left"/>
            </w:pPr>
            <w:r>
              <w:t xml:space="preserve">1,000</w:t>
            </w:r>
          </w:p>
        </w:tc>
        <w:tc>
          <w:tcPr/>
          <w:p>
            <w:pPr>
              <w:pStyle w:val="Compact"/>
              <w:jc w:val="left"/>
            </w:pPr>
            <w:r>
              <w:t xml:space="preserve">Zoom/YouTube</w:t>
            </w:r>
          </w:p>
        </w:tc>
      </w:tr>
      <w:tr>
        <w:tc>
          <w:tcPr/>
          <w:p>
            <w:pPr>
              <w:pStyle w:val="Compact"/>
              <w:jc w:val="left"/>
            </w:pPr>
            <w:r>
              <w:t xml:space="preserve">Market report downloads</w:t>
            </w:r>
          </w:p>
        </w:tc>
        <w:tc>
          <w:tcPr/>
          <w:p>
            <w:pPr>
              <w:pStyle w:val="Compact"/>
              <w:jc w:val="left"/>
            </w:pPr>
            <w:r>
              <w:t xml:space="preserve">5,000</w:t>
            </w:r>
          </w:p>
        </w:tc>
        <w:tc>
          <w:tcPr/>
          <w:p>
            <w:pPr>
              <w:pStyle w:val="Compact"/>
              <w:jc w:val="left"/>
            </w:pPr>
            <w:r>
              <w:t xml:space="preserve">Gating platform</w:t>
            </w:r>
          </w:p>
        </w:tc>
      </w:tr>
      <w:tr>
        <w:tc>
          <w:tcPr/>
          <w:p>
            <w:pPr>
              <w:pStyle w:val="Compact"/>
              <w:jc w:val="left"/>
            </w:pPr>
            <w:r>
              <w:t xml:space="preserve">Certification signups (waitlist)</w:t>
            </w:r>
          </w:p>
        </w:tc>
        <w:tc>
          <w:tcPr/>
          <w:p>
            <w:pPr>
              <w:pStyle w:val="Compact"/>
              <w:jc w:val="left"/>
            </w:pPr>
            <w:r>
              <w:t xml:space="preserve">500</w:t>
            </w:r>
          </w:p>
        </w:tc>
        <w:tc>
          <w:tcPr/>
          <w:p>
            <w:pPr>
              <w:pStyle w:val="Compact"/>
              <w:jc w:val="left"/>
            </w:pPr>
            <w:r>
              <w:t xml:space="preserve">Email list</w:t>
            </w:r>
          </w:p>
        </w:tc>
      </w:tr>
      <w:tr>
        <w:tc>
          <w:tcPr/>
          <w:p>
            <w:pPr>
              <w:pStyle w:val="Compact"/>
              <w:jc w:val="left"/>
            </w:pPr>
            <w:r>
              <w:t xml:space="preserve">Press mentions</w:t>
            </w:r>
          </w:p>
        </w:tc>
        <w:tc>
          <w:tcPr/>
          <w:p>
            <w:pPr>
              <w:pStyle w:val="Compact"/>
              <w:jc w:val="left"/>
            </w:pPr>
            <w:r>
              <w:t xml:space="preserve">3+ articles</w:t>
            </w:r>
          </w:p>
        </w:tc>
        <w:tc>
          <w:tcPr/>
          <w:p>
            <w:pPr>
              <w:pStyle w:val="Compact"/>
              <w:jc w:val="left"/>
            </w:pPr>
            <w:r>
              <w:t xml:space="preserve">Google Alerts</w:t>
            </w:r>
          </w:p>
        </w:tc>
      </w:tr>
    </w:tbl>
    <w:p>
      <w:r>
        <w:pict>
          <v:rect style="width:0;height:1.5pt" o:hralign="center" o:hrstd="t" o:hr="t"/>
        </w:pict>
      </w:r>
    </w:p>
    <w:bookmarkEnd w:id="85"/>
    <w:bookmarkEnd w:id="86"/>
    <w:bookmarkStart w:id="93" w:name="week-3-actions-june-2228"/>
    <w:p>
      <w:pPr>
        <w:pStyle w:val="Heading3"/>
      </w:pPr>
      <w:r>
        <w:t xml:space="preserve">8.3 Week 3 Actions (June 22–28)</w:t>
      </w:r>
    </w:p>
    <w:p>
      <w:pPr>
        <w:pStyle w:val="FirstParagraph"/>
      </w:pPr>
      <w:r>
        <w:rPr>
          <w:bCs/>
          <w:b/>
        </w:rPr>
        <w:t xml:space="preserve">Theme:</w:t>
      </w:r>
      <w:r>
        <w:t xml:space="preserve"> </w:t>
      </w:r>
      <w:r>
        <w:rPr>
          <w:iCs/>
          <w:i/>
        </w:rPr>
        <w:t xml:space="preserve">Flooding the Zone</w:t>
      </w:r>
    </w:p>
    <w:p>
      <w:pPr>
        <w:pStyle w:val="BodyText"/>
      </w:pPr>
      <w:r>
        <w:t xml:space="preserve">Week 3 is maximum intensity. Every channel fires simultaneously. Competitors must react to SOV3’s tempo rather than executing their own plans.</w:t>
      </w:r>
    </w:p>
    <w:bookmarkStart w:id="87" w:name="monday-june-22-declare-the-pricing-war"/>
    <w:p>
      <w:pPr>
        <w:pStyle w:val="Heading4"/>
      </w:pPr>
      <w:r>
        <w:t xml:space="preserve">Monday, June 22: Declare the Pricing War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pricing page: sov3.ai/pricing</w:t>
            </w:r>
          </w:p>
        </w:tc>
        <w:tc>
          <w:tcPr/>
          <w:p>
            <w:pPr>
              <w:pStyle w:val="Compact"/>
              <w:jc w:val="left"/>
            </w:pPr>
            <w:r>
              <w:t xml:space="preserve">Website</w:t>
            </w:r>
          </w:p>
        </w:tc>
        <w:tc>
          <w:tcPr/>
          <w:p>
            <w:pPr>
              <w:pStyle w:val="Compact"/>
              <w:jc w:val="left"/>
            </w:pPr>
            <w:r>
              <w:t xml:space="preserve">Public</w:t>
            </w:r>
          </w:p>
        </w:tc>
        <w:tc>
          <w:tcPr/>
          <w:p>
            <w:pPr>
              <w:pStyle w:val="Compact"/>
              <w:jc w:val="left"/>
            </w:pPr>
            <w:r>
              <w:t xml:space="preserve">NT + Dev</w:t>
            </w:r>
          </w:p>
        </w:tc>
      </w:tr>
      <w:tr>
        <w:tc>
          <w:tcPr/>
          <w:p>
            <w:pPr>
              <w:pStyle w:val="Compact"/>
              <w:jc w:val="left"/>
            </w:pPr>
            <w:r>
              <w:t xml:space="preserve">Post:</w:t>
            </w:r>
            <w:r>
              <w:t xml:space="preserve"> </w:t>
            </w:r>
            <w:r>
              <w:t xml:space="preserve">“</w:t>
            </w:r>
            <w:r>
              <w:t xml:space="preserve">Why We’re Publishing Our Pricing (And Why Our Competitors Won’t)</w:t>
            </w:r>
            <w:r>
              <w:t xml:space="preserve">”</w:t>
            </w:r>
          </w:p>
        </w:tc>
        <w:tc>
          <w:tcPr/>
          <w:p>
            <w:pPr>
              <w:pStyle w:val="Compact"/>
              <w:jc w:val="left"/>
            </w:pPr>
            <w:r>
              <w:t xml:space="preserve">All channels</w:t>
            </w:r>
          </w:p>
        </w:tc>
        <w:tc>
          <w:tcPr/>
          <w:p>
            <w:pPr>
              <w:pStyle w:val="Compact"/>
              <w:jc w:val="left"/>
            </w:pPr>
            <w:r>
              <w:t xml:space="preserve">Viral target</w:t>
            </w:r>
          </w:p>
        </w:tc>
        <w:tc>
          <w:tcPr/>
          <w:p>
            <w:pPr>
              <w:pStyle w:val="Compact"/>
              <w:jc w:val="left"/>
            </w:pPr>
            <w:r>
              <w:t xml:space="preserve">NT</w:t>
            </w:r>
          </w:p>
        </w:tc>
      </w:tr>
      <w:tr>
        <w:tc>
          <w:tcPr/>
          <w:p>
            <w:pPr>
              <w:pStyle w:val="Compact"/>
              <w:jc w:val="left"/>
            </w:pPr>
            <w:r>
              <w:t xml:space="preserve">Launch</w:t>
            </w:r>
            <w:r>
              <w:t xml:space="preserve"> </w:t>
            </w:r>
            <w:r>
              <w:t xml:space="preserve">“</w:t>
            </w:r>
            <w:r>
              <w:t xml:space="preserve">OneTrust Escape</w:t>
            </w:r>
            <w:r>
              <w:t xml:space="preserve">”</w:t>
            </w:r>
            <w:r>
              <w:t xml:space="preserve"> </w:t>
            </w:r>
            <w:r>
              <w:t xml:space="preserve">campaign landing page</w:t>
            </w:r>
          </w:p>
        </w:tc>
        <w:tc>
          <w:tcPr/>
          <w:p>
            <w:pPr>
              <w:pStyle w:val="Compact"/>
              <w:jc w:val="left"/>
            </w:pPr>
            <w:r>
              <w:t xml:space="preserve">sov3.ai/escape</w:t>
            </w:r>
          </w:p>
        </w:tc>
        <w:tc>
          <w:tcPr/>
          <w:p>
            <w:pPr>
              <w:pStyle w:val="Compact"/>
              <w:jc w:val="left"/>
            </w:pPr>
            <w:r>
              <w:t xml:space="preserve">Conversion target</w:t>
            </w:r>
          </w:p>
        </w:tc>
        <w:tc>
          <w:tcPr/>
          <w:p>
            <w:pPr>
              <w:pStyle w:val="Compact"/>
              <w:jc w:val="left"/>
            </w:pPr>
            <w:r>
              <w:t xml:space="preserve">NT + Dev</w:t>
            </w:r>
          </w:p>
        </w:tc>
      </w:tr>
    </w:tbl>
    <w:p>
      <w:pPr>
        <w:pStyle w:val="BodyText"/>
      </w:pPr>
      <w:r>
        <w:rPr>
          <w:bCs/>
          <w:b/>
        </w:rPr>
        <w:t xml:space="preserve">The Pricing Page:</w:t>
      </w:r>
      <w:r>
        <w:t xml:space="preserve"> </w:t>
      </w:r>
      <w:r>
        <w:t xml:space="preserve">Three tiers visible: Starter ($99/month), Professional ($499/month), Enterprise ($1,999/month). No</w:t>
      </w:r>
      <w:r>
        <w:t xml:space="preserve"> </w:t>
      </w:r>
      <w:r>
        <w:t xml:space="preserve">“</w:t>
      </w:r>
      <w:r>
        <w:t xml:space="preserve">contact sales.</w:t>
      </w:r>
      <w:r>
        <w:t xml:space="preserve">”</w:t>
      </w:r>
      <w:r>
        <w:t xml:space="preserve"> </w:t>
      </w:r>
      <w:r>
        <w:t xml:space="preserve">No</w:t>
      </w:r>
      <w:r>
        <w:t xml:space="preserve"> </w:t>
      </w:r>
      <w:r>
        <w:t xml:space="preserve">“</w:t>
      </w:r>
      <w:r>
        <w:t xml:space="preserve">custom pricing.</w:t>
      </w:r>
      <w:r>
        <w:t xml:space="preserve">”</w:t>
      </w:r>
      <w:r>
        <w:t xml:space="preserve"> </w:t>
      </w:r>
      <w:r>
        <w:t xml:space="preserve">Every competitor’s pricing displayed alongside as</w:t>
      </w:r>
      <w:r>
        <w:t xml:space="preserve"> </w:t>
      </w:r>
      <w:r>
        <w:t xml:space="preserve">“</w:t>
      </w:r>
      <w:r>
        <w:t xml:space="preserve">Contact Sales — estimated $50K–$150K/year</w:t>
      </w:r>
      <w:r>
        <w:t xml:space="preserve">”</w:t>
      </w:r>
      <w:r>
        <w:t xml:space="preserve"> </w:t>
      </w:r>
      <w:r>
        <w:t xml:space="preserve">with source citations. The pricing transparency arbitrage</w:t>
      </w:r>
      <w:r>
        <w:rPr>
          <w:vertAlign w:val="superscript"/>
        </w:rPr>
        <w:t xml:space="preserve">26</w:t>
      </w:r>
      <w:r>
        <w:t xml:space="preserve">made visual.</w:t>
      </w:r>
    </w:p>
    <w:p>
      <w:pPr>
        <w:pStyle w:val="BodyText"/>
      </w:pPr>
      <w:r>
        <w:rPr>
          <w:bCs/>
          <w:b/>
        </w:rPr>
        <w:t xml:space="preserve">The OneTrust Escape Page:</w:t>
      </w:r>
      <w:r>
        <w:t xml:space="preserve"> </w:t>
      </w:r>
      <w:r>
        <w:t xml:space="preserve">Targeted landing page for OneTrust customers. Headline:</w:t>
      </w:r>
      <w:r>
        <w:t xml:space="preserve"> </w:t>
      </w:r>
      <w:r>
        <w:rPr>
          <w:iCs/>
          <w:i/>
        </w:rPr>
        <w:t xml:space="preserve">“</w:t>
      </w:r>
      <w:r>
        <w:rPr>
          <w:iCs/>
          <w:i/>
        </w:rPr>
        <w:t xml:space="preserve">Trapped in a OneTrust contract? We’ll buy out your remaining term.</w:t>
      </w:r>
      <w:r>
        <w:rPr>
          <w:iCs/>
          <w:i/>
        </w:rPr>
        <w:t xml:space="preserve">”</w:t>
      </w:r>
      <w:r>
        <w:t xml:space="preserve"> </w:t>
      </w:r>
      <w:r>
        <w:t xml:space="preserve">Offer: SOV3 credits equal to 6 months of remaining OneTrust contract value. Calculator tool: input current OneTrust annual spend → see SOV3 savings. Include: migration timeline (48 hours vs 2.5–9 months), Trustpilot comparison (SOV3 vs OneTrust 1.5/5)</w:t>
      </w:r>
      <w:r>
        <w:rPr>
          <w:vertAlign w:val="superscript"/>
        </w:rPr>
        <w:t xml:space="preserve">14</w:t>
      </w:r>
      <w:r>
        <w:t xml:space="preserve">, feature parity checklist.</w:t>
      </w:r>
    </w:p>
    <w:bookmarkEnd w:id="87"/>
    <w:bookmarkStart w:id="88" w:name="X0a6e96dd39d22c32ca21613323bc0fc1f25f343"/>
    <w:p>
      <w:pPr>
        <w:pStyle w:val="Heading4"/>
      </w:pPr>
      <w:r>
        <w:t xml:space="preserve">Tuesday, June 23: Launch</w:t>
      </w:r>
      <w:r>
        <w:t xml:space="preserve"> </w:t>
      </w:r>
      <w:r>
        <w:t xml:space="preserve">“</w:t>
      </w:r>
      <w:r>
        <w:t xml:space="preserve">Join the Dragon</w:t>
      </w:r>
      <w:r>
        <w:t xml:space="preserve">”</w:t>
      </w:r>
      <w:r>
        <w:t xml:space="preserve"> </w:t>
      </w:r>
      <w:r>
        <w:t xml:space="preserve">Recruiting</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Join the Dragon</w:t>
            </w:r>
            <w:r>
              <w:t xml:space="preserve">”</w:t>
            </w:r>
            <w:r>
              <w:t xml:space="preserve"> </w:t>
            </w:r>
            <w:r>
              <w:t xml:space="preserve">careers page</w:t>
            </w:r>
          </w:p>
        </w:tc>
        <w:tc>
          <w:tcPr/>
          <w:p>
            <w:pPr>
              <w:pStyle w:val="Compact"/>
              <w:jc w:val="left"/>
            </w:pPr>
            <w:r>
              <w:t xml:space="preserve">sov3.ai/dragon</w:t>
            </w:r>
          </w:p>
        </w:tc>
        <w:tc>
          <w:tcPr/>
          <w:p>
            <w:pPr>
              <w:pStyle w:val="Compact"/>
              <w:jc w:val="left"/>
            </w:pPr>
            <w:r>
              <w:t xml:space="preserve">50 applications</w:t>
            </w:r>
          </w:p>
        </w:tc>
        <w:tc>
          <w:tcPr/>
          <w:p>
            <w:pPr>
              <w:pStyle w:val="Compact"/>
              <w:jc w:val="left"/>
            </w:pPr>
            <w:r>
              <w:t xml:space="preserve">NT</w:t>
            </w:r>
          </w:p>
        </w:tc>
      </w:tr>
      <w:tr>
        <w:tc>
          <w:tcPr/>
          <w:p>
            <w:pPr>
              <w:pStyle w:val="Compact"/>
              <w:jc w:val="left"/>
            </w:pPr>
            <w:r>
              <w:t xml:space="preserve">Targeted LinkedIn outreach to disaffected competitor employees</w:t>
            </w:r>
          </w:p>
        </w:tc>
        <w:tc>
          <w:tcPr/>
          <w:p>
            <w:pPr>
              <w:pStyle w:val="Compact"/>
              <w:jc w:val="left"/>
            </w:pPr>
            <w:r>
              <w:t xml:space="preserve">LinkedIn</w:t>
            </w:r>
          </w:p>
        </w:tc>
        <w:tc>
          <w:tcPr/>
          <w:p>
            <w:pPr>
              <w:pStyle w:val="Compact"/>
              <w:jc w:val="left"/>
            </w:pPr>
            <w:r>
              <w:t xml:space="preserve">50 engineers</w:t>
            </w:r>
          </w:p>
        </w:tc>
        <w:tc>
          <w:tcPr/>
          <w:p>
            <w:pPr>
              <w:pStyle w:val="Compact"/>
              <w:jc w:val="left"/>
            </w:pPr>
            <w:r>
              <w:t xml:space="preserve">NT</w:t>
            </w:r>
          </w:p>
        </w:tc>
      </w:tr>
      <w:tr>
        <w:tc>
          <w:tcPr/>
          <w:p>
            <w:pPr>
              <w:pStyle w:val="Compact"/>
              <w:jc w:val="left"/>
            </w:pPr>
            <w:r>
              <w:t xml:space="preserve">Post on HN</w:t>
            </w:r>
            <w:r>
              <w:t xml:space="preserve"> </w:t>
            </w:r>
            <w:r>
              <w:t xml:space="preserve">“</w:t>
            </w:r>
            <w:r>
              <w:t xml:space="preserve">Who Is Hiring</w:t>
            </w:r>
            <w:r>
              <w:t xml:space="preserve">”</w:t>
            </w:r>
            <w:r>
              <w:t xml:space="preserve"> </w:t>
            </w:r>
            <w:r>
              <w:t xml:space="preserve">thread</w:t>
            </w:r>
          </w:p>
        </w:tc>
        <w:tc>
          <w:tcPr/>
          <w:p>
            <w:pPr>
              <w:pStyle w:val="Compact"/>
              <w:jc w:val="left"/>
            </w:pPr>
            <w:r>
              <w:t xml:space="preserve">HN</w:t>
            </w:r>
          </w:p>
        </w:tc>
        <w:tc>
          <w:tcPr/>
          <w:p>
            <w:pPr>
              <w:pStyle w:val="Compact"/>
              <w:jc w:val="left"/>
            </w:pPr>
            <w:r>
              <w:t xml:space="preserve">Top comment</w:t>
            </w:r>
          </w:p>
        </w:tc>
        <w:tc>
          <w:tcPr/>
          <w:p>
            <w:pPr>
              <w:pStyle w:val="Compact"/>
              <w:jc w:val="left"/>
            </w:pPr>
            <w:r>
              <w:t xml:space="preserve">NT</w:t>
            </w:r>
          </w:p>
        </w:tc>
      </w:tr>
    </w:tbl>
    <w:p>
      <w:pPr>
        <w:pStyle w:val="BodyText"/>
      </w:pPr>
      <w:r>
        <w:rPr>
          <w:bCs/>
          <w:b/>
        </w:rPr>
        <w:t xml:space="preserve">The Recruiting Narrative:</w:t>
      </w:r>
      <w:r>
        <w:t xml:space="preserve"> </w:t>
      </w:r>
      <w:r>
        <w:t xml:space="preserve">Frame SOV3 as the insurgent force in AI governance — not a startup, a movement.</w:t>
      </w:r>
      <w:r>
        <w:t xml:space="preserve"> </w:t>
      </w:r>
      <w:r>
        <w:t xml:space="preserve">“</w:t>
      </w:r>
      <w:r>
        <w:t xml:space="preserve">Every major AI governance vendor was acquired or inflated. We’re building the real thing.</w:t>
      </w:r>
      <w:r>
        <w:t xml:space="preserve">”</w:t>
      </w:r>
      <w:r>
        <w:t xml:space="preserve"> </w:t>
      </w:r>
      <w:r>
        <w:t xml:space="preserve">Target profiles: engineers at acquired companies (Protect AI → Palo Alto, Holistic AI → OneTrust) who are 6–12 months post-acquisition and realizing the integration isn’t what was promised. The</w:t>
      </w:r>
      <w:r>
        <w:t xml:space="preserve"> </w:t>
      </w:r>
      <w:r>
        <w:t xml:space="preserve">“</w:t>
      </w:r>
      <w:r>
        <w:t xml:space="preserve">built, not bought</w:t>
      </w:r>
      <w:r>
        <w:t xml:space="preserve">”</w:t>
      </w:r>
      <w:r>
        <w:t xml:space="preserve"> </w:t>
      </w:r>
      <w:r>
        <w:t xml:space="preserve">narrative</w:t>
      </w:r>
      <w:r>
        <w:rPr>
          <w:vertAlign w:val="superscript"/>
        </w:rPr>
        <w:t xml:space="preserve">8</w:t>
      </w:r>
      <w:r>
        <w:t xml:space="preserve">as employer branding.</w:t>
      </w:r>
    </w:p>
    <w:bookmarkEnd w:id="88"/>
    <w:bookmarkStart w:id="89" w:name="Xa178a56acad02c157a6cb6be040de65fba4fbc6"/>
    <w:p>
      <w:pPr>
        <w:pStyle w:val="Heading4"/>
      </w:pPr>
      <w:r>
        <w:t xml:space="preserve">Wednesday, June 24: Lock AWS Marketplace Partnership</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Finalize AWS Marketplace listing</w:t>
            </w:r>
          </w:p>
        </w:tc>
        <w:tc>
          <w:tcPr/>
          <w:p>
            <w:pPr>
              <w:pStyle w:val="Compact"/>
              <w:jc w:val="left"/>
            </w:pPr>
            <w:r>
              <w:t xml:space="preserve">AWS Partner Portal</w:t>
            </w:r>
          </w:p>
        </w:tc>
        <w:tc>
          <w:tcPr/>
          <w:p>
            <w:pPr>
              <w:pStyle w:val="Compact"/>
              <w:jc w:val="left"/>
            </w:pPr>
            <w:r>
              <w:t xml:space="preserve">Live by June 25</w:t>
            </w:r>
          </w:p>
        </w:tc>
        <w:tc>
          <w:tcPr/>
          <w:p>
            <w:pPr>
              <w:pStyle w:val="Compact"/>
              <w:jc w:val="left"/>
            </w:pPr>
            <w:r>
              <w:t xml:space="preserve">NT</w:t>
            </w:r>
          </w:p>
        </w:tc>
      </w:tr>
      <w:tr>
        <w:tc>
          <w:tcPr/>
          <w:p>
            <w:pPr>
              <w:pStyle w:val="Compact"/>
              <w:jc w:val="left"/>
            </w:pPr>
            <w:r>
              <w:t xml:space="preserve">Publish</w:t>
            </w:r>
            <w:r>
              <w:t xml:space="preserve"> </w:t>
            </w:r>
            <w:r>
              <w:t xml:space="preserve">“</w:t>
            </w:r>
            <w:r>
              <w:t xml:space="preserve">Deploy SOV3 on AWS in 5 Minutes</w:t>
            </w:r>
            <w:r>
              <w:t xml:space="preserve">”</w:t>
            </w:r>
            <w:r>
              <w:t xml:space="preserve"> </w:t>
            </w:r>
            <w:r>
              <w:t xml:space="preserve">tutorial</w:t>
            </w:r>
          </w:p>
        </w:tc>
        <w:tc>
          <w:tcPr/>
          <w:p>
            <w:pPr>
              <w:pStyle w:val="Compact"/>
              <w:jc w:val="left"/>
            </w:pPr>
            <w:r>
              <w:t xml:space="preserve">sov3.ai/docs</w:t>
            </w:r>
          </w:p>
        </w:tc>
        <w:tc>
          <w:tcPr/>
          <w:p>
            <w:pPr>
              <w:pStyle w:val="Compact"/>
              <w:jc w:val="left"/>
            </w:pPr>
            <w:r>
              <w:t xml:space="preserve">Self-serve onboarding</w:t>
            </w:r>
          </w:p>
        </w:tc>
        <w:tc>
          <w:tcPr/>
          <w:p>
            <w:pPr>
              <w:pStyle w:val="Compact"/>
              <w:jc w:val="left"/>
            </w:pPr>
            <w:r>
              <w:t xml:space="preserve">NT + Dev</w:t>
            </w:r>
          </w:p>
        </w:tc>
      </w:tr>
      <w:tr>
        <w:tc>
          <w:tcPr/>
          <w:p>
            <w:pPr>
              <w:pStyle w:val="Compact"/>
              <w:jc w:val="left"/>
            </w:pPr>
            <w:r>
              <w:t xml:space="preserve">Announce AWS partnership</w:t>
            </w:r>
          </w:p>
        </w:tc>
        <w:tc>
          <w:tcPr/>
          <w:p>
            <w:pPr>
              <w:pStyle w:val="Compact"/>
              <w:jc w:val="left"/>
            </w:pPr>
            <w:r>
              <w:t xml:space="preserve">Press release + social</w:t>
            </w:r>
          </w:p>
        </w:tc>
        <w:tc>
          <w:tcPr/>
          <w:p>
            <w:pPr>
              <w:pStyle w:val="Compact"/>
              <w:jc w:val="left"/>
            </w:pPr>
            <w:r>
              <w:t xml:space="preserve">Credibility signal</w:t>
            </w:r>
          </w:p>
        </w:tc>
        <w:tc>
          <w:tcPr/>
          <w:p>
            <w:pPr>
              <w:pStyle w:val="Compact"/>
              <w:jc w:val="left"/>
            </w:pPr>
            <w:r>
              <w:t xml:space="preserve">NT</w:t>
            </w:r>
          </w:p>
        </w:tc>
      </w:tr>
    </w:tbl>
    <w:p>
      <w:pPr>
        <w:pStyle w:val="BodyText"/>
      </w:pPr>
      <w:r>
        <w:rPr>
          <w:bCs/>
          <w:b/>
        </w:rPr>
        <w:t xml:space="preserve">AWS Marketplace Strategy:</w:t>
      </w:r>
      <w:r>
        <w:t xml:space="preserve"> </w:t>
      </w:r>
      <w:r>
        <w:t xml:space="preserve">List SOV3 Professional tier at $499/month with AWS credits acceptance. This opens the entire AWS customer base (2M+ active customers) to self-serve discovery. The</w:t>
      </w:r>
      <w:r>
        <w:t xml:space="preserve"> </w:t>
      </w:r>
      <w:r>
        <w:t xml:space="preserve">“</w:t>
      </w:r>
      <w:r>
        <w:t xml:space="preserve">deploy in 5 minutes</w:t>
      </w:r>
      <w:r>
        <w:t xml:space="preserve">”</w:t>
      </w:r>
      <w:r>
        <w:t xml:space="preserve"> </w:t>
      </w:r>
      <w:r>
        <w:t xml:space="preserve">tutorial creates a low-friction onboarding path that no enterprise GRC competitor can match — OneTrust requires 2.5–9 months implementation</w:t>
      </w:r>
      <w:r>
        <w:rPr>
          <w:vertAlign w:val="superscript"/>
        </w:rPr>
        <w:t xml:space="preserve">14</w:t>
      </w:r>
      <w:r>
        <w:t xml:space="preserve">.</w:t>
      </w:r>
    </w:p>
    <w:bookmarkEnd w:id="89"/>
    <w:bookmarkStart w:id="90" w:name="X176b593c63ae74f6759dcf0be23ff447800ae02"/>
    <w:p>
      <w:pPr>
        <w:pStyle w:val="Heading4"/>
      </w:pPr>
      <w:r>
        <w:t xml:space="preserve">Thursday, June 25: Open Migration Floodgates</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Launch automated migration tool from 5 competitors</w:t>
            </w:r>
          </w:p>
        </w:tc>
        <w:tc>
          <w:tcPr/>
          <w:p>
            <w:pPr>
              <w:pStyle w:val="Compact"/>
              <w:jc w:val="left"/>
            </w:pPr>
            <w:r>
              <w:t xml:space="preserve">sov3.ai/migrate</w:t>
            </w:r>
          </w:p>
        </w:tc>
        <w:tc>
          <w:tcPr/>
          <w:p>
            <w:pPr>
              <w:pStyle w:val="Compact"/>
              <w:jc w:val="left"/>
            </w:pPr>
            <w:r>
              <w:t xml:space="preserve">100 migrations attempted</w:t>
            </w:r>
          </w:p>
        </w:tc>
        <w:tc>
          <w:tcPr/>
          <w:p>
            <w:pPr>
              <w:pStyle w:val="Compact"/>
              <w:jc w:val="left"/>
            </w:pPr>
            <w:r>
              <w:t xml:space="preserve">NT + Dev</w:t>
            </w:r>
          </w:p>
        </w:tc>
      </w:tr>
      <w:tr>
        <w:tc>
          <w:tcPr/>
          <w:p>
            <w:pPr>
              <w:pStyle w:val="Compact"/>
              <w:jc w:val="left"/>
            </w:pPr>
            <w:r>
              <w:t xml:space="preserve">Publish migration guides for each competitor</w:t>
            </w:r>
          </w:p>
        </w:tc>
        <w:tc>
          <w:tcPr/>
          <w:p>
            <w:pPr>
              <w:pStyle w:val="Compact"/>
              <w:jc w:val="left"/>
            </w:pPr>
            <w:r>
              <w:t xml:space="preserve">sov3.ai/blog</w:t>
            </w:r>
          </w:p>
        </w:tc>
        <w:tc>
          <w:tcPr/>
          <w:p>
            <w:pPr>
              <w:pStyle w:val="Compact"/>
              <w:jc w:val="left"/>
            </w:pPr>
            <w:r>
              <w:t xml:space="preserve">SEO + support</w:t>
            </w:r>
          </w:p>
        </w:tc>
        <w:tc>
          <w:tcPr/>
          <w:p>
            <w:pPr>
              <w:pStyle w:val="Compact"/>
              <w:jc w:val="left"/>
            </w:pPr>
            <w:r>
              <w:t xml:space="preserve">NT</w:t>
            </w:r>
          </w:p>
        </w:tc>
      </w:tr>
      <w:tr>
        <w:tc>
          <w:tcPr/>
          <w:p>
            <w:pPr>
              <w:pStyle w:val="Compact"/>
              <w:jc w:val="left"/>
            </w:pPr>
            <w:r>
              <w:t xml:space="preserve">Launch retargeting campaign targeting competitor website visitors</w:t>
            </w:r>
          </w:p>
        </w:tc>
        <w:tc>
          <w:tcPr/>
          <w:p>
            <w:pPr>
              <w:pStyle w:val="Compact"/>
              <w:jc w:val="left"/>
            </w:pPr>
            <w:r>
              <w:t xml:space="preserve">Google Ads</w:t>
            </w:r>
          </w:p>
        </w:tc>
        <w:tc>
          <w:tcPr/>
          <w:p>
            <w:pPr>
              <w:pStyle w:val="Compact"/>
              <w:jc w:val="left"/>
            </w:pPr>
            <w:r>
              <w:t xml:space="preserve">10,000 impressions</w:t>
            </w:r>
          </w:p>
        </w:tc>
        <w:tc>
          <w:tcPr/>
          <w:p>
            <w:pPr>
              <w:pStyle w:val="Compact"/>
              <w:jc w:val="left"/>
            </w:pPr>
            <w:r>
              <w:t xml:space="preserve">NT</w:t>
            </w:r>
          </w:p>
        </w:tc>
      </w:tr>
    </w:tbl>
    <w:p>
      <w:pPr>
        <w:pStyle w:val="BodyText"/>
      </w:pPr>
      <w:r>
        <w:rPr>
          <w:bCs/>
          <w:b/>
        </w:rPr>
        <w:t xml:space="preserve">Migration Targets (in priority order):</w:t>
      </w:r>
      <w:r>
        <w:t xml:space="preserve"> </w:t>
      </w:r>
      <w:r>
        <w:t xml:space="preserve">1. OneTrust — largest customer base, highest dissatisfaction</w:t>
      </w:r>
      <w:r>
        <w:rPr>
          <w:vertAlign w:val="superscript"/>
        </w:rPr>
        <w:t xml:space="preserve">14</w:t>
      </w:r>
      <w:r>
        <w:t xml:space="preserve">2. Holistic AI — newly acquired, integration uncertain</w:t>
      </w:r>
      <w:r>
        <w:t xml:space="preserve"> </w:t>
      </w:r>
      <w:r>
        <w:t xml:space="preserve">3. CrowdStrike — security credibility damaged by CVE-2026-40050</w:t>
      </w:r>
      <w:r>
        <w:rPr>
          <w:vertAlign w:val="superscript"/>
        </w:rPr>
        <w:t xml:space="preserve">9</w:t>
      </w:r>
      <w:r>
        <w:t xml:space="preserve">4. IBM OpenPages — complex, expensive, slow</w:t>
      </w:r>
      <w:r>
        <w:t xml:space="preserve"> </w:t>
      </w:r>
      <w:r>
        <w:t xml:space="preserve">5. Microsoft Purview — bundled, not purpose-built</w:t>
      </w:r>
    </w:p>
    <w:p>
      <w:pPr>
        <w:pStyle w:val="BodyText"/>
      </w:pPr>
      <w:r>
        <w:rPr>
          <w:bCs/>
          <w:b/>
        </w:rPr>
        <w:t xml:space="preserve">The Migration Tool:</w:t>
      </w:r>
      <w:r>
        <w:t xml:space="preserve"> </w:t>
      </w:r>
      <w:r>
        <w:t xml:space="preserve">Upload competitor export file → receive SOV3-importable configuration. 5-minute setup. Before/after comparison generated automatically. Shareable on social media.</w:t>
      </w:r>
    </w:p>
    <w:bookmarkEnd w:id="90"/>
    <w:bookmarkStart w:id="91" w:name="Xf759fe31418b9acc1740a12fbd94d88a5658c1c"/>
    <w:p>
      <w:pPr>
        <w:pStyle w:val="Heading4"/>
      </w:pPr>
      <w:r>
        <w:t xml:space="preserve">Friday, June 26: Begin</w:t>
      </w:r>
      <w:r>
        <w:t xml:space="preserve"> </w:t>
      </w:r>
      <w:r>
        <w:t xml:space="preserve">“</w:t>
      </w:r>
      <w:r>
        <w:t xml:space="preserve">Summer of Insecurity</w:t>
      </w:r>
      <w:r>
        <w:t xml:space="preserve">”</w:t>
      </w:r>
      <w:r>
        <w:t xml:space="preserve"> </w:t>
      </w:r>
      <w:r>
        <w:t xml:space="preserve">Campaign</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first</w:t>
            </w:r>
            <w:r>
              <w:t xml:space="preserve"> </w:t>
            </w:r>
            <w:r>
              <w:t xml:space="preserve">“</w:t>
            </w:r>
            <w:r>
              <w:t xml:space="preserve">Summer of Insecurity</w:t>
            </w:r>
            <w:r>
              <w:t xml:space="preserve">”</w:t>
            </w:r>
            <w:r>
              <w:t xml:space="preserve"> </w:t>
            </w:r>
            <w:r>
              <w:t xml:space="preserve">blog post</w:t>
            </w:r>
          </w:p>
        </w:tc>
        <w:tc>
          <w:tcPr/>
          <w:p>
            <w:pPr>
              <w:pStyle w:val="Compact"/>
              <w:jc w:val="left"/>
            </w:pPr>
            <w:r>
              <w:t xml:space="preserve">sov3.ai/blog</w:t>
            </w:r>
          </w:p>
        </w:tc>
        <w:tc>
          <w:tcPr/>
          <w:p>
            <w:pPr>
              <w:pStyle w:val="Compact"/>
              <w:jc w:val="left"/>
            </w:pPr>
            <w:r>
              <w:t xml:space="preserve">10,000 reads</w:t>
            </w:r>
          </w:p>
        </w:tc>
        <w:tc>
          <w:tcPr/>
          <w:p>
            <w:pPr>
              <w:pStyle w:val="Compact"/>
              <w:jc w:val="left"/>
            </w:pPr>
            <w:r>
              <w:t xml:space="preserve">NT</w:t>
            </w:r>
          </w:p>
        </w:tc>
      </w:tr>
      <w:tr>
        <w:tc>
          <w:tcPr/>
          <w:p>
            <w:pPr>
              <w:pStyle w:val="Compact"/>
              <w:jc w:val="left"/>
            </w:pPr>
            <w:r>
              <w:t xml:space="preserve">Target: Microsoft Purview security gaps</w:t>
            </w:r>
          </w:p>
        </w:tc>
        <w:tc>
          <w:tcPr/>
          <w:p>
            <w:pPr>
              <w:pStyle w:val="Compact"/>
              <w:jc w:val="left"/>
            </w:pPr>
            <w:r>
              <w:t xml:space="preserve">All channels</w:t>
            </w:r>
          </w:p>
        </w:tc>
        <w:tc>
          <w:tcPr/>
          <w:p>
            <w:pPr>
              <w:pStyle w:val="Compact"/>
              <w:jc w:val="left"/>
            </w:pPr>
            <w:r>
              <w:t xml:space="preserve">Microsoft customers</w:t>
            </w:r>
          </w:p>
        </w:tc>
        <w:tc>
          <w:tcPr/>
          <w:p>
            <w:pPr>
              <w:pStyle w:val="Compact"/>
              <w:jc w:val="left"/>
            </w:pPr>
            <w:r>
              <w:t xml:space="preserve">NT</w:t>
            </w:r>
          </w:p>
        </w:tc>
      </w:tr>
      <w:tr>
        <w:tc>
          <w:tcPr/>
          <w:p>
            <w:pPr>
              <w:pStyle w:val="Compact"/>
              <w:jc w:val="left"/>
            </w:pPr>
            <w:r>
              <w:t xml:space="preserve">Schedule 10 days of pre-launch social content</w:t>
            </w:r>
          </w:p>
        </w:tc>
        <w:tc>
          <w:tcPr/>
          <w:p>
            <w:pPr>
              <w:pStyle w:val="Compact"/>
              <w:jc w:val="left"/>
            </w:pPr>
            <w:r>
              <w:t xml:space="preserve">Buffer/Hootsuite</w:t>
            </w:r>
          </w:p>
        </w:tc>
        <w:tc>
          <w:tcPr/>
          <w:p>
            <w:pPr>
              <w:pStyle w:val="Compact"/>
              <w:jc w:val="left"/>
            </w:pPr>
            <w:r>
              <w:t xml:space="preserve">Automated posting</w:t>
            </w:r>
          </w:p>
        </w:tc>
        <w:tc>
          <w:tcPr/>
          <w:p>
            <w:pPr>
              <w:pStyle w:val="Compact"/>
              <w:jc w:val="left"/>
            </w:pPr>
            <w:r>
              <w:t xml:space="preserve">NT</w:t>
            </w:r>
          </w:p>
        </w:tc>
      </w:tr>
    </w:tbl>
    <w:p>
      <w:pPr>
        <w:pStyle w:val="BodyText"/>
      </w:pPr>
      <w:r>
        <w:rPr>
          <w:bCs/>
          <w:b/>
        </w:rPr>
        <w:t xml:space="preserve">“</w:t>
      </w:r>
      <w:r>
        <w:rPr>
          <w:bCs/>
          <w:b/>
        </w:rPr>
        <w:t xml:space="preserve">Summer of Insecurity</w:t>
      </w:r>
      <w:r>
        <w:rPr>
          <w:bCs/>
          <w:b/>
        </w:rPr>
        <w:t xml:space="preserve">”</w:t>
      </w:r>
      <w:r>
        <w:rPr>
          <w:bCs/>
          <w:b/>
        </w:rPr>
        <w:t xml:space="preserve"> </w:t>
      </w:r>
      <w:r>
        <w:rPr>
          <w:bCs/>
          <w:b/>
        </w:rPr>
        <w:t xml:space="preserve">Narrative:</w:t>
      </w:r>
      <w:r>
        <w:t xml:space="preserve"> </w:t>
      </w:r>
      <w:r>
        <w:t xml:space="preserve">A daily blog series counting down to July 4, each day exposing a different security or credibility issue among AI governance vendors. Day 1 (June 26): Microsoft Purview’s lack of AI-specific enforcement. Day 2: CrowdStrike’s CVE-2026-40050</w:t>
      </w:r>
      <w:r>
        <w:rPr>
          <w:vertAlign w:val="superscript"/>
        </w:rPr>
        <w:t xml:space="preserve">9</w:t>
      </w:r>
      <w:r>
        <w:t xml:space="preserve">. Day 3: OneTrust’s 1.5/5 Trustpilot rating</w:t>
      </w:r>
      <w:r>
        <w:rPr>
          <w:vertAlign w:val="superscript"/>
        </w:rPr>
        <w:t xml:space="preserve">14</w:t>
      </w:r>
      <w:r>
        <w:t xml:space="preserve">. Day 4: The funding fiction (NanoCo, Torch, Euno)</w:t>
      </w:r>
      <w:r>
        <w:rPr>
          <w:vertAlign w:val="superscript"/>
        </w:rPr>
        <w:t xml:space="preserve">24</w:t>
      </w:r>
      <w:r>
        <w:t xml:space="preserve">. Day 5: The certification desert (0/10)</w:t>
      </w:r>
      <w:r>
        <w:rPr>
          <w:vertAlign w:val="superscript"/>
        </w:rPr>
        <w:t xml:space="preserve">3</w:t>
      </w:r>
      <w:r>
        <w:t xml:space="preserve">. Continue through July 3.</w:t>
      </w:r>
    </w:p>
    <w:bookmarkEnd w:id="91"/>
    <w:bookmarkStart w:id="92" w:name="X5b61a9a4f9170daab5f9077ff3e16152566f314"/>
    <w:p>
      <w:pPr>
        <w:pStyle w:val="Heading4"/>
      </w:pPr>
      <w:r>
        <w:t xml:space="preserve">Saturday–Sunday, June 27–28: Final Preparations</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Final systems load test</w:t>
            </w:r>
          </w:p>
        </w:tc>
        <w:tc>
          <w:tcPr/>
          <w:p>
            <w:pPr>
              <w:pStyle w:val="Compact"/>
              <w:jc w:val="left"/>
            </w:pPr>
            <w:r>
              <w:t xml:space="preserve">Internal</w:t>
            </w:r>
          </w:p>
        </w:tc>
        <w:tc>
          <w:tcPr/>
          <w:p>
            <w:pPr>
              <w:pStyle w:val="Compact"/>
              <w:jc w:val="left"/>
            </w:pPr>
            <w:r>
              <w:t xml:space="preserve">10,000 concurrent users</w:t>
            </w:r>
          </w:p>
        </w:tc>
        <w:tc>
          <w:tcPr/>
          <w:p>
            <w:pPr>
              <w:pStyle w:val="Compact"/>
              <w:jc w:val="left"/>
            </w:pPr>
            <w:r>
              <w:t xml:space="preserve">Dev</w:t>
            </w:r>
          </w:p>
        </w:tc>
      </w:tr>
      <w:tr>
        <w:tc>
          <w:tcPr/>
          <w:p>
            <w:pPr>
              <w:pStyle w:val="Compact"/>
              <w:jc w:val="left"/>
            </w:pPr>
            <w:r>
              <w:t xml:space="preserve">Confirm all press releases drafted and approved</w:t>
            </w:r>
          </w:p>
        </w:tc>
        <w:tc>
          <w:tcPr/>
          <w:p>
            <w:pPr>
              <w:pStyle w:val="Compact"/>
              <w:jc w:val="left"/>
            </w:pPr>
            <w:r>
              <w:t xml:space="preserve">Internal</w:t>
            </w:r>
          </w:p>
        </w:tc>
        <w:tc>
          <w:tcPr/>
          <w:p>
            <w:pPr>
              <w:pStyle w:val="Compact"/>
              <w:jc w:val="left"/>
            </w:pPr>
            <w:r>
              <w:t xml:space="preserve">5 releases ready</w:t>
            </w:r>
          </w:p>
        </w:tc>
        <w:tc>
          <w:tcPr/>
          <w:p>
            <w:pPr>
              <w:pStyle w:val="Compact"/>
              <w:jc w:val="left"/>
            </w:pPr>
            <w:r>
              <w:t xml:space="preserve">NT</w:t>
            </w:r>
          </w:p>
        </w:tc>
      </w:tr>
      <w:tr>
        <w:tc>
          <w:tcPr/>
          <w:p>
            <w:pPr>
              <w:pStyle w:val="Compact"/>
              <w:jc w:val="left"/>
            </w:pPr>
            <w:r>
              <w:t xml:space="preserve">Prepare CrowdStrike stock split strike package</w:t>
            </w:r>
          </w:p>
        </w:tc>
        <w:tc>
          <w:tcPr/>
          <w:p>
            <w:pPr>
              <w:pStyle w:val="Compact"/>
              <w:jc w:val="left"/>
            </w:pPr>
            <w:r>
              <w:t xml:space="preserve">Internal</w:t>
            </w:r>
          </w:p>
        </w:tc>
        <w:tc>
          <w:tcPr/>
          <w:p>
            <w:pPr>
              <w:pStyle w:val="Compact"/>
              <w:jc w:val="left"/>
            </w:pPr>
            <w:r>
              <w:t xml:space="preserve">July 2 deployment</w:t>
            </w:r>
          </w:p>
        </w:tc>
        <w:tc>
          <w:tcPr/>
          <w:p>
            <w:pPr>
              <w:pStyle w:val="Compact"/>
              <w:jc w:val="left"/>
            </w:pPr>
            <w:r>
              <w:t xml:space="preserve">NT</w:t>
            </w:r>
          </w:p>
        </w:tc>
      </w:tr>
      <w:tr>
        <w:tc>
          <w:tcPr/>
          <w:p>
            <w:pPr>
              <w:pStyle w:val="Compact"/>
              <w:jc w:val="left"/>
            </w:pPr>
            <w:r>
              <w:t xml:space="preserve">Final team briefing and role assignments</w:t>
            </w:r>
          </w:p>
        </w:tc>
        <w:tc>
          <w:tcPr/>
          <w:p>
            <w:pPr>
              <w:pStyle w:val="Compact"/>
              <w:jc w:val="left"/>
            </w:pPr>
            <w:r>
              <w:t xml:space="preserve">Internal</w:t>
            </w:r>
          </w:p>
        </w:tc>
        <w:tc>
          <w:tcPr/>
          <w:p>
            <w:pPr>
              <w:pStyle w:val="Compact"/>
              <w:jc w:val="left"/>
            </w:pPr>
            <w:r>
              <w:t xml:space="preserve">All-hands</w:t>
            </w:r>
          </w:p>
        </w:tc>
        <w:tc>
          <w:tcPr/>
          <w:p>
            <w:pPr>
              <w:pStyle w:val="Compact"/>
              <w:jc w:val="left"/>
            </w:pPr>
            <w:r>
              <w:t xml:space="preserve">NT</w:t>
            </w:r>
          </w:p>
        </w:tc>
      </w:tr>
      <w:tr>
        <w:tc>
          <w:tcPr/>
          <w:p>
            <w:pPr>
              <w:pStyle w:val="Compact"/>
              <w:jc w:val="left"/>
            </w:pPr>
            <w:r>
              <w:t xml:space="preserve">Dry-run of July 4 launch sequence</w:t>
            </w:r>
          </w:p>
        </w:tc>
        <w:tc>
          <w:tcPr/>
          <w:p>
            <w:pPr>
              <w:pStyle w:val="Compact"/>
              <w:jc w:val="left"/>
            </w:pPr>
            <w:r>
              <w:t xml:space="preserve">Internal</w:t>
            </w:r>
          </w:p>
        </w:tc>
        <w:tc>
          <w:tcPr/>
          <w:p>
            <w:pPr>
              <w:pStyle w:val="Compact"/>
              <w:jc w:val="left"/>
            </w:pPr>
            <w:r>
              <w:t xml:space="preserve">00:00–01:00 timeline</w:t>
            </w:r>
          </w:p>
        </w:tc>
        <w:tc>
          <w:tcPr/>
          <w:p>
            <w:pPr>
              <w:pStyle w:val="Compact"/>
              <w:jc w:val="left"/>
            </w:pPr>
            <w:r>
              <w:t xml:space="preserve">NT + Dev</w:t>
            </w:r>
          </w:p>
        </w:tc>
      </w:tr>
    </w:tbl>
    <w:p>
      <w:pPr>
        <w:pStyle w:val="BodyText"/>
      </w:pPr>
      <w:r>
        <w:rPr>
          <w:bCs/>
          <w:b/>
        </w:rPr>
        <w:t xml:space="preserve">Week 3 Success Metrics:</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Pricing page views</w:t>
            </w:r>
          </w:p>
        </w:tc>
        <w:tc>
          <w:tcPr/>
          <w:p>
            <w:pPr>
              <w:pStyle w:val="Compact"/>
              <w:jc w:val="left"/>
            </w:pPr>
            <w:r>
              <w:t xml:space="preserve">25,000</w:t>
            </w:r>
          </w:p>
        </w:tc>
        <w:tc>
          <w:tcPr/>
          <w:p>
            <w:pPr>
              <w:pStyle w:val="Compact"/>
              <w:jc w:val="left"/>
            </w:pPr>
            <w:r>
              <w:t xml:space="preserve">Google Analytics</w:t>
            </w:r>
          </w:p>
        </w:tc>
      </w:tr>
      <w:tr>
        <w:tc>
          <w:tcPr/>
          <w:p>
            <w:pPr>
              <w:pStyle w:val="Compact"/>
              <w:jc w:val="left"/>
            </w:pPr>
            <w:r>
              <w:t xml:space="preserve">OneTrust Escape page conversions</w:t>
            </w:r>
          </w:p>
        </w:tc>
        <w:tc>
          <w:tcPr/>
          <w:p>
            <w:pPr>
              <w:pStyle w:val="Compact"/>
              <w:jc w:val="left"/>
            </w:pPr>
            <w:r>
              <w:t xml:space="preserve">100 escape requests</w:t>
            </w:r>
          </w:p>
        </w:tc>
        <w:tc>
          <w:tcPr/>
          <w:p>
            <w:pPr>
              <w:pStyle w:val="Compact"/>
              <w:jc w:val="left"/>
            </w:pPr>
            <w:r>
              <w:t xml:space="preserve">Internal analytics</w:t>
            </w:r>
          </w:p>
        </w:tc>
      </w:tr>
      <w:tr>
        <w:tc>
          <w:tcPr/>
          <w:p>
            <w:pPr>
              <w:pStyle w:val="Compact"/>
              <w:jc w:val="left"/>
            </w:pPr>
            <w:r>
              <w:t xml:space="preserve">“</w:t>
            </w:r>
            <w:r>
              <w:t xml:space="preserve">Join the Dragon</w:t>
            </w:r>
            <w:r>
              <w:t xml:space="preserve">”</w:t>
            </w:r>
            <w:r>
              <w:t xml:space="preserve"> </w:t>
            </w:r>
            <w:r>
              <w:t xml:space="preserve">applications</w:t>
            </w:r>
          </w:p>
        </w:tc>
        <w:tc>
          <w:tcPr/>
          <w:p>
            <w:pPr>
              <w:pStyle w:val="Compact"/>
              <w:jc w:val="left"/>
            </w:pPr>
            <w:r>
              <w:t xml:space="preserve">50 qualified</w:t>
            </w:r>
          </w:p>
        </w:tc>
        <w:tc>
          <w:tcPr/>
          <w:p>
            <w:pPr>
              <w:pStyle w:val="Compact"/>
              <w:jc w:val="left"/>
            </w:pPr>
            <w:r>
              <w:t xml:space="preserve">ATS</w:t>
            </w:r>
          </w:p>
        </w:tc>
      </w:tr>
      <w:tr>
        <w:tc>
          <w:tcPr/>
          <w:p>
            <w:pPr>
              <w:pStyle w:val="Compact"/>
              <w:jc w:val="left"/>
            </w:pPr>
            <w:r>
              <w:t xml:space="preserve">AWS Marketplace listings live</w:t>
            </w:r>
          </w:p>
        </w:tc>
        <w:tc>
          <w:tcPr/>
          <w:p>
            <w:pPr>
              <w:pStyle w:val="Compact"/>
              <w:jc w:val="left"/>
            </w:pPr>
            <w:r>
              <w:t xml:space="preserve">1 (Professional tier)</w:t>
            </w:r>
          </w:p>
        </w:tc>
        <w:tc>
          <w:tcPr/>
          <w:p>
            <w:pPr>
              <w:pStyle w:val="Compact"/>
              <w:jc w:val="left"/>
            </w:pPr>
            <w:r>
              <w:t xml:space="preserve">AWS Partner Portal</w:t>
            </w:r>
          </w:p>
        </w:tc>
      </w:tr>
      <w:tr>
        <w:tc>
          <w:tcPr/>
          <w:p>
            <w:pPr>
              <w:pStyle w:val="Compact"/>
              <w:jc w:val="left"/>
            </w:pPr>
            <w:r>
              <w:t xml:space="preserve">Migration tool usage</w:t>
            </w:r>
          </w:p>
        </w:tc>
        <w:tc>
          <w:tcPr/>
          <w:p>
            <w:pPr>
              <w:pStyle w:val="Compact"/>
              <w:jc w:val="left"/>
            </w:pPr>
            <w:r>
              <w:t xml:space="preserve">100 attempts</w:t>
            </w:r>
          </w:p>
        </w:tc>
        <w:tc>
          <w:tcPr/>
          <w:p>
            <w:pPr>
              <w:pStyle w:val="Compact"/>
              <w:jc w:val="left"/>
            </w:pPr>
            <w:r>
              <w:t xml:space="preserve">Internal analytics</w:t>
            </w:r>
          </w:p>
        </w:tc>
      </w:tr>
      <w:tr>
        <w:tc>
          <w:tcPr/>
          <w:p>
            <w:pPr>
              <w:pStyle w:val="Compact"/>
              <w:jc w:val="left"/>
            </w:pPr>
            <w:r>
              <w:t xml:space="preserve">“</w:t>
            </w:r>
            <w:r>
              <w:t xml:space="preserve">Summer of Insecurity</w:t>
            </w:r>
            <w:r>
              <w:t xml:space="preserve">”</w:t>
            </w:r>
            <w:r>
              <w:t xml:space="preserve"> </w:t>
            </w:r>
            <w:r>
              <w:t xml:space="preserve">series reads</w:t>
            </w:r>
          </w:p>
        </w:tc>
        <w:tc>
          <w:tcPr/>
          <w:p>
            <w:pPr>
              <w:pStyle w:val="Compact"/>
              <w:jc w:val="left"/>
            </w:pPr>
            <w:r>
              <w:t xml:space="preserve">50,000 cumulative</w:t>
            </w:r>
          </w:p>
        </w:tc>
        <w:tc>
          <w:tcPr/>
          <w:p>
            <w:pPr>
              <w:pStyle w:val="Compact"/>
              <w:jc w:val="left"/>
            </w:pPr>
            <w:r>
              <w:t xml:space="preserve">Google Analytics</w:t>
            </w:r>
          </w:p>
        </w:tc>
      </w:tr>
      <w:tr>
        <w:tc>
          <w:tcPr/>
          <w:p>
            <w:pPr>
              <w:pStyle w:val="Compact"/>
              <w:jc w:val="left"/>
            </w:pPr>
            <w:r>
              <w:t xml:space="preserve">Pre-launch social content scheduled</w:t>
            </w:r>
          </w:p>
        </w:tc>
        <w:tc>
          <w:tcPr/>
          <w:p>
            <w:pPr>
              <w:pStyle w:val="Compact"/>
              <w:jc w:val="left"/>
            </w:pPr>
            <w:r>
              <w:t xml:space="preserve">30 posts</w:t>
            </w:r>
          </w:p>
        </w:tc>
        <w:tc>
          <w:tcPr/>
          <w:p>
            <w:pPr>
              <w:pStyle w:val="Compact"/>
              <w:jc w:val="left"/>
            </w:pPr>
            <w:r>
              <w:t xml:space="preserve">Buffer dashboard</w:t>
            </w:r>
          </w:p>
        </w:tc>
      </w:tr>
      <w:tr>
        <w:tc>
          <w:tcPr/>
          <w:p>
            <w:pPr>
              <w:pStyle w:val="Compact"/>
              <w:jc w:val="left"/>
            </w:pPr>
            <w:r>
              <w:t xml:space="preserve">Press releases finalized</w:t>
            </w:r>
          </w:p>
        </w:tc>
        <w:tc>
          <w:tcPr/>
          <w:p>
            <w:pPr>
              <w:pStyle w:val="Compact"/>
              <w:jc w:val="left"/>
            </w:pPr>
            <w:r>
              <w:t xml:space="preserve">5</w:t>
            </w:r>
          </w:p>
        </w:tc>
        <w:tc>
          <w:tcPr/>
          <w:p>
            <w:pPr>
              <w:pStyle w:val="Compact"/>
              <w:jc w:val="left"/>
            </w:pPr>
            <w:r>
              <w:t xml:space="preserve">Internal docs</w:t>
            </w:r>
          </w:p>
        </w:tc>
      </w:tr>
    </w:tbl>
    <w:p>
      <w:r>
        <w:pict>
          <v:rect style="width:0;height:1.5pt" o:hralign="center" o:hrstd="t" o:hr="t"/>
        </w:pict>
      </w:r>
    </w:p>
    <w:bookmarkEnd w:id="92"/>
    <w:bookmarkEnd w:id="93"/>
    <w:bookmarkStart w:id="100" w:name="final-72-hours-june-29-july-4"/>
    <w:p>
      <w:pPr>
        <w:pStyle w:val="Heading3"/>
      </w:pPr>
      <w:r>
        <w:t xml:space="preserve">8.4 Final 72 Hours (June 29 — July 4)</w:t>
      </w:r>
    </w:p>
    <w:p>
      <w:pPr>
        <w:pStyle w:val="FirstParagraph"/>
      </w:pPr>
      <w:r>
        <w:rPr>
          <w:bCs/>
          <w:b/>
        </w:rPr>
        <w:t xml:space="preserve">Theme:</w:t>
      </w:r>
      <w:r>
        <w:t xml:space="preserve"> </w:t>
      </w:r>
      <w:r>
        <w:rPr>
          <w:iCs/>
          <w:i/>
        </w:rPr>
        <w:t xml:space="preserve">Dragon Mode: Complete</w:t>
      </w:r>
    </w:p>
    <w:p>
      <w:pPr>
        <w:pStyle w:val="BodyText"/>
      </w:pPr>
      <w:r>
        <w:t xml:space="preserve">This is the convergence. Every seed planted in Week 1, every asset built in Week 2, every channel flooded in Week 3 — all detonate in this 72-hour window. The CrowdStrike stock split on July 2 creates the opening. The Transparency Index on June 30 creates the context. The CVE amplification on July 1 creates the urgency. And July 4 — Independence Day — is when SOV3 declares freedom from the entire broken industry.</w:t>
      </w:r>
    </w:p>
    <w:bookmarkStart w:id="94" w:name="sunday-june-29-final-countdown-begins"/>
    <w:p>
      <w:pPr>
        <w:pStyle w:val="Heading4"/>
      </w:pPr>
      <w:r>
        <w:t xml:space="preserve">Sunday, June 29: Final Countdown Begins</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08:00</w:t>
            </w:r>
          </w:p>
        </w:tc>
        <w:tc>
          <w:tcPr/>
          <w:p>
            <w:pPr>
              <w:pStyle w:val="Compact"/>
              <w:jc w:val="left"/>
            </w:pPr>
            <w:r>
              <w:t xml:space="preserve">Publish</w:t>
            </w:r>
            <w:r>
              <w:t xml:space="preserve"> </w:t>
            </w:r>
            <w:r>
              <w:t xml:space="preserve">“</w:t>
            </w:r>
            <w:r>
              <w:t xml:space="preserve">T-5 Days</w:t>
            </w:r>
            <w:r>
              <w:t xml:space="preserve">”</w:t>
            </w:r>
            <w:r>
              <w:t xml:space="preserve"> </w:t>
            </w:r>
            <w:r>
              <w:t xml:space="preserve">countdown thread on X</w:t>
            </w:r>
          </w:p>
        </w:tc>
        <w:tc>
          <w:tcPr/>
          <w:p>
            <w:pPr>
              <w:pStyle w:val="Compact"/>
              <w:jc w:val="left"/>
            </w:pPr>
            <w:r>
              <w:t xml:space="preserve">X/Twitter</w:t>
            </w:r>
          </w:p>
        </w:tc>
        <w:tc>
          <w:tcPr/>
          <w:p>
            <w:pPr>
              <w:pStyle w:val="Compact"/>
              <w:jc w:val="left"/>
            </w:pPr>
            <w:r>
              <w:t xml:space="preserve">10,000 impressions</w:t>
            </w:r>
          </w:p>
        </w:tc>
      </w:tr>
      <w:tr>
        <w:tc>
          <w:tcPr/>
          <w:p>
            <w:pPr>
              <w:pStyle w:val="Compact"/>
              <w:jc w:val="left"/>
            </w:pPr>
            <w:r>
              <w:t xml:space="preserve">10:00</w:t>
            </w:r>
          </w:p>
        </w:tc>
        <w:tc>
          <w:tcPr/>
          <w:p>
            <w:pPr>
              <w:pStyle w:val="Compact"/>
              <w:jc w:val="left"/>
            </w:pPr>
            <w:r>
              <w:t xml:space="preserve">Email all waitlist subscribers:</w:t>
            </w:r>
            <w:r>
              <w:t xml:space="preserve"> </w:t>
            </w:r>
            <w:r>
              <w:t xml:space="preserve">“</w:t>
            </w:r>
            <w:r>
              <w:t xml:space="preserve">You’re in the founding cohort</w:t>
            </w:r>
            <w:r>
              <w:t xml:space="preserve">”</w:t>
            </w:r>
          </w:p>
        </w:tc>
        <w:tc>
          <w:tcPr/>
          <w:p>
            <w:pPr>
              <w:pStyle w:val="Compact"/>
              <w:jc w:val="left"/>
            </w:pPr>
            <w:r>
              <w:t xml:space="preserve">Email</w:t>
            </w:r>
          </w:p>
        </w:tc>
        <w:tc>
          <w:tcPr/>
          <w:p>
            <w:pPr>
              <w:pStyle w:val="Compact"/>
              <w:jc w:val="left"/>
            </w:pPr>
            <w:r>
              <w:t xml:space="preserve">100% open rate target</w:t>
            </w:r>
          </w:p>
        </w:tc>
      </w:tr>
      <w:tr>
        <w:tc>
          <w:tcPr/>
          <w:p>
            <w:pPr>
              <w:pStyle w:val="Compact"/>
              <w:jc w:val="left"/>
            </w:pPr>
            <w:r>
              <w:t xml:space="preserve">12:00</w:t>
            </w:r>
          </w:p>
        </w:tc>
        <w:tc>
          <w:tcPr/>
          <w:p>
            <w:pPr>
              <w:pStyle w:val="Compact"/>
              <w:jc w:val="left"/>
            </w:pPr>
            <w:r>
              <w:t xml:space="preserve">Activate</w:t>
            </w:r>
            <w:r>
              <w:t xml:space="preserve"> </w:t>
            </w:r>
            <w:r>
              <w:t xml:space="preserve">“</w:t>
            </w:r>
            <w:r>
              <w:t xml:space="preserve">founding member</w:t>
            </w:r>
            <w:r>
              <w:t xml:space="preserve">”</w:t>
            </w:r>
            <w:r>
              <w:t xml:space="preserve"> </w:t>
            </w:r>
            <w:r>
              <w:t xml:space="preserve">Discord/Slack community</w:t>
            </w:r>
          </w:p>
        </w:tc>
        <w:tc>
          <w:tcPr/>
          <w:p>
            <w:pPr>
              <w:pStyle w:val="Compact"/>
              <w:jc w:val="left"/>
            </w:pPr>
            <w:r>
              <w:t xml:space="preserve">Discord</w:t>
            </w:r>
          </w:p>
        </w:tc>
        <w:tc>
          <w:tcPr/>
          <w:p>
            <w:pPr>
              <w:pStyle w:val="Compact"/>
              <w:jc w:val="left"/>
            </w:pPr>
            <w:r>
              <w:t xml:space="preserve">200 members</w:t>
            </w:r>
          </w:p>
        </w:tc>
      </w:tr>
      <w:tr>
        <w:tc>
          <w:tcPr/>
          <w:p>
            <w:pPr>
              <w:pStyle w:val="Compact"/>
              <w:jc w:val="left"/>
            </w:pPr>
            <w:r>
              <w:t xml:space="preserve">14:00</w:t>
            </w:r>
          </w:p>
        </w:tc>
        <w:tc>
          <w:tcPr/>
          <w:p>
            <w:pPr>
              <w:pStyle w:val="Compact"/>
              <w:jc w:val="left"/>
            </w:pPr>
            <w:r>
              <w:t xml:space="preserve">Publish</w:t>
            </w:r>
            <w:r>
              <w:t xml:space="preserve"> </w:t>
            </w:r>
            <w:r>
              <w:t xml:space="preserve">“</w:t>
            </w:r>
            <w:r>
              <w:t xml:space="preserve">What to Expect on July 4</w:t>
            </w:r>
            <w:r>
              <w:t xml:space="preserve">”</w:t>
            </w:r>
            <w:r>
              <w:t xml:space="preserve"> </w:t>
            </w:r>
            <w:r>
              <w:t xml:space="preserve">blog post</w:t>
            </w:r>
          </w:p>
        </w:tc>
        <w:tc>
          <w:tcPr/>
          <w:p>
            <w:pPr>
              <w:pStyle w:val="Compact"/>
              <w:jc w:val="left"/>
            </w:pPr>
            <w:r>
              <w:t xml:space="preserve">sov3.ai/blog</w:t>
            </w:r>
          </w:p>
        </w:tc>
        <w:tc>
          <w:tcPr/>
          <w:p>
            <w:pPr>
              <w:pStyle w:val="Compact"/>
              <w:jc w:val="left"/>
            </w:pPr>
            <w:r>
              <w:t xml:space="preserve">5,000 reads</w:t>
            </w:r>
          </w:p>
        </w:tc>
      </w:tr>
      <w:tr>
        <w:tc>
          <w:tcPr/>
          <w:p>
            <w:pPr>
              <w:pStyle w:val="Compact"/>
              <w:jc w:val="left"/>
            </w:pPr>
            <w:r>
              <w:t xml:space="preserve">16:00</w:t>
            </w:r>
          </w:p>
        </w:tc>
        <w:tc>
          <w:tcPr/>
          <w:p>
            <w:pPr>
              <w:pStyle w:val="Compact"/>
              <w:jc w:val="left"/>
            </w:pPr>
            <w:r>
              <w:t xml:space="preserve">LinkedIn post: personal reflection on the 6-month journey</w:t>
            </w:r>
          </w:p>
        </w:tc>
        <w:tc>
          <w:tcPr/>
          <w:p>
            <w:pPr>
              <w:pStyle w:val="Compact"/>
              <w:jc w:val="left"/>
            </w:pPr>
            <w:r>
              <w:t xml:space="preserve">LinkedIn</w:t>
            </w:r>
          </w:p>
        </w:tc>
        <w:tc>
          <w:tcPr/>
          <w:p>
            <w:pPr>
              <w:pStyle w:val="Compact"/>
              <w:jc w:val="left"/>
            </w:pPr>
            <w:r>
              <w:t xml:space="preserve">25,000 impressions</w:t>
            </w:r>
          </w:p>
        </w:tc>
      </w:tr>
      <w:tr>
        <w:tc>
          <w:tcPr/>
          <w:p>
            <w:pPr>
              <w:pStyle w:val="Compact"/>
              <w:jc w:val="left"/>
            </w:pPr>
            <w:r>
              <w:t xml:space="preserve">18:00</w:t>
            </w:r>
          </w:p>
        </w:tc>
        <w:tc>
          <w:tcPr/>
          <w:p>
            <w:pPr>
              <w:pStyle w:val="Compact"/>
              <w:jc w:val="left"/>
            </w:pPr>
            <w:r>
              <w:t xml:space="preserve">Hacker News:</w:t>
            </w:r>
            <w:r>
              <w:t xml:space="preserve"> </w:t>
            </w:r>
            <w:r>
              <w:t xml:space="preserve">“</w:t>
            </w:r>
            <w:r>
              <w:t xml:space="preserve">I’m launching an AI governance platform on July 4. Here’s why that date.</w:t>
            </w:r>
            <w:r>
              <w:t xml:space="preserve">”</w:t>
            </w:r>
          </w:p>
        </w:tc>
        <w:tc>
          <w:tcPr/>
          <w:p>
            <w:pPr>
              <w:pStyle w:val="Compact"/>
              <w:jc w:val="left"/>
            </w:pPr>
            <w:r>
              <w:t xml:space="preserve">HN</w:t>
            </w:r>
          </w:p>
        </w:tc>
        <w:tc>
          <w:tcPr/>
          <w:p>
            <w:pPr>
              <w:pStyle w:val="Compact"/>
              <w:jc w:val="left"/>
            </w:pPr>
            <w:r>
              <w:t xml:space="preserve">Front page target</w:t>
            </w:r>
          </w:p>
        </w:tc>
      </w:tr>
      <w:tr>
        <w:tc>
          <w:tcPr/>
          <w:p>
            <w:pPr>
              <w:pStyle w:val="Compact"/>
              <w:jc w:val="left"/>
            </w:pPr>
            <w:r>
              <w:t xml:space="preserve">20:00</w:t>
            </w:r>
          </w:p>
        </w:tc>
        <w:tc>
          <w:tcPr/>
          <w:p>
            <w:pPr>
              <w:pStyle w:val="Compact"/>
              <w:jc w:val="left"/>
            </w:pPr>
            <w:r>
              <w:t xml:space="preserve">Final team check-in, all systems green</w:t>
            </w:r>
          </w:p>
        </w:tc>
        <w:tc>
          <w:tcPr/>
          <w:p>
            <w:pPr>
              <w:pStyle w:val="Compact"/>
              <w:jc w:val="left"/>
            </w:pPr>
            <w:r>
              <w:t xml:space="preserve">Internal</w:t>
            </w:r>
          </w:p>
        </w:tc>
        <w:tc>
          <w:tcPr/>
          <w:p>
            <w:pPr>
              <w:pStyle w:val="Compact"/>
              <w:jc w:val="left"/>
            </w:pPr>
            <w:r>
              <w:t xml:space="preserve">Go/No-Go confirmed</w:t>
            </w:r>
          </w:p>
        </w:tc>
      </w:tr>
    </w:tbl>
    <w:p>
      <w:pPr>
        <w:pStyle w:val="BodyText"/>
      </w:pPr>
      <w:r>
        <w:rPr>
          <w:bCs/>
          <w:b/>
        </w:rPr>
        <w:t xml:space="preserve">The HN Post:</w:t>
      </w:r>
      <w:r>
        <w:t xml:space="preserve"> </w:t>
      </w:r>
      <w:r>
        <w:t xml:space="preserve">Personal, transparent, strategic. Explain the July 4 date:</w:t>
      </w:r>
      <w:r>
        <w:t xml:space="preserve"> </w:t>
      </w:r>
      <w:r>
        <w:t xml:space="preserve">“</w:t>
      </w:r>
      <w:r>
        <w:t xml:space="preserve">It’s 58 days before EU AI Act enforcement</w:t>
      </w:r>
      <w:r>
        <w:rPr>
          <w:vertAlign w:val="superscript"/>
        </w:rPr>
        <w:t xml:space="preserve">2</w:t>
      </w:r>
      <w:r>
        <w:t xml:space="preserve">. It’s 2 days after CrowdStrike’s stock split</w:t>
      </w:r>
      <w:r>
        <w:rPr>
          <w:vertAlign w:val="superscript"/>
        </w:rPr>
        <w:t xml:space="preserve">9</w:t>
      </w:r>
      <w:r>
        <w:t xml:space="preserve">. It’s Independence Day — the day we declare independence from $100K compliance costs and vendor lock-in.</w:t>
      </w:r>
      <w:r>
        <w:t xml:space="preserve">”</w:t>
      </w:r>
      <w:r>
        <w:t xml:space="preserve"> </w:t>
      </w:r>
      <w:r>
        <w:t xml:space="preserve">Let the HN community’s natural skepticism validate the approach. Respond to every comment personally.</w:t>
      </w:r>
    </w:p>
    <w:bookmarkEnd w:id="94"/>
    <w:bookmarkStart w:id="95" w:name="monday-june-30-the-transparency-index"/>
    <w:p>
      <w:pPr>
        <w:pStyle w:val="Heading4"/>
      </w:pPr>
      <w:r>
        <w:t xml:space="preserve">Monday, June 30: The Transparency Index</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AI Governance Vendor Transparency Index</w:t>
            </w:r>
            <w:r>
              <w:t xml:space="preserve">”</w:t>
            </w:r>
          </w:p>
        </w:tc>
        <w:tc>
          <w:tcPr/>
          <w:p>
            <w:pPr>
              <w:pStyle w:val="Compact"/>
              <w:jc w:val="left"/>
            </w:pPr>
            <w:r>
              <w:t xml:space="preserve">sov3.ai/transparency</w:t>
            </w:r>
          </w:p>
        </w:tc>
        <w:tc>
          <w:tcPr/>
          <w:p>
            <w:pPr>
              <w:pStyle w:val="Compact"/>
              <w:jc w:val="left"/>
            </w:pPr>
            <w:r>
              <w:t xml:space="preserve">25,000 views</w:t>
            </w:r>
          </w:p>
        </w:tc>
      </w:tr>
      <w:tr>
        <w:tc>
          <w:tcPr/>
          <w:p>
            <w:pPr>
              <w:pStyle w:val="Compact"/>
              <w:jc w:val="left"/>
            </w:pPr>
            <w:r>
              <w:t xml:space="preserve">06:30</w:t>
            </w:r>
          </w:p>
        </w:tc>
        <w:tc>
          <w:tcPr/>
          <w:p>
            <w:pPr>
              <w:pStyle w:val="Compact"/>
              <w:jc w:val="left"/>
            </w:pPr>
            <w:r>
              <w:t xml:space="preserve">Email to all EU AI Act scanner users</w:t>
            </w:r>
          </w:p>
        </w:tc>
        <w:tc>
          <w:tcPr/>
          <w:p>
            <w:pPr>
              <w:pStyle w:val="Compact"/>
              <w:jc w:val="left"/>
            </w:pPr>
            <w:r>
              <w:t xml:space="preserve">Email</w:t>
            </w:r>
          </w:p>
        </w:tc>
        <w:tc>
          <w:tcPr/>
          <w:p>
            <w:pPr>
              <w:pStyle w:val="Compact"/>
              <w:jc w:val="left"/>
            </w:pPr>
            <w:r>
              <w:t xml:space="preserve">5,000 recipients</w:t>
            </w:r>
          </w:p>
        </w:tc>
      </w:tr>
      <w:tr>
        <w:tc>
          <w:tcPr/>
          <w:p>
            <w:pPr>
              <w:pStyle w:val="Compact"/>
              <w:jc w:val="left"/>
            </w:pPr>
            <w:r>
              <w:t xml:space="preserve">07:00</w:t>
            </w:r>
          </w:p>
        </w:tc>
        <w:tc>
          <w:tcPr/>
          <w:p>
            <w:pPr>
              <w:pStyle w:val="Compact"/>
              <w:jc w:val="left"/>
            </w:pPr>
            <w:r>
              <w:t xml:space="preserve">X thread:</w:t>
            </w:r>
            <w:r>
              <w:t xml:space="preserve"> </w:t>
            </w:r>
            <w:r>
              <w:t xml:space="preserve">“</w:t>
            </w:r>
            <w:r>
              <w:t xml:space="preserve">We audited 10 AI governance vendors. Here’s what we found.</w:t>
            </w:r>
            <w:r>
              <w:t xml:space="preserve">”</w:t>
            </w:r>
          </w:p>
        </w:tc>
        <w:tc>
          <w:tcPr/>
          <w:p>
            <w:pPr>
              <w:pStyle w:val="Compact"/>
              <w:jc w:val="left"/>
            </w:pPr>
            <w:r>
              <w:t xml:space="preserve">X/Twitter</w:t>
            </w:r>
          </w:p>
        </w:tc>
        <w:tc>
          <w:tcPr/>
          <w:p>
            <w:pPr>
              <w:pStyle w:val="Compact"/>
              <w:jc w:val="left"/>
            </w:pPr>
            <w:r>
              <w:t xml:space="preserve">Viral target: 100K impressions</w:t>
            </w:r>
          </w:p>
        </w:tc>
      </w:tr>
      <w:tr>
        <w:tc>
          <w:tcPr/>
          <w:p>
            <w:pPr>
              <w:pStyle w:val="Compact"/>
              <w:jc w:val="left"/>
            </w:pPr>
            <w:r>
              <w:t xml:space="preserve">08:00</w:t>
            </w:r>
          </w:p>
        </w:tc>
        <w:tc>
          <w:tcPr/>
          <w:p>
            <w:pPr>
              <w:pStyle w:val="Compact"/>
              <w:jc w:val="left"/>
            </w:pPr>
            <w:r>
              <w:t xml:space="preserve">LinkedIn article: full Transparency Index</w:t>
            </w:r>
          </w:p>
        </w:tc>
        <w:tc>
          <w:tcPr/>
          <w:p>
            <w:pPr>
              <w:pStyle w:val="Compact"/>
              <w:jc w:val="left"/>
            </w:pPr>
            <w:r>
              <w:t xml:space="preserve">LinkedIn</w:t>
            </w:r>
          </w:p>
        </w:tc>
        <w:tc>
          <w:tcPr/>
          <w:p>
            <w:pPr>
              <w:pStyle w:val="Compact"/>
              <w:jc w:val="left"/>
            </w:pPr>
            <w:r>
              <w:t xml:space="preserve">50,000 impressions</w:t>
            </w:r>
          </w:p>
        </w:tc>
      </w:tr>
      <w:tr>
        <w:tc>
          <w:tcPr/>
          <w:p>
            <w:pPr>
              <w:pStyle w:val="Compact"/>
              <w:jc w:val="left"/>
            </w:pPr>
            <w:r>
              <w:t xml:space="preserve">09:00</w:t>
            </w:r>
          </w:p>
        </w:tc>
        <w:tc>
          <w:tcPr/>
          <w:p>
            <w:pPr>
              <w:pStyle w:val="Compact"/>
              <w:jc w:val="left"/>
            </w:pPr>
            <w:r>
              <w:t xml:space="preserve">Submit to Hacker News</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10:00</w:t>
            </w:r>
          </w:p>
        </w:tc>
        <w:tc>
          <w:tcPr/>
          <w:p>
            <w:pPr>
              <w:pStyle w:val="Compact"/>
              <w:jc w:val="left"/>
            </w:pPr>
            <w:r>
              <w:t xml:space="preserve">Pitch to 20 journalists who covered AI governance in 2025–2026</w:t>
            </w:r>
          </w:p>
        </w:tc>
        <w:tc>
          <w:tcPr/>
          <w:p>
            <w:pPr>
              <w:pStyle w:val="Compact"/>
              <w:jc w:val="left"/>
            </w:pPr>
            <w:r>
              <w:t xml:space="preserve">Email</w:t>
            </w:r>
          </w:p>
        </w:tc>
        <w:tc>
          <w:tcPr/>
          <w:p>
            <w:pPr>
              <w:pStyle w:val="Compact"/>
              <w:jc w:val="left"/>
            </w:pPr>
            <w:r>
              <w:t xml:space="preserve">5 pickups</w:t>
            </w:r>
          </w:p>
        </w:tc>
      </w:tr>
      <w:tr>
        <w:tc>
          <w:tcPr/>
          <w:p>
            <w:pPr>
              <w:pStyle w:val="Compact"/>
              <w:jc w:val="left"/>
            </w:pPr>
            <w:r>
              <w:t xml:space="preserve">12:00</w:t>
            </w:r>
          </w:p>
        </w:tc>
        <w:tc>
          <w:tcPr/>
          <w:p>
            <w:pPr>
              <w:pStyle w:val="Compact"/>
              <w:jc w:val="left"/>
            </w:pPr>
            <w:r>
              <w:t xml:space="preserve">Reddit posts: r/MachineLearning, r/cybersecurity, r/artificial</w:t>
            </w:r>
          </w:p>
        </w:tc>
        <w:tc>
          <w:tcPr/>
          <w:p>
            <w:pPr>
              <w:pStyle w:val="Compact"/>
              <w:jc w:val="left"/>
            </w:pPr>
            <w:r>
              <w:t xml:space="preserve">Reddit</w:t>
            </w:r>
          </w:p>
        </w:tc>
        <w:tc>
          <w:tcPr/>
          <w:p>
            <w:pPr>
              <w:pStyle w:val="Compact"/>
              <w:jc w:val="left"/>
            </w:pPr>
            <w:r>
              <w:t xml:space="preserve">2,000 upvotes</w:t>
            </w:r>
          </w:p>
        </w:tc>
      </w:tr>
      <w:tr>
        <w:tc>
          <w:tcPr/>
          <w:p>
            <w:pPr>
              <w:pStyle w:val="Compact"/>
              <w:jc w:val="left"/>
            </w:pPr>
            <w:r>
              <w:t xml:space="preserve">14:00–18:00</w:t>
            </w:r>
          </w:p>
        </w:tc>
        <w:tc>
          <w:tcPr/>
          <w:p>
            <w:pPr>
              <w:pStyle w:val="Compact"/>
              <w:jc w:val="left"/>
            </w:pPr>
            <w:r>
              <w:t xml:space="preserve">Respond to all comments, amplify positive reactions</w:t>
            </w:r>
          </w:p>
        </w:tc>
        <w:tc>
          <w:tcPr/>
          <w:p>
            <w:pPr>
              <w:pStyle w:val="Compact"/>
              <w:jc w:val="left"/>
            </w:pPr>
            <w:r>
              <w:t xml:space="preserve">All channels</w:t>
            </w:r>
          </w:p>
        </w:tc>
        <w:tc>
          <w:tcPr/>
          <w:p>
            <w:pPr>
              <w:pStyle w:val="Compact"/>
              <w:jc w:val="left"/>
            </w:pPr>
            <w:r>
              <w:t xml:space="preserve">Engagement rate: 10%+</w:t>
            </w:r>
          </w:p>
        </w:tc>
      </w:tr>
      <w:tr>
        <w:tc>
          <w:tcPr/>
          <w:p>
            <w:pPr>
              <w:pStyle w:val="Compact"/>
              <w:jc w:val="left"/>
            </w:pPr>
            <w:r>
              <w:t xml:space="preserve">20:00</w:t>
            </w:r>
          </w:p>
        </w:tc>
        <w:tc>
          <w:tcPr/>
          <w:p>
            <w:pPr>
              <w:pStyle w:val="Compact"/>
              <w:jc w:val="left"/>
            </w:pPr>
            <w:r>
              <w:t xml:space="preserve">Internal metrics review and Day 2 adjustment</w:t>
            </w:r>
          </w:p>
        </w:tc>
        <w:tc>
          <w:tcPr/>
          <w:p>
            <w:pPr>
              <w:pStyle w:val="Compact"/>
              <w:jc w:val="left"/>
            </w:pPr>
            <w:r>
              <w:t xml:space="preserve">Internal</w:t>
            </w:r>
          </w:p>
        </w:tc>
        <w:tc>
          <w:tcPr/>
          <w:p>
            <w:pPr>
              <w:pStyle w:val="Compact"/>
              <w:jc w:val="left"/>
            </w:pPr>
            <w:r>
              <w:t xml:space="preserve">Optimization plan</w:t>
            </w:r>
          </w:p>
        </w:tc>
      </w:tr>
    </w:tbl>
    <w:p>
      <w:pPr>
        <w:pStyle w:val="BodyText"/>
      </w:pPr>
      <w:r>
        <w:rPr>
          <w:bCs/>
          <w:b/>
        </w:rPr>
        <w:t xml:space="preserve">The Transparency Index:</w:t>
      </w:r>
      <w:r>
        <w:t xml:space="preserve"> </w:t>
      </w:r>
      <w:r>
        <w:t xml:space="preserve">A scored ranking of all 10 competitors across 5 dimensions: Pricing Transparency (0–20), Funding Verification (0–20), Certification Offering (0–20), Security Posture (0–20), Customer Satisfaction (0–20). Maximum score: 100. SOV3 is included and scores 95 (deducting 5 for being pre-launch). Every competitor scores 15–45. The Funding Fiction insight</w:t>
      </w:r>
      <w:r>
        <w:rPr>
          <w:vertAlign w:val="superscript"/>
        </w:rPr>
        <w:t xml:space="preserve">24</w:t>
      </w:r>
      <w:r>
        <w:t xml:space="preserve">is the killer — showing claimed vs verified funding for NanoCo ($63M claimed, $12M verified), Torch (</w:t>
      </w:r>
      <w:r>
        <w:t xml:space="preserve">“</w:t>
      </w:r>
      <w:r>
        <w:t xml:space="preserve">funded</w:t>
      </w:r>
      <w:r>
        <w:t xml:space="preserve">”</w:t>
      </w:r>
      <w:r>
        <w:t xml:space="preserve"> </w:t>
      </w:r>
      <w:r>
        <w:t xml:space="preserve">claimed, $0 verified), and Euno (2x overstated).</w:t>
      </w:r>
    </w:p>
    <w:bookmarkEnd w:id="95"/>
    <w:bookmarkStart w:id="96" w:name="Xa7834fcb61a470cb1b9c908536d4f0021911c39"/>
    <w:p>
      <w:pPr>
        <w:pStyle w:val="Heading4"/>
      </w:pPr>
      <w:r>
        <w:t xml:space="preserve">Tuesday, July 1: The CVE Amplification Blitz</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CVE-2026-40050: What CrowdStrike Won’t Tell You About Their Own Security</w:t>
            </w:r>
            <w:r>
              <w:t xml:space="preserve">”</w:t>
            </w:r>
          </w:p>
        </w:tc>
        <w:tc>
          <w:tcPr/>
          <w:p>
            <w:pPr>
              <w:pStyle w:val="Compact"/>
              <w:jc w:val="left"/>
            </w:pPr>
            <w:r>
              <w:t xml:space="preserve">sov3.ai/blog</w:t>
            </w:r>
          </w:p>
        </w:tc>
        <w:tc>
          <w:tcPr/>
          <w:p>
            <w:pPr>
              <w:pStyle w:val="Compact"/>
              <w:jc w:val="left"/>
            </w:pPr>
            <w:r>
              <w:t xml:space="preserve">15,000 reads</w:t>
            </w:r>
          </w:p>
        </w:tc>
      </w:tr>
      <w:tr>
        <w:tc>
          <w:tcPr/>
          <w:p>
            <w:pPr>
              <w:pStyle w:val="Compact"/>
              <w:jc w:val="left"/>
            </w:pPr>
            <w:r>
              <w:t xml:space="preserve">06:30</w:t>
            </w:r>
          </w:p>
        </w:tc>
        <w:tc>
          <w:tcPr/>
          <w:p>
            <w:pPr>
              <w:pStyle w:val="Compact"/>
              <w:jc w:val="left"/>
            </w:pPr>
            <w:r>
              <w:t xml:space="preserve">X thread: 10 tweets detailing CrowdStrike’s security failures</w:t>
            </w:r>
          </w:p>
        </w:tc>
        <w:tc>
          <w:tcPr/>
          <w:p>
            <w:pPr>
              <w:pStyle w:val="Compact"/>
              <w:jc w:val="left"/>
            </w:pPr>
            <w:r>
              <w:t xml:space="preserve">X/Twitter</w:t>
            </w:r>
          </w:p>
        </w:tc>
        <w:tc>
          <w:tcPr/>
          <w:p>
            <w:pPr>
              <w:pStyle w:val="Compact"/>
              <w:jc w:val="left"/>
            </w:pPr>
            <w:r>
              <w:t xml:space="preserve">50K impressions</w:t>
            </w:r>
          </w:p>
        </w:tc>
      </w:tr>
      <w:tr>
        <w:tc>
          <w:tcPr/>
          <w:p>
            <w:pPr>
              <w:pStyle w:val="Compact"/>
              <w:jc w:val="left"/>
            </w:pPr>
            <w:r>
              <w:t xml:space="preserve">07:00</w:t>
            </w:r>
          </w:p>
        </w:tc>
        <w:tc>
          <w:tcPr/>
          <w:p>
            <w:pPr>
              <w:pStyle w:val="Compact"/>
              <w:jc w:val="left"/>
            </w:pPr>
            <w:r>
              <w:t xml:space="preserve">LinkedIn post:</w:t>
            </w:r>
            <w:r>
              <w:t xml:space="preserve"> </w:t>
            </w:r>
            <w:r>
              <w:t xml:space="preserve">“</w:t>
            </w:r>
            <w:r>
              <w:t xml:space="preserve">When your security vendor needs a security vendor</w:t>
            </w:r>
            <w:r>
              <w:t xml:space="preserve">”</w:t>
            </w:r>
          </w:p>
        </w:tc>
        <w:tc>
          <w:tcPr/>
          <w:p>
            <w:pPr>
              <w:pStyle w:val="Compact"/>
              <w:jc w:val="left"/>
            </w:pPr>
            <w:r>
              <w:t xml:space="preserve">LinkedIn</w:t>
            </w:r>
          </w:p>
        </w:tc>
        <w:tc>
          <w:tcPr/>
          <w:p>
            <w:pPr>
              <w:pStyle w:val="Compact"/>
              <w:jc w:val="left"/>
            </w:pPr>
            <w:r>
              <w:t xml:space="preserve">25,000 impressions</w:t>
            </w:r>
          </w:p>
        </w:tc>
      </w:tr>
      <w:tr>
        <w:tc>
          <w:tcPr/>
          <w:p>
            <w:pPr>
              <w:pStyle w:val="Compact"/>
              <w:jc w:val="left"/>
            </w:pPr>
            <w:r>
              <w:t xml:space="preserve">08:00</w:t>
            </w:r>
          </w:p>
        </w:tc>
        <w:tc>
          <w:tcPr/>
          <w:p>
            <w:pPr>
              <w:pStyle w:val="Compact"/>
              <w:jc w:val="left"/>
            </w:pPr>
            <w:r>
              <w:t xml:space="preserve">Hacker News:</w:t>
            </w:r>
            <w:r>
              <w:t xml:space="preserve"> </w:t>
            </w:r>
            <w:r>
              <w:t xml:space="preserve">“</w:t>
            </w:r>
            <w:r>
              <w:t xml:space="preserve">CrowdStrike’s latest CVE and what it means for AI governance</w:t>
            </w:r>
            <w:r>
              <w:t xml:space="preserve">”</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09:00</w:t>
            </w:r>
          </w:p>
        </w:tc>
        <w:tc>
          <w:tcPr/>
          <w:p>
            <w:pPr>
              <w:pStyle w:val="Compact"/>
              <w:jc w:val="left"/>
            </w:pPr>
            <w:r>
              <w:t xml:space="preserve">Reddit: r/cybersecurity, r/netsec</w:t>
            </w:r>
          </w:p>
        </w:tc>
        <w:tc>
          <w:tcPr/>
          <w:p>
            <w:pPr>
              <w:pStyle w:val="Compact"/>
              <w:jc w:val="left"/>
            </w:pPr>
            <w:r>
              <w:t xml:space="preserve">Reddit</w:t>
            </w:r>
          </w:p>
        </w:tc>
        <w:tc>
          <w:tcPr/>
          <w:p>
            <w:pPr>
              <w:pStyle w:val="Compact"/>
              <w:jc w:val="left"/>
            </w:pPr>
            <w:r>
              <w:t xml:space="preserve">1,000 upvotes</w:t>
            </w:r>
          </w:p>
        </w:tc>
      </w:tr>
      <w:tr>
        <w:tc>
          <w:tcPr/>
          <w:p>
            <w:pPr>
              <w:pStyle w:val="Compact"/>
              <w:jc w:val="left"/>
            </w:pPr>
            <w:r>
              <w:t xml:space="preserve">10:00</w:t>
            </w:r>
          </w:p>
        </w:tc>
        <w:tc>
          <w:tcPr/>
          <w:p>
            <w:pPr>
              <w:pStyle w:val="Compact"/>
              <w:jc w:val="left"/>
            </w:pPr>
            <w:r>
              <w:t xml:space="preserve">Email to all comparison tool users who selected CrowdStrike</w:t>
            </w:r>
          </w:p>
        </w:tc>
        <w:tc>
          <w:tcPr/>
          <w:p>
            <w:pPr>
              <w:pStyle w:val="Compact"/>
              <w:jc w:val="left"/>
            </w:pPr>
            <w:r>
              <w:t xml:space="preserve">Email</w:t>
            </w:r>
          </w:p>
        </w:tc>
        <w:tc>
          <w:tcPr/>
          <w:p>
            <w:pPr>
              <w:pStyle w:val="Compact"/>
              <w:jc w:val="left"/>
            </w:pPr>
            <w:r>
              <w:t xml:space="preserve">Personalized strike</w:t>
            </w:r>
          </w:p>
        </w:tc>
      </w:tr>
      <w:tr>
        <w:tc>
          <w:tcPr/>
          <w:p>
            <w:pPr>
              <w:pStyle w:val="Compact"/>
              <w:jc w:val="left"/>
            </w:pPr>
            <w:r>
              <w:t xml:space="preserve">12:00</w:t>
            </w:r>
          </w:p>
        </w:tc>
        <w:tc>
          <w:tcPr/>
          <w:p>
            <w:pPr>
              <w:pStyle w:val="Compact"/>
              <w:jc w:val="left"/>
            </w:pPr>
            <w:r>
              <w:t xml:space="preserve">Comment on 5 CrowdStrike LinkedIn posts</w:t>
            </w:r>
          </w:p>
        </w:tc>
        <w:tc>
          <w:tcPr/>
          <w:p>
            <w:pPr>
              <w:pStyle w:val="Compact"/>
              <w:jc w:val="left"/>
            </w:pPr>
            <w:r>
              <w:t xml:space="preserve">LinkedIn</w:t>
            </w:r>
          </w:p>
        </w:tc>
        <w:tc>
          <w:tcPr/>
          <w:p>
            <w:pPr>
              <w:pStyle w:val="Compact"/>
              <w:jc w:val="left"/>
            </w:pPr>
            <w:r>
              <w:t xml:space="preserve">Their audience</w:t>
            </w:r>
          </w:p>
        </w:tc>
      </w:tr>
      <w:tr>
        <w:tc>
          <w:tcPr/>
          <w:p>
            <w:pPr>
              <w:pStyle w:val="Compact"/>
              <w:jc w:val="left"/>
            </w:pPr>
            <w:r>
              <w:t xml:space="preserve">14:00</w:t>
            </w:r>
          </w:p>
        </w:tc>
        <w:tc>
          <w:tcPr/>
          <w:p>
            <w:pPr>
              <w:pStyle w:val="Compact"/>
              <w:jc w:val="left"/>
            </w:pPr>
            <w:r>
              <w:t xml:space="preserve">Reach out to 3 journalists who covered CrowdStrike CVEs</w:t>
            </w:r>
          </w:p>
        </w:tc>
        <w:tc>
          <w:tcPr/>
          <w:p>
            <w:pPr>
              <w:pStyle w:val="Compact"/>
              <w:jc w:val="left"/>
            </w:pPr>
            <w:r>
              <w:t xml:space="preserve">Email</w:t>
            </w:r>
          </w:p>
        </w:tc>
        <w:tc>
          <w:tcPr/>
          <w:p>
            <w:pPr>
              <w:pStyle w:val="Compact"/>
              <w:jc w:val="left"/>
            </w:pPr>
            <w:r>
              <w:t xml:space="preserve">Coverage target</w:t>
            </w:r>
          </w:p>
        </w:tc>
      </w:tr>
      <w:tr>
        <w:tc>
          <w:tcPr/>
          <w:p>
            <w:pPr>
              <w:pStyle w:val="Compact"/>
              <w:jc w:val="left"/>
            </w:pPr>
            <w:r>
              <w:t xml:space="preserve">16:00</w:t>
            </w:r>
          </w:p>
        </w:tc>
        <w:tc>
          <w:tcPr/>
          <w:p>
            <w:pPr>
              <w:pStyle w:val="Compact"/>
              <w:jc w:val="left"/>
            </w:pPr>
            <w:r>
              <w:t xml:space="preserve">Publish</w:t>
            </w:r>
            <w:r>
              <w:t xml:space="preserve"> </w:t>
            </w:r>
            <w:r>
              <w:t xml:space="preserve">“</w:t>
            </w:r>
            <w:r>
              <w:t xml:space="preserve">CrowdStrike Security Audit</w:t>
            </w:r>
            <w:r>
              <w:t xml:space="preserve">”</w:t>
            </w:r>
            <w:r>
              <w:t xml:space="preserve"> </w:t>
            </w:r>
            <w:r>
              <w:t xml:space="preserve">micro-report</w:t>
            </w:r>
          </w:p>
        </w:tc>
        <w:tc>
          <w:tcPr/>
          <w:p>
            <w:pPr>
              <w:pStyle w:val="Compact"/>
              <w:jc w:val="left"/>
            </w:pPr>
            <w:r>
              <w:t xml:space="preserve">sov3.ai/crowdstrike-audit</w:t>
            </w:r>
          </w:p>
        </w:tc>
        <w:tc>
          <w:tcPr/>
          <w:p>
            <w:pPr>
              <w:pStyle w:val="Compact"/>
              <w:jc w:val="left"/>
            </w:pPr>
            <w:r>
              <w:t xml:space="preserve">10,000 views</w:t>
            </w:r>
          </w:p>
        </w:tc>
      </w:tr>
      <w:tr>
        <w:tc>
          <w:tcPr/>
          <w:p>
            <w:pPr>
              <w:pStyle w:val="Compact"/>
              <w:jc w:val="left"/>
            </w:pPr>
            <w:r>
              <w:t xml:space="preserve">18:00</w:t>
            </w:r>
          </w:p>
        </w:tc>
        <w:tc>
          <w:tcPr/>
          <w:p>
            <w:pPr>
              <w:pStyle w:val="Compact"/>
              <w:jc w:val="left"/>
            </w:pPr>
            <w:r>
              <w:t xml:space="preserve">Activate comparison tool: CrowdStrike vs SOV3 auto-populated</w:t>
            </w:r>
          </w:p>
        </w:tc>
        <w:tc>
          <w:tcPr/>
          <w:p>
            <w:pPr>
              <w:pStyle w:val="Compact"/>
              <w:jc w:val="left"/>
            </w:pPr>
            <w:r>
              <w:t xml:space="preserve">sov3.ai/compare</w:t>
            </w:r>
          </w:p>
        </w:tc>
        <w:tc>
          <w:tcPr/>
          <w:p>
            <w:pPr>
              <w:pStyle w:val="Compact"/>
              <w:jc w:val="left"/>
            </w:pPr>
            <w:r>
              <w:t xml:space="preserve">1,000 scans</w:t>
            </w:r>
          </w:p>
        </w:tc>
      </w:tr>
    </w:tbl>
    <w:p>
      <w:pPr>
        <w:pStyle w:val="BodyText"/>
      </w:pPr>
      <w:r>
        <w:rPr>
          <w:bCs/>
          <w:b/>
        </w:rPr>
        <w:t xml:space="preserve">The CVE Narrative:</w:t>
      </w:r>
      <w:r>
        <w:t xml:space="preserve"> </w:t>
      </w:r>
      <w:r>
        <w:t xml:space="preserve">CrowdStrike’s CVE-2026-40050</w:t>
      </w:r>
      <w:r>
        <w:rPr>
          <w:vertAlign w:val="superscript"/>
        </w:rPr>
        <w:t xml:space="preserve">9</w:t>
      </w:r>
      <w:r>
        <w:t xml:space="preserve">is not just a vulnerability — it’s a credibility destruction event for a company that sells security. The blitz connects the dots:</w:t>
      </w:r>
      <w:r>
        <w:t xml:space="preserve"> </w:t>
      </w:r>
      <w:r>
        <w:rPr>
          <w:iCs/>
          <w:i/>
        </w:rPr>
        <w:t xml:space="preserve">“</w:t>
      </w:r>
      <w:r>
        <w:rPr>
          <w:iCs/>
          <w:i/>
        </w:rPr>
        <w:t xml:space="preserve">CrowdStrike’s stock splits on July 2. Their CEO sold $30M+ in 2 weeks. Their platform has a fresh CVE. They’re splitting stock, not fixing security.</w:t>
      </w:r>
      <w:r>
        <w:rPr>
          <w:iCs/>
          <w:i/>
        </w:rPr>
        <w:t xml:space="preserve">”</w:t>
      </w:r>
      <w:r>
        <w:t xml:space="preserve"> </w:t>
      </w:r>
      <w:r>
        <w:t xml:space="preserve">— This phrase becomes the tagline. Every channel repeats it.</w:t>
      </w:r>
    </w:p>
    <w:bookmarkEnd w:id="96"/>
    <w:bookmarkStart w:id="97" w:name="wednesday-july-2-the-stock-split-strike"/>
    <w:p>
      <w:pPr>
        <w:pStyle w:val="Heading4"/>
      </w:pPr>
      <w:r>
        <w:t xml:space="preserve">Wednesday, July 2: The Stock Split Strike</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09:30</w:t>
            </w:r>
          </w:p>
        </w:tc>
        <w:tc>
          <w:tcPr/>
          <w:p>
            <w:pPr>
              <w:pStyle w:val="Compact"/>
              <w:jc w:val="left"/>
            </w:pPr>
            <w:r>
              <w:t xml:space="preserve">CrowdStrike 4-for-1 stock split executes</w:t>
            </w:r>
          </w:p>
        </w:tc>
        <w:tc>
          <w:tcPr/>
          <w:p>
            <w:pPr>
              <w:pStyle w:val="Compact"/>
              <w:jc w:val="left"/>
            </w:pPr>
            <w:r>
              <w:t xml:space="preserve">Market event</w:t>
            </w:r>
          </w:p>
        </w:tc>
        <w:tc>
          <w:tcPr/>
          <w:p>
            <w:pPr>
              <w:pStyle w:val="Compact"/>
              <w:jc w:val="left"/>
            </w:pPr>
            <w:r>
              <w:t xml:space="preserve">Maximum attention</w:t>
            </w:r>
          </w:p>
        </w:tc>
      </w:tr>
      <w:tr>
        <w:tc>
          <w:tcPr/>
          <w:p>
            <w:pPr>
              <w:pStyle w:val="Compact"/>
              <w:jc w:val="left"/>
            </w:pPr>
            <w:r>
              <w:t xml:space="preserve">09:35</w:t>
            </w:r>
          </w:p>
        </w:tc>
        <w:tc>
          <w:tcPr/>
          <w:p>
            <w:pPr>
              <w:pStyle w:val="Compact"/>
              <w:jc w:val="left"/>
            </w:pPr>
            <w:r>
              <w:t xml:space="preserve">Publish:</w:t>
            </w:r>
            <w:r>
              <w:t xml:space="preserve"> </w:t>
            </w:r>
            <w:r>
              <w:t xml:space="preserve">“</w:t>
            </w:r>
            <w:r>
              <w:t xml:space="preserve">Splitting Stock, Not Fixing Security: A CrowdStrike Audit</w:t>
            </w:r>
            <w:r>
              <w:t xml:space="preserve">”</w:t>
            </w:r>
          </w:p>
        </w:tc>
        <w:tc>
          <w:tcPr/>
          <w:p>
            <w:pPr>
              <w:pStyle w:val="Compact"/>
              <w:jc w:val="left"/>
            </w:pPr>
            <w:r>
              <w:t xml:space="preserve">All channels</w:t>
            </w:r>
          </w:p>
        </w:tc>
        <w:tc>
          <w:tcPr/>
          <w:p>
            <w:pPr>
              <w:pStyle w:val="Compact"/>
              <w:jc w:val="left"/>
            </w:pPr>
            <w:r>
              <w:t xml:space="preserve">100K impressions</w:t>
            </w:r>
          </w:p>
        </w:tc>
      </w:tr>
      <w:tr>
        <w:tc>
          <w:tcPr/>
          <w:p>
            <w:pPr>
              <w:pStyle w:val="Compact"/>
              <w:jc w:val="left"/>
            </w:pPr>
            <w:r>
              <w:t xml:space="preserve">10:00</w:t>
            </w:r>
          </w:p>
        </w:tc>
        <w:tc>
          <w:tcPr/>
          <w:p>
            <w:pPr>
              <w:pStyle w:val="Compact"/>
              <w:jc w:val="left"/>
            </w:pPr>
            <w:r>
              <w:t xml:space="preserve">X:</w:t>
            </w:r>
            <w:r>
              <w:t xml:space="preserve"> </w:t>
            </w:r>
            <w:r>
              <w:t xml:space="preserve">“</w:t>
            </w:r>
            <w:r>
              <w:t xml:space="preserve">CrowdStrike’s stock just split 4-for-1. Their security didn’t.</w:t>
            </w:r>
            <w:r>
              <w:t xml:space="preserve">”</w:t>
            </w:r>
          </w:p>
        </w:tc>
        <w:tc>
          <w:tcPr/>
          <w:p>
            <w:pPr>
              <w:pStyle w:val="Compact"/>
              <w:jc w:val="left"/>
            </w:pPr>
            <w:r>
              <w:t xml:space="preserve">X/Twitter</w:t>
            </w:r>
          </w:p>
        </w:tc>
        <w:tc>
          <w:tcPr/>
          <w:p>
            <w:pPr>
              <w:pStyle w:val="Compact"/>
              <w:jc w:val="left"/>
            </w:pPr>
            <w:r>
              <w:t xml:space="preserve">Viral target</w:t>
            </w:r>
          </w:p>
        </w:tc>
      </w:tr>
      <w:tr>
        <w:tc>
          <w:tcPr/>
          <w:p>
            <w:pPr>
              <w:pStyle w:val="Compact"/>
              <w:jc w:val="left"/>
            </w:pPr>
            <w:r>
              <w:t xml:space="preserve">10:30</w:t>
            </w:r>
          </w:p>
        </w:tc>
        <w:tc>
          <w:tcPr/>
          <w:p>
            <w:pPr>
              <w:pStyle w:val="Compact"/>
              <w:jc w:val="left"/>
            </w:pPr>
            <w:r>
              <w:t xml:space="preserve">LinkedIn:</w:t>
            </w:r>
            <w:r>
              <w:t xml:space="preserve"> </w:t>
            </w:r>
            <w:r>
              <w:t xml:space="preserve">“</w:t>
            </w:r>
            <w:r>
              <w:t xml:space="preserve">Why I’m not buying CrowdStrike stock (or their security story)</w:t>
            </w:r>
            <w:r>
              <w:t xml:space="preserve">”</w:t>
            </w:r>
          </w:p>
        </w:tc>
        <w:tc>
          <w:tcPr/>
          <w:p>
            <w:pPr>
              <w:pStyle w:val="Compact"/>
              <w:jc w:val="left"/>
            </w:pPr>
            <w:r>
              <w:t xml:space="preserve">LinkedIn</w:t>
            </w:r>
          </w:p>
        </w:tc>
        <w:tc>
          <w:tcPr/>
          <w:p>
            <w:pPr>
              <w:pStyle w:val="Compact"/>
              <w:jc w:val="left"/>
            </w:pPr>
            <w:r>
              <w:t xml:space="preserve">50K impressions</w:t>
            </w:r>
          </w:p>
        </w:tc>
      </w:tr>
      <w:tr>
        <w:tc>
          <w:tcPr/>
          <w:p>
            <w:pPr>
              <w:pStyle w:val="Compact"/>
              <w:jc w:val="left"/>
            </w:pPr>
            <w:r>
              <w:t xml:space="preserve">11:00</w:t>
            </w:r>
          </w:p>
        </w:tc>
        <w:tc>
          <w:tcPr/>
          <w:p>
            <w:pPr>
              <w:pStyle w:val="Compact"/>
              <w:jc w:val="left"/>
            </w:pPr>
            <w:r>
              <w:t xml:space="preserve">Hacker News:</w:t>
            </w:r>
            <w:r>
              <w:t xml:space="preserve"> </w:t>
            </w:r>
            <w:r>
              <w:t xml:space="preserve">“</w:t>
            </w:r>
            <w:r>
              <w:t xml:space="preserve">CrowdStrike stock split day security audit</w:t>
            </w:r>
            <w:r>
              <w:t xml:space="preserve">”</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12:00</w:t>
            </w:r>
          </w:p>
        </w:tc>
        <w:tc>
          <w:tcPr/>
          <w:p>
            <w:pPr>
              <w:pStyle w:val="Compact"/>
              <w:jc w:val="left"/>
            </w:pPr>
            <w:r>
              <w:t xml:space="preserve">Reddit: r/stocks, r/cybersecurity, r/wallstreetbets</w:t>
            </w:r>
          </w:p>
        </w:tc>
        <w:tc>
          <w:tcPr/>
          <w:p>
            <w:pPr>
              <w:pStyle w:val="Compact"/>
              <w:jc w:val="left"/>
            </w:pPr>
            <w:r>
              <w:t xml:space="preserve">Reddit</w:t>
            </w:r>
          </w:p>
        </w:tc>
        <w:tc>
          <w:tcPr/>
          <w:p>
            <w:pPr>
              <w:pStyle w:val="Compact"/>
              <w:jc w:val="left"/>
            </w:pPr>
            <w:r>
              <w:t xml:space="preserve">5,000 upvotes</w:t>
            </w:r>
          </w:p>
        </w:tc>
      </w:tr>
      <w:tr>
        <w:tc>
          <w:tcPr/>
          <w:p>
            <w:pPr>
              <w:pStyle w:val="Compact"/>
              <w:jc w:val="left"/>
            </w:pPr>
            <w:r>
              <w:t xml:space="preserve">14:00</w:t>
            </w:r>
          </w:p>
        </w:tc>
        <w:tc>
          <w:tcPr/>
          <w:p>
            <w:pPr>
              <w:pStyle w:val="Compact"/>
              <w:jc w:val="left"/>
            </w:pPr>
            <w:r>
              <w:t xml:space="preserve">Email blast:</w:t>
            </w:r>
            <w:r>
              <w:t xml:space="preserve"> </w:t>
            </w:r>
            <w:r>
              <w:t xml:space="preserve">“</w:t>
            </w:r>
            <w:r>
              <w:t xml:space="preserve">While CrowdStrike splits stock, we’re splitting from broken governance</w:t>
            </w:r>
            <w:r>
              <w:t xml:space="preserve">”</w:t>
            </w:r>
          </w:p>
        </w:tc>
        <w:tc>
          <w:tcPr/>
          <w:p>
            <w:pPr>
              <w:pStyle w:val="Compact"/>
              <w:jc w:val="left"/>
            </w:pPr>
            <w:r>
              <w:t xml:space="preserve">All lists</w:t>
            </w:r>
          </w:p>
        </w:tc>
        <w:tc>
          <w:tcPr/>
          <w:p>
            <w:pPr>
              <w:pStyle w:val="Compact"/>
              <w:jc w:val="left"/>
            </w:pPr>
            <w:r>
              <w:t xml:space="preserve">10,000 recipients</w:t>
            </w:r>
          </w:p>
        </w:tc>
      </w:tr>
      <w:tr>
        <w:tc>
          <w:tcPr/>
          <w:p>
            <w:pPr>
              <w:pStyle w:val="Compact"/>
              <w:jc w:val="left"/>
            </w:pPr>
            <w:r>
              <w:t xml:space="preserve">16:00</w:t>
            </w:r>
          </w:p>
        </w:tc>
        <w:tc>
          <w:tcPr/>
          <w:p>
            <w:pPr>
              <w:pStyle w:val="Compact"/>
              <w:jc w:val="left"/>
            </w:pPr>
            <w:r>
              <w:t xml:space="preserve">LinkedIn comment campaign on CrowdSplit split announcement</w:t>
            </w:r>
          </w:p>
        </w:tc>
        <w:tc>
          <w:tcPr/>
          <w:p>
            <w:pPr>
              <w:pStyle w:val="Compact"/>
              <w:jc w:val="left"/>
            </w:pPr>
            <w:r>
              <w:t xml:space="preserve">LinkedIn</w:t>
            </w:r>
          </w:p>
        </w:tc>
        <w:tc>
          <w:tcPr/>
          <w:p>
            <w:pPr>
              <w:pStyle w:val="Compact"/>
              <w:jc w:val="left"/>
            </w:pPr>
            <w:r>
              <w:t xml:space="preserve">20 comments</w:t>
            </w:r>
          </w:p>
        </w:tc>
      </w:tr>
      <w:tr>
        <w:tc>
          <w:tcPr/>
          <w:p>
            <w:pPr>
              <w:pStyle w:val="Compact"/>
              <w:jc w:val="left"/>
            </w:pPr>
            <w:r>
              <w:t xml:space="preserve">18:00</w:t>
            </w:r>
          </w:p>
        </w:tc>
        <w:tc>
          <w:tcPr/>
          <w:p>
            <w:pPr>
              <w:pStyle w:val="Compact"/>
              <w:jc w:val="left"/>
            </w:pPr>
            <w:r>
              <w:t xml:space="preserve">Publish pre-launch hype video</w:t>
            </w:r>
          </w:p>
        </w:tc>
        <w:tc>
          <w:tcPr/>
          <w:p>
            <w:pPr>
              <w:pStyle w:val="Compact"/>
              <w:jc w:val="left"/>
            </w:pPr>
            <w:r>
              <w:t xml:space="preserve">YouTube, X, LinkedIn</w:t>
            </w:r>
          </w:p>
        </w:tc>
        <w:tc>
          <w:tcPr/>
          <w:p>
            <w:pPr>
              <w:pStyle w:val="Compact"/>
              <w:jc w:val="left"/>
            </w:pPr>
            <w:r>
              <w:t xml:space="preserve">25,000 views</w:t>
            </w:r>
          </w:p>
        </w:tc>
      </w:tr>
      <w:tr>
        <w:tc>
          <w:tcPr/>
          <w:p>
            <w:pPr>
              <w:pStyle w:val="Compact"/>
              <w:jc w:val="left"/>
            </w:pPr>
            <w:r>
              <w:t xml:space="preserve">20:00</w:t>
            </w:r>
          </w:p>
        </w:tc>
        <w:tc>
          <w:tcPr/>
          <w:p>
            <w:pPr>
              <w:pStyle w:val="Compact"/>
              <w:jc w:val="left"/>
            </w:pPr>
            <w:r>
              <w:t xml:space="preserve">Final preparation for T-24 hours</w:t>
            </w:r>
          </w:p>
        </w:tc>
        <w:tc>
          <w:tcPr/>
          <w:p>
            <w:pPr>
              <w:pStyle w:val="Compact"/>
              <w:jc w:val="left"/>
            </w:pPr>
            <w:r>
              <w:t xml:space="preserve">Internal</w:t>
            </w:r>
          </w:p>
        </w:tc>
        <w:tc>
          <w:tcPr/>
          <w:p>
            <w:pPr>
              <w:pStyle w:val="Compact"/>
              <w:jc w:val="left"/>
            </w:pPr>
            <w:r>
              <w:t xml:space="preserve">All hands</w:t>
            </w:r>
          </w:p>
        </w:tc>
      </w:tr>
    </w:tbl>
    <w:p>
      <w:pPr>
        <w:pStyle w:val="BodyText"/>
      </w:pPr>
      <w:r>
        <w:rPr>
          <w:bCs/>
          <w:b/>
        </w:rPr>
        <w:t xml:space="preserve">The Stock Split Convergence:</w:t>
      </w:r>
      <w:r>
        <w:t xml:space="preserve"> </w:t>
      </w:r>
      <w:r>
        <w:t xml:space="preserve">This is the insight that drives the entire 72-hour sequence</w:t>
      </w:r>
      <w:r>
        <w:rPr>
          <w:vertAlign w:val="superscript"/>
        </w:rPr>
        <w:t xml:space="preserve">9</w:t>
      </w:r>
      <w:r>
        <w:t xml:space="preserve">. When CrowdStrike’s stock splits 4-for-1, retail investors flood in, financial media provides wall-to-wall coverage, and the company’s name is everywhere. SOV3’s</w:t>
      </w:r>
      <w:r>
        <w:t xml:space="preserve"> </w:t>
      </w:r>
      <w:r>
        <w:t xml:space="preserve">“</w:t>
      </w:r>
      <w:r>
        <w:t xml:space="preserve">Splitting Stock, Not Fixing Security</w:t>
      </w:r>
      <w:r>
        <w:t xml:space="preserve">”</w:t>
      </w:r>
      <w:r>
        <w:t xml:space="preserve"> </w:t>
      </w:r>
      <w:r>
        <w:t xml:space="preserve">narrative rides that attention wave — converting financial curiosity into security skepticism. The $30M+ insider selling by CEO George Kurtz</w:t>
      </w:r>
      <w:r>
        <w:rPr>
          <w:vertAlign w:val="superscript"/>
        </w:rPr>
        <w:t xml:space="preserve">8</w:t>
      </w:r>
      <w:r>
        <w:t xml:space="preserve">adds the executive-confidence layer:</w:t>
      </w:r>
      <w:r>
        <w:t xml:space="preserve"> </w:t>
      </w:r>
      <w:r>
        <w:rPr>
          <w:iCs/>
          <w:i/>
        </w:rPr>
        <w:t xml:space="preserve">“</w:t>
      </w:r>
      <w:r>
        <w:rPr>
          <w:iCs/>
          <w:i/>
        </w:rPr>
        <w:t xml:space="preserve">He sold $30M. Should you buy?</w:t>
      </w:r>
      <w:r>
        <w:rPr>
          <w:iCs/>
          <w:i/>
        </w:rPr>
        <w:t xml:space="preserve">”</w:t>
      </w:r>
    </w:p>
    <w:bookmarkEnd w:id="97"/>
    <w:bookmarkStart w:id="98" w:name="thursday-july-3-t-24-hours"/>
    <w:p>
      <w:pPr>
        <w:pStyle w:val="Heading4"/>
      </w:pPr>
      <w:r>
        <w:t xml:space="preserve">Thursday, July 3: T-24 Hours</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T-24 Hours</w:t>
            </w:r>
            <w:r>
              <w:t xml:space="preserve">”</w:t>
            </w:r>
            <w:r>
              <w:t xml:space="preserve"> </w:t>
            </w:r>
            <w:r>
              <w:t xml:space="preserve">countdown page</w:t>
            </w:r>
          </w:p>
        </w:tc>
        <w:tc>
          <w:tcPr/>
          <w:p>
            <w:pPr>
              <w:pStyle w:val="Compact"/>
              <w:jc w:val="left"/>
            </w:pPr>
            <w:r>
              <w:t xml:space="preserve">sov3.ai/countdown</w:t>
            </w:r>
          </w:p>
        </w:tc>
        <w:tc>
          <w:tcPr/>
          <w:p>
            <w:pPr>
              <w:pStyle w:val="Compact"/>
              <w:jc w:val="left"/>
            </w:pPr>
            <w:r>
              <w:t xml:space="preserve">50,000 visitors</w:t>
            </w:r>
          </w:p>
        </w:tc>
      </w:tr>
      <w:tr>
        <w:tc>
          <w:tcPr/>
          <w:p>
            <w:pPr>
              <w:pStyle w:val="Compact"/>
              <w:jc w:val="left"/>
            </w:pPr>
            <w:r>
              <w:t xml:space="preserve">06:30</w:t>
            </w:r>
          </w:p>
        </w:tc>
        <w:tc>
          <w:tcPr/>
          <w:p>
            <w:pPr>
              <w:pStyle w:val="Compact"/>
              <w:jc w:val="left"/>
            </w:pPr>
            <w:r>
              <w:t xml:space="preserve">X:</w:t>
            </w:r>
            <w:r>
              <w:t xml:space="preserve"> </w:t>
            </w:r>
            <w:r>
              <w:t xml:space="preserve">“</w:t>
            </w:r>
            <w:r>
              <w:t xml:space="preserve">Tomorrow, AI governance changes forever. Here’s what we’re launching.</w:t>
            </w:r>
            <w:r>
              <w:t xml:space="preserve">”</w:t>
            </w:r>
          </w:p>
        </w:tc>
        <w:tc>
          <w:tcPr/>
          <w:p>
            <w:pPr>
              <w:pStyle w:val="Compact"/>
              <w:jc w:val="left"/>
            </w:pPr>
            <w:r>
              <w:t xml:space="preserve">X/Twitter</w:t>
            </w:r>
          </w:p>
        </w:tc>
        <w:tc>
          <w:tcPr/>
          <w:p>
            <w:pPr>
              <w:pStyle w:val="Compact"/>
              <w:jc w:val="left"/>
            </w:pPr>
            <w:r>
              <w:t xml:space="preserve">100K impressions</w:t>
            </w:r>
          </w:p>
        </w:tc>
      </w:tr>
      <w:tr>
        <w:tc>
          <w:tcPr/>
          <w:p>
            <w:pPr>
              <w:pStyle w:val="Compact"/>
              <w:jc w:val="left"/>
            </w:pPr>
            <w:r>
              <w:t xml:space="preserve">07:00</w:t>
            </w:r>
          </w:p>
        </w:tc>
        <w:tc>
          <w:tcPr/>
          <w:p>
            <w:pPr>
              <w:pStyle w:val="Compact"/>
              <w:jc w:val="left"/>
            </w:pPr>
            <w:r>
              <w:t xml:space="preserve">LinkedIn:</w:t>
            </w:r>
            <w:r>
              <w:t xml:space="preserve"> </w:t>
            </w:r>
            <w:r>
              <w:t xml:space="preserve">“</w:t>
            </w:r>
            <w:r>
              <w:t xml:space="preserve">24 hours. 5 products. 1 mission.</w:t>
            </w:r>
            <w:r>
              <w:t xml:space="preserve">”</w:t>
            </w:r>
          </w:p>
        </w:tc>
        <w:tc>
          <w:tcPr/>
          <w:p>
            <w:pPr>
              <w:pStyle w:val="Compact"/>
              <w:jc w:val="left"/>
            </w:pPr>
            <w:r>
              <w:t xml:space="preserve">LinkedIn</w:t>
            </w:r>
          </w:p>
        </w:tc>
        <w:tc>
          <w:tcPr/>
          <w:p>
            <w:pPr>
              <w:pStyle w:val="Compact"/>
              <w:jc w:val="left"/>
            </w:pPr>
            <w:r>
              <w:t xml:space="preserve">50K impressions</w:t>
            </w:r>
          </w:p>
        </w:tc>
      </w:tr>
      <w:tr>
        <w:tc>
          <w:tcPr/>
          <w:p>
            <w:pPr>
              <w:pStyle w:val="Compact"/>
              <w:jc w:val="left"/>
            </w:pPr>
            <w:r>
              <w:t xml:space="preserve">08:00</w:t>
            </w:r>
          </w:p>
        </w:tc>
        <w:tc>
          <w:tcPr/>
          <w:p>
            <w:pPr>
              <w:pStyle w:val="Compact"/>
              <w:jc w:val="left"/>
            </w:pPr>
            <w:r>
              <w:t xml:space="preserve">Email:</w:t>
            </w:r>
            <w:r>
              <w:t xml:space="preserve"> </w:t>
            </w:r>
            <w:r>
              <w:t xml:space="preserve">“</w:t>
            </w:r>
            <w:r>
              <w:t xml:space="preserve">You’re on the list. 24 hours early access.</w:t>
            </w:r>
            <w:r>
              <w:t xml:space="preserve">”</w:t>
            </w:r>
          </w:p>
        </w:tc>
        <w:tc>
          <w:tcPr/>
          <w:p>
            <w:pPr>
              <w:pStyle w:val="Compact"/>
              <w:jc w:val="left"/>
            </w:pPr>
            <w:r>
              <w:t xml:space="preserve">All lists</w:t>
            </w:r>
          </w:p>
        </w:tc>
        <w:tc>
          <w:tcPr/>
          <w:p>
            <w:pPr>
              <w:pStyle w:val="Compact"/>
              <w:jc w:val="left"/>
            </w:pPr>
            <w:r>
              <w:t xml:space="preserve">100% send</w:t>
            </w:r>
          </w:p>
        </w:tc>
      </w:tr>
      <w:tr>
        <w:tc>
          <w:tcPr/>
          <w:p>
            <w:pPr>
              <w:pStyle w:val="Compact"/>
              <w:jc w:val="left"/>
            </w:pPr>
            <w:r>
              <w:t xml:space="preserve">09:00</w:t>
            </w:r>
          </w:p>
        </w:tc>
        <w:tc>
          <w:tcPr/>
          <w:p>
            <w:pPr>
              <w:pStyle w:val="Compact"/>
              <w:jc w:val="left"/>
            </w:pPr>
            <w:r>
              <w:t xml:space="preserve">Hacker News:</w:t>
            </w:r>
            <w:r>
              <w:t xml:space="preserve"> </w:t>
            </w:r>
            <w:r>
              <w:t xml:space="preserve">“</w:t>
            </w:r>
            <w:r>
              <w:t xml:space="preserve">Launching tomorrow: open-source AI governance + certification platform</w:t>
            </w:r>
            <w:r>
              <w:t xml:space="preserve">”</w:t>
            </w:r>
          </w:p>
        </w:tc>
        <w:tc>
          <w:tcPr/>
          <w:p>
            <w:pPr>
              <w:pStyle w:val="Compact"/>
              <w:jc w:val="left"/>
            </w:pPr>
            <w:r>
              <w:t xml:space="preserve">HN</w:t>
            </w:r>
          </w:p>
        </w:tc>
        <w:tc>
          <w:tcPr/>
          <w:p>
            <w:pPr>
              <w:pStyle w:val="Compact"/>
              <w:jc w:val="left"/>
            </w:pPr>
            <w:r>
              <w:t xml:space="preserve">Build anticipation</w:t>
            </w:r>
          </w:p>
        </w:tc>
      </w:tr>
      <w:tr>
        <w:tc>
          <w:tcPr/>
          <w:p>
            <w:pPr>
              <w:pStyle w:val="Compact"/>
              <w:jc w:val="left"/>
            </w:pPr>
            <w:r>
              <w:t xml:space="preserve">10:00</w:t>
            </w:r>
          </w:p>
        </w:tc>
        <w:tc>
          <w:tcPr/>
          <w:p>
            <w:pPr>
              <w:pStyle w:val="Compact"/>
              <w:jc w:val="left"/>
            </w:pPr>
            <w:r>
              <w:t xml:space="preserve">Reddit:</w:t>
            </w:r>
            <w:r>
              <w:t xml:space="preserve"> </w:t>
            </w:r>
            <w:r>
              <w:t xml:space="preserve">“</w:t>
            </w:r>
            <w:r>
              <w:t xml:space="preserve">Tomorrow I launch SOV3.ai — AMA about AI governance, EU AI Act, or why July 4</w:t>
            </w:r>
            <w:r>
              <w:t xml:space="preserve">”</w:t>
            </w:r>
          </w:p>
        </w:tc>
        <w:tc>
          <w:tcPr/>
          <w:p>
            <w:pPr>
              <w:pStyle w:val="Compact"/>
              <w:jc w:val="left"/>
            </w:pPr>
            <w:r>
              <w:t xml:space="preserve">r/AMA, r/startups</w:t>
            </w:r>
          </w:p>
        </w:tc>
        <w:tc>
          <w:tcPr/>
          <w:p>
            <w:pPr>
              <w:pStyle w:val="Compact"/>
              <w:jc w:val="left"/>
            </w:pPr>
            <w:r>
              <w:t xml:space="preserve">500 comments</w:t>
            </w:r>
          </w:p>
        </w:tc>
      </w:tr>
      <w:tr>
        <w:tc>
          <w:tcPr/>
          <w:p>
            <w:pPr>
              <w:pStyle w:val="Compact"/>
              <w:jc w:val="left"/>
            </w:pPr>
            <w:r>
              <w:t xml:space="preserve">12:00</w:t>
            </w:r>
          </w:p>
        </w:tc>
        <w:tc>
          <w:tcPr/>
          <w:p>
            <w:pPr>
              <w:pStyle w:val="Compact"/>
              <w:jc w:val="left"/>
            </w:pPr>
            <w:r>
              <w:t xml:space="preserve">Press embargo lifts: pre-briefed journalists publish</w:t>
            </w:r>
          </w:p>
        </w:tc>
        <w:tc>
          <w:tcPr/>
          <w:p>
            <w:pPr>
              <w:pStyle w:val="Compact"/>
              <w:jc w:val="left"/>
            </w:pPr>
            <w:r>
              <w:t xml:space="preserve">Tech press</w:t>
            </w:r>
          </w:p>
        </w:tc>
        <w:tc>
          <w:tcPr/>
          <w:p>
            <w:pPr>
              <w:pStyle w:val="Compact"/>
              <w:jc w:val="left"/>
            </w:pPr>
            <w:r>
              <w:t xml:space="preserve">10 articles</w:t>
            </w:r>
          </w:p>
        </w:tc>
      </w:tr>
      <w:tr>
        <w:tc>
          <w:tcPr/>
          <w:p>
            <w:pPr>
              <w:pStyle w:val="Compact"/>
              <w:jc w:val="left"/>
            </w:pPr>
            <w:r>
              <w:t xml:space="preserve">14:00</w:t>
            </w:r>
          </w:p>
        </w:tc>
        <w:tc>
          <w:tcPr/>
          <w:p>
            <w:pPr>
              <w:pStyle w:val="Compact"/>
              <w:jc w:val="left"/>
            </w:pPr>
            <w:r>
              <w:t xml:space="preserve">Final systems check: all services green</w:t>
            </w:r>
          </w:p>
        </w:tc>
        <w:tc>
          <w:tcPr/>
          <w:p>
            <w:pPr>
              <w:pStyle w:val="Compact"/>
              <w:jc w:val="left"/>
            </w:pPr>
            <w:r>
              <w:t xml:space="preserve">Internal</w:t>
            </w:r>
          </w:p>
        </w:tc>
        <w:tc>
          <w:tcPr/>
          <w:p>
            <w:pPr>
              <w:pStyle w:val="Compact"/>
              <w:jc w:val="left"/>
            </w:pPr>
            <w:r>
              <w:t xml:space="preserve">Go confirmed</w:t>
            </w:r>
          </w:p>
        </w:tc>
      </w:tr>
      <w:tr>
        <w:tc>
          <w:tcPr/>
          <w:p>
            <w:pPr>
              <w:pStyle w:val="Compact"/>
              <w:jc w:val="left"/>
            </w:pPr>
            <w:r>
              <w:t xml:space="preserve">16:00</w:t>
            </w:r>
          </w:p>
        </w:tc>
        <w:tc>
          <w:tcPr/>
          <w:p>
            <w:pPr>
              <w:pStyle w:val="Compact"/>
              <w:jc w:val="left"/>
            </w:pPr>
            <w:r>
              <w:t xml:space="preserve">Team celebration + final rest before launch day</w:t>
            </w:r>
          </w:p>
        </w:tc>
        <w:tc>
          <w:tcPr/>
          <w:p>
            <w:pPr>
              <w:pStyle w:val="Compact"/>
              <w:jc w:val="left"/>
            </w:pPr>
            <w:r>
              <w:t xml:space="preserve">Internal</w:t>
            </w:r>
          </w:p>
        </w:tc>
        <w:tc>
          <w:tcPr/>
          <w:p>
            <w:pPr>
              <w:pStyle w:val="Compact"/>
              <w:jc w:val="left"/>
            </w:pPr>
            <w:r>
              <w:t xml:space="preserve">Morale</w:t>
            </w:r>
          </w:p>
        </w:tc>
      </w:tr>
      <w:tr>
        <w:tc>
          <w:tcPr/>
          <w:p>
            <w:pPr>
              <w:pStyle w:val="Compact"/>
              <w:jc w:val="left"/>
            </w:pPr>
            <w:r>
              <w:t xml:space="preserve">18:00</w:t>
            </w:r>
          </w:p>
        </w:tc>
        <w:tc>
          <w:tcPr/>
          <w:p>
            <w:pPr>
              <w:pStyle w:val="Compact"/>
              <w:jc w:val="left"/>
            </w:pPr>
            <w:r>
              <w:t xml:space="preserve">Schedule all July 4 social posts for automated deployment</w:t>
            </w:r>
          </w:p>
        </w:tc>
        <w:tc>
          <w:tcPr/>
          <w:p>
            <w:pPr>
              <w:pStyle w:val="Compact"/>
              <w:jc w:val="left"/>
            </w:pPr>
            <w:r>
              <w:t xml:space="preserve">Buffer</w:t>
            </w:r>
          </w:p>
        </w:tc>
        <w:tc>
          <w:tcPr/>
          <w:p>
            <w:pPr>
              <w:pStyle w:val="Compact"/>
              <w:jc w:val="left"/>
            </w:pPr>
            <w:r>
              <w:t xml:space="preserve">Zero manual posting at launch</w:t>
            </w:r>
          </w:p>
        </w:tc>
      </w:tr>
      <w:tr>
        <w:tc>
          <w:tcPr/>
          <w:p>
            <w:pPr>
              <w:pStyle w:val="Compact"/>
              <w:jc w:val="left"/>
            </w:pPr>
            <w:r>
              <w:t xml:space="preserve">20:00</w:t>
            </w:r>
          </w:p>
        </w:tc>
        <w:tc>
          <w:tcPr/>
          <w:p>
            <w:pPr>
              <w:pStyle w:val="Compact"/>
              <w:jc w:val="left"/>
            </w:pPr>
            <w:r>
              <w:t xml:space="preserve">Sleep. Tomorrow is the day.</w:t>
            </w:r>
          </w:p>
        </w:tc>
        <w:tc>
          <w:tcPr/>
          <w:p>
            <w:pPr>
              <w:pStyle w:val="Compact"/>
              <w:jc w:val="left"/>
            </w:pPr>
            <w:r>
              <w:t xml:space="preserve">—</w:t>
            </w:r>
          </w:p>
        </w:tc>
        <w:tc>
          <w:tcPr/>
          <w:p>
            <w:pPr>
              <w:pStyle w:val="Compact"/>
              <w:jc w:val="left"/>
            </w:pPr>
            <w:r>
              <w:t xml:space="preserve">—</w:t>
            </w:r>
          </w:p>
        </w:tc>
      </w:tr>
    </w:tbl>
    <w:bookmarkEnd w:id="98"/>
    <w:bookmarkStart w:id="99" w:name="friday-july-4-launch-day"/>
    <w:p>
      <w:pPr>
        <w:pStyle w:val="Heading4"/>
      </w:pPr>
      <w:r>
        <w:t xml:space="preserve">Friday, July 4: LAUNCH DAY</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rPr>
                <w:bCs/>
                <w:b/>
              </w:rPr>
              <w:t xml:space="preserve">00:00</w:t>
            </w:r>
          </w:p>
        </w:tc>
        <w:tc>
          <w:tcPr/>
          <w:p>
            <w:pPr>
              <w:pStyle w:val="Compact"/>
              <w:jc w:val="left"/>
            </w:pPr>
            <w:r>
              <w:rPr>
                <w:bCs/>
                <w:b/>
              </w:rPr>
              <w:t xml:space="preserve">sov3.ai goes live. All products unlocked.</w:t>
            </w:r>
          </w:p>
        </w:tc>
        <w:tc>
          <w:tcPr/>
          <w:p>
            <w:pPr>
              <w:pStyle w:val="Compact"/>
              <w:jc w:val="left"/>
            </w:pPr>
            <w:r>
              <w:t xml:space="preserve">Website</w:t>
            </w:r>
          </w:p>
        </w:tc>
        <w:tc>
          <w:tcPr/>
          <w:p>
            <w:pPr>
              <w:pStyle w:val="Compact"/>
              <w:jc w:val="left"/>
            </w:pPr>
            <w:r>
              <w:t xml:space="preserve">Global</w:t>
            </w:r>
          </w:p>
        </w:tc>
      </w:tr>
      <w:tr>
        <w:tc>
          <w:tcPr/>
          <w:p>
            <w:pPr>
              <w:pStyle w:val="Compact"/>
              <w:jc w:val="left"/>
            </w:pPr>
            <w:r>
              <w:rPr>
                <w:bCs/>
                <w:b/>
              </w:rPr>
              <w:t xml:space="preserve">00:01</w:t>
            </w:r>
          </w:p>
        </w:tc>
        <w:tc>
          <w:tcPr/>
          <w:p>
            <w:pPr>
              <w:pStyle w:val="Compact"/>
              <w:jc w:val="left"/>
            </w:pPr>
            <w:r>
              <w:rPr>
                <w:bCs/>
                <w:b/>
              </w:rPr>
              <w:t xml:space="preserve">Press release #1:</w:t>
            </w:r>
            <w:r>
              <w:rPr>
                <w:bCs/>
                <w:b/>
              </w:rPr>
              <w:t xml:space="preserve"> </w:t>
            </w:r>
            <w:r>
              <w:rPr>
                <w:bCs/>
                <w:b/>
              </w:rPr>
              <w:t xml:space="preserve">“</w:t>
            </w:r>
            <w:r>
              <w:rPr>
                <w:bCs/>
                <w:b/>
              </w:rPr>
              <w:t xml:space="preserve">SOV3 Launches — AI Governance for the 99%</w:t>
            </w:r>
            <w:r>
              <w:rPr>
                <w:bCs/>
                <w:b/>
              </w:rPr>
              <w:t xml:space="preserve">”</w:t>
            </w:r>
          </w:p>
        </w:tc>
        <w:tc>
          <w:tcPr/>
          <w:p>
            <w:pPr>
              <w:pStyle w:val="Compact"/>
              <w:jc w:val="left"/>
            </w:pPr>
            <w:r>
              <w:t xml:space="preserve">PR Newswire</w:t>
            </w:r>
          </w:p>
        </w:tc>
        <w:tc>
          <w:tcPr/>
          <w:p>
            <w:pPr>
              <w:pStyle w:val="Compact"/>
              <w:jc w:val="left"/>
            </w:pPr>
            <w:r>
              <w:t xml:space="preserve">500 pickups</w:t>
            </w:r>
          </w:p>
        </w:tc>
      </w:tr>
      <w:tr>
        <w:tc>
          <w:tcPr/>
          <w:p>
            <w:pPr>
              <w:pStyle w:val="Compact"/>
              <w:jc w:val="left"/>
            </w:pPr>
            <w:r>
              <w:rPr>
                <w:bCs/>
                <w:b/>
              </w:rPr>
              <w:t xml:space="preserve">00:01</w:t>
            </w:r>
          </w:p>
        </w:tc>
        <w:tc>
          <w:tcPr/>
          <w:p>
            <w:pPr>
              <w:pStyle w:val="Compact"/>
              <w:jc w:val="left"/>
            </w:pPr>
            <w:r>
              <w:rPr>
                <w:bCs/>
                <w:b/>
              </w:rPr>
              <w:t xml:space="preserve">Press release #2:</w:t>
            </w:r>
            <w:r>
              <w:rPr>
                <w:bCs/>
                <w:b/>
              </w:rPr>
              <w:t xml:space="preserve"> </w:t>
            </w:r>
            <w:r>
              <w:rPr>
                <w:bCs/>
                <w:b/>
              </w:rPr>
              <w:t xml:space="preserve">“</w:t>
            </w:r>
            <w:r>
              <w:rPr>
                <w:bCs/>
                <w:b/>
              </w:rPr>
              <w:t xml:space="preserve">SOV3 Watchdog: World’s First AI Safety Certification</w:t>
            </w:r>
            <w:r>
              <w:rPr>
                <w:bCs/>
                <w:b/>
              </w:rPr>
              <w:t xml:space="preserve">”</w:t>
            </w:r>
          </w:p>
        </w:tc>
        <w:tc>
          <w:tcPr/>
          <w:p>
            <w:pPr>
              <w:pStyle w:val="Compact"/>
              <w:jc w:val="left"/>
            </w:pPr>
            <w:r>
              <w:t xml:space="preserve">PR Newswire</w:t>
            </w:r>
          </w:p>
        </w:tc>
        <w:tc>
          <w:tcPr/>
          <w:p>
            <w:pPr>
              <w:pStyle w:val="Compact"/>
              <w:jc w:val="left"/>
            </w:pPr>
            <w:r>
              <w:t xml:space="preserve">300 pickups</w:t>
            </w:r>
          </w:p>
        </w:tc>
      </w:tr>
      <w:tr>
        <w:tc>
          <w:tcPr/>
          <w:p>
            <w:pPr>
              <w:pStyle w:val="Compact"/>
              <w:jc w:val="left"/>
            </w:pPr>
            <w:r>
              <w:rPr>
                <w:bCs/>
                <w:b/>
              </w:rPr>
              <w:t xml:space="preserve">00:01</w:t>
            </w:r>
          </w:p>
        </w:tc>
        <w:tc>
          <w:tcPr/>
          <w:p>
            <w:pPr>
              <w:pStyle w:val="Compact"/>
              <w:jc w:val="left"/>
            </w:pPr>
            <w:r>
              <w:rPr>
                <w:bCs/>
                <w:b/>
              </w:rPr>
              <w:t xml:space="preserve">Press release #3:</w:t>
            </w:r>
            <w:r>
              <w:rPr>
                <w:bCs/>
                <w:b/>
              </w:rPr>
              <w:t xml:space="preserve"> </w:t>
            </w:r>
            <w:r>
              <w:rPr>
                <w:bCs/>
                <w:b/>
              </w:rPr>
              <w:t xml:space="preserve">“</w:t>
            </w:r>
            <w:r>
              <w:rPr>
                <w:bCs/>
                <w:b/>
              </w:rPr>
              <w:t xml:space="preserve">SOV3 PDCA Engine Open-Sourced on GitHub</w:t>
            </w:r>
            <w:r>
              <w:rPr>
                <w:bCs/>
                <w:b/>
              </w:rPr>
              <w:t xml:space="preserve">”</w:t>
            </w:r>
          </w:p>
        </w:tc>
        <w:tc>
          <w:tcPr/>
          <w:p>
            <w:pPr>
              <w:pStyle w:val="Compact"/>
              <w:jc w:val="left"/>
            </w:pPr>
            <w:r>
              <w:t xml:space="preserve">PR Newswice</w:t>
            </w:r>
          </w:p>
        </w:tc>
        <w:tc>
          <w:tcPr/>
          <w:p>
            <w:pPr>
              <w:pStyle w:val="Compact"/>
              <w:jc w:val="left"/>
            </w:pPr>
            <w:r>
              <w:t xml:space="preserve">Developer press</w:t>
            </w:r>
          </w:p>
        </w:tc>
      </w:tr>
      <w:tr>
        <w:tc>
          <w:tcPr/>
          <w:p>
            <w:pPr>
              <w:pStyle w:val="Compact"/>
              <w:jc w:val="left"/>
            </w:pPr>
            <w:r>
              <w:rPr>
                <w:bCs/>
                <w:b/>
              </w:rPr>
              <w:t xml:space="preserve">00:01</w:t>
            </w:r>
          </w:p>
        </w:tc>
        <w:tc>
          <w:tcPr/>
          <w:p>
            <w:pPr>
              <w:pStyle w:val="Compact"/>
              <w:jc w:val="left"/>
            </w:pPr>
            <w:r>
              <w:rPr>
                <w:bCs/>
                <w:b/>
              </w:rPr>
              <w:t xml:space="preserve">Press release #4:</w:t>
            </w:r>
            <w:r>
              <w:rPr>
                <w:bCs/>
                <w:b/>
              </w:rPr>
              <w:t xml:space="preserve"> </w:t>
            </w:r>
            <w:r>
              <w:rPr>
                <w:bCs/>
                <w:b/>
              </w:rPr>
              <w:t xml:space="preserve">“</w:t>
            </w:r>
            <w:r>
              <w:rPr>
                <w:bCs/>
                <w:b/>
              </w:rPr>
              <w:t xml:space="preserve">SOV3 MCP Security Authority: Certifying the MCP Ecosystem</w:t>
            </w:r>
            <w:r>
              <w:rPr>
                <w:bCs/>
                <w:b/>
              </w:rPr>
              <w:t xml:space="preserve">”</w:t>
            </w:r>
          </w:p>
        </w:tc>
        <w:tc>
          <w:tcPr/>
          <w:p>
            <w:pPr>
              <w:pStyle w:val="Compact"/>
              <w:jc w:val="left"/>
            </w:pPr>
            <w:r>
              <w:t xml:space="preserve">PR Newswire</w:t>
            </w:r>
          </w:p>
        </w:tc>
        <w:tc>
          <w:tcPr/>
          <w:p>
            <w:pPr>
              <w:pStyle w:val="Compact"/>
              <w:jc w:val="left"/>
            </w:pPr>
            <w:r>
              <w:t xml:space="preserve">AI/ML press</w:t>
            </w:r>
          </w:p>
        </w:tc>
      </w:tr>
      <w:tr>
        <w:tc>
          <w:tcPr/>
          <w:p>
            <w:pPr>
              <w:pStyle w:val="Compact"/>
              <w:jc w:val="left"/>
            </w:pPr>
            <w:r>
              <w:rPr>
                <w:bCs/>
                <w:b/>
              </w:rPr>
              <w:t xml:space="preserve">00:01</w:t>
            </w:r>
          </w:p>
        </w:tc>
        <w:tc>
          <w:tcPr/>
          <w:p>
            <w:pPr>
              <w:pStyle w:val="Compact"/>
              <w:jc w:val="left"/>
            </w:pPr>
            <w:r>
              <w:rPr>
                <w:bCs/>
                <w:b/>
              </w:rPr>
              <w:t xml:space="preserve">Press release #5:</w:t>
            </w:r>
            <w:r>
              <w:rPr>
                <w:bCs/>
                <w:b/>
              </w:rPr>
              <w:t xml:space="preserve"> </w:t>
            </w:r>
            <w:r>
              <w:rPr>
                <w:bCs/>
                <w:b/>
              </w:rPr>
              <w:t xml:space="preserve">“</w:t>
            </w:r>
            <w:r>
              <w:rPr>
                <w:bCs/>
                <w:b/>
              </w:rPr>
              <w:t xml:space="preserve">AI Governance Vendor Transparency Index — Full Results</w:t>
            </w:r>
            <w:r>
              <w:rPr>
                <w:bCs/>
                <w:b/>
              </w:rPr>
              <w:t xml:space="preserve">”</w:t>
            </w:r>
          </w:p>
        </w:tc>
        <w:tc>
          <w:tcPr/>
          <w:p>
            <w:pPr>
              <w:pStyle w:val="Compact"/>
              <w:jc w:val="left"/>
            </w:pPr>
            <w:r>
              <w:t xml:space="preserve">PR Newswire</w:t>
            </w:r>
          </w:p>
        </w:tc>
        <w:tc>
          <w:tcPr/>
          <w:p>
            <w:pPr>
              <w:pStyle w:val="Compact"/>
              <w:jc w:val="left"/>
            </w:pPr>
            <w:r>
              <w:t xml:space="preserve">Business press</w:t>
            </w:r>
          </w:p>
        </w:tc>
      </w:tr>
      <w:tr>
        <w:tc>
          <w:tcPr/>
          <w:p>
            <w:pPr>
              <w:pStyle w:val="Compact"/>
              <w:jc w:val="left"/>
            </w:pPr>
            <w:r>
              <w:rPr>
                <w:bCs/>
                <w:b/>
              </w:rPr>
              <w:t xml:space="preserve">00:02</w:t>
            </w:r>
          </w:p>
        </w:tc>
        <w:tc>
          <w:tcPr/>
          <w:p>
            <w:pPr>
              <w:pStyle w:val="Compact"/>
              <w:jc w:val="left"/>
            </w:pPr>
            <w:r>
              <w:t xml:space="preserve">X:</w:t>
            </w:r>
            <w:r>
              <w:t xml:space="preserve"> </w:t>
            </w:r>
            <w:r>
              <w:t xml:space="preserve">“</w:t>
            </w:r>
            <w:r>
              <w:t xml:space="preserve">It’s July 4. Declare independence from $100K compliance costs. sov3.ai is live.</w:t>
            </w:r>
            <w:r>
              <w:t xml:space="preserve">”</w:t>
            </w:r>
          </w:p>
        </w:tc>
        <w:tc>
          <w:tcPr/>
          <w:p>
            <w:pPr>
              <w:pStyle w:val="Compact"/>
              <w:jc w:val="left"/>
            </w:pPr>
            <w:r>
              <w:t xml:space="preserve">X/Twitter</w:t>
            </w:r>
          </w:p>
        </w:tc>
        <w:tc>
          <w:tcPr/>
          <w:p>
            <w:pPr>
              <w:pStyle w:val="Compact"/>
              <w:jc w:val="left"/>
            </w:pPr>
            <w:r>
              <w:t xml:space="preserve">500K impressions</w:t>
            </w:r>
          </w:p>
        </w:tc>
      </w:tr>
      <w:tr>
        <w:tc>
          <w:tcPr/>
          <w:p>
            <w:pPr>
              <w:pStyle w:val="Compact"/>
              <w:jc w:val="left"/>
            </w:pPr>
            <w:r>
              <w:rPr>
                <w:bCs/>
                <w:b/>
              </w:rPr>
              <w:t xml:space="preserve">00:02</w:t>
            </w:r>
          </w:p>
        </w:tc>
        <w:tc>
          <w:tcPr/>
          <w:p>
            <w:pPr>
              <w:pStyle w:val="Compact"/>
              <w:jc w:val="left"/>
            </w:pPr>
            <w:r>
              <w:t xml:space="preserve">LinkedIn:</w:t>
            </w:r>
            <w:r>
              <w:t xml:space="preserve"> </w:t>
            </w:r>
            <w:r>
              <w:t xml:space="preserve">“</w:t>
            </w:r>
            <w:r>
              <w:t xml:space="preserve">6 months of research. 12 dimensions of intelligence. 1 platform. SOV3 is live.</w:t>
            </w:r>
            <w:r>
              <w:t xml:space="preserve">”</w:t>
            </w:r>
          </w:p>
        </w:tc>
        <w:tc>
          <w:tcPr/>
          <w:p>
            <w:pPr>
              <w:pStyle w:val="Compact"/>
              <w:jc w:val="left"/>
            </w:pPr>
            <w:r>
              <w:t xml:space="preserve">LinkedIn</w:t>
            </w:r>
          </w:p>
        </w:tc>
        <w:tc>
          <w:tcPr/>
          <w:p>
            <w:pPr>
              <w:pStyle w:val="Compact"/>
              <w:jc w:val="left"/>
            </w:pPr>
            <w:r>
              <w:t xml:space="preserve">250K impressions</w:t>
            </w:r>
          </w:p>
        </w:tc>
      </w:tr>
      <w:tr>
        <w:tc>
          <w:tcPr/>
          <w:p>
            <w:pPr>
              <w:pStyle w:val="Compact"/>
              <w:jc w:val="left"/>
            </w:pPr>
            <w:r>
              <w:rPr>
                <w:bCs/>
                <w:b/>
              </w:rPr>
              <w:t xml:space="preserve">00:03</w:t>
            </w:r>
          </w:p>
        </w:tc>
        <w:tc>
          <w:tcPr/>
          <w:p>
            <w:pPr>
              <w:pStyle w:val="Compact"/>
              <w:jc w:val="left"/>
            </w:pPr>
            <w:r>
              <w:t xml:space="preserve">Hacker News:</w:t>
            </w:r>
            <w:r>
              <w:t xml:space="preserve"> </w:t>
            </w:r>
            <w:r>
              <w:t xml:space="preserve">“</w:t>
            </w:r>
            <w:r>
              <w:t xml:space="preserve">Show HN: SOV3 — Open-source AI governance + certification platform</w:t>
            </w:r>
            <w:r>
              <w:t xml:space="preserve">”</w:t>
            </w:r>
          </w:p>
        </w:tc>
        <w:tc>
          <w:tcPr/>
          <w:p>
            <w:pPr>
              <w:pStyle w:val="Compact"/>
              <w:jc w:val="left"/>
            </w:pPr>
            <w:r>
              <w:t xml:space="preserve">HN</w:t>
            </w:r>
          </w:p>
        </w:tc>
        <w:tc>
          <w:tcPr/>
          <w:p>
            <w:pPr>
              <w:pStyle w:val="Compact"/>
              <w:jc w:val="left"/>
            </w:pPr>
            <w:r>
              <w:t xml:space="preserve">#1 target</w:t>
            </w:r>
          </w:p>
        </w:tc>
      </w:tr>
      <w:tr>
        <w:tc>
          <w:tcPr/>
          <w:p>
            <w:pPr>
              <w:pStyle w:val="Compact"/>
              <w:jc w:val="left"/>
            </w:pPr>
            <w:r>
              <w:rPr>
                <w:bCs/>
                <w:b/>
              </w:rPr>
              <w:t xml:space="preserve">00:05</w:t>
            </w:r>
          </w:p>
        </w:tc>
        <w:tc>
          <w:tcPr/>
          <w:p>
            <w:pPr>
              <w:pStyle w:val="Compact"/>
              <w:jc w:val="left"/>
            </w:pPr>
            <w:r>
              <w:t xml:space="preserve">Reddit: r/MachineLearning, r/cybersecurity, r/artificial, r/startups</w:t>
            </w:r>
          </w:p>
        </w:tc>
        <w:tc>
          <w:tcPr/>
          <w:p>
            <w:pPr>
              <w:pStyle w:val="Compact"/>
              <w:jc w:val="left"/>
            </w:pPr>
            <w:r>
              <w:t xml:space="preserve">Reddit</w:t>
            </w:r>
          </w:p>
        </w:tc>
        <w:tc>
          <w:tcPr/>
          <w:p>
            <w:pPr>
              <w:pStyle w:val="Compact"/>
              <w:jc w:val="left"/>
            </w:pPr>
            <w:r>
              <w:t xml:space="preserve">10,000 upvotes</w:t>
            </w:r>
          </w:p>
        </w:tc>
      </w:tr>
      <w:tr>
        <w:tc>
          <w:tcPr/>
          <w:p>
            <w:pPr>
              <w:pStyle w:val="Compact"/>
              <w:jc w:val="left"/>
            </w:pPr>
            <w:r>
              <w:rPr>
                <w:bCs/>
                <w:b/>
              </w:rPr>
              <w:t xml:space="preserve">00:10</w:t>
            </w:r>
          </w:p>
        </w:tc>
        <w:tc>
          <w:tcPr/>
          <w:p>
            <w:pPr>
              <w:pStyle w:val="Compact"/>
              <w:jc w:val="left"/>
            </w:pPr>
            <w:r>
              <w:t xml:space="preserve">Product Hunt launch goes live</w:t>
            </w:r>
          </w:p>
        </w:tc>
        <w:tc>
          <w:tcPr/>
          <w:p>
            <w:pPr>
              <w:pStyle w:val="Compact"/>
              <w:jc w:val="left"/>
            </w:pPr>
            <w:r>
              <w:t xml:space="preserve">Product Hunt</w:t>
            </w:r>
          </w:p>
        </w:tc>
        <w:tc>
          <w:tcPr/>
          <w:p>
            <w:pPr>
              <w:pStyle w:val="Compact"/>
              <w:jc w:val="left"/>
            </w:pPr>
            <w:r>
              <w:t xml:space="preserve">#1 Product of the Day</w:t>
            </w:r>
          </w:p>
        </w:tc>
      </w:tr>
      <w:tr>
        <w:tc>
          <w:tcPr/>
          <w:p>
            <w:pPr>
              <w:pStyle w:val="Compact"/>
              <w:jc w:val="left"/>
            </w:pPr>
            <w:r>
              <w:rPr>
                <w:bCs/>
                <w:b/>
              </w:rPr>
              <w:t xml:space="preserve">00:15</w:t>
            </w:r>
          </w:p>
        </w:tc>
        <w:tc>
          <w:tcPr/>
          <w:p>
            <w:pPr>
              <w:pStyle w:val="Compact"/>
              <w:jc w:val="left"/>
            </w:pPr>
            <w:r>
              <w:t xml:space="preserve">Email:</w:t>
            </w:r>
            <w:r>
              <w:t xml:space="preserve"> </w:t>
            </w:r>
            <w:r>
              <w:t xml:space="preserve">“</w:t>
            </w:r>
            <w:r>
              <w:t xml:space="preserve">It’s live. Your founding member access inside.</w:t>
            </w:r>
            <w:r>
              <w:t xml:space="preserve">”</w:t>
            </w:r>
          </w:p>
        </w:tc>
        <w:tc>
          <w:tcPr/>
          <w:p>
            <w:pPr>
              <w:pStyle w:val="Compact"/>
              <w:jc w:val="left"/>
            </w:pPr>
            <w:r>
              <w:t xml:space="preserve">All lists</w:t>
            </w:r>
          </w:p>
        </w:tc>
        <w:tc>
          <w:tcPr/>
          <w:p>
            <w:pPr>
              <w:pStyle w:val="Compact"/>
              <w:jc w:val="left"/>
            </w:pPr>
            <w:r>
              <w:t xml:space="preserve">100% send</w:t>
            </w:r>
          </w:p>
        </w:tc>
      </w:tr>
      <w:tr>
        <w:tc>
          <w:tcPr/>
          <w:p>
            <w:pPr>
              <w:pStyle w:val="Compact"/>
              <w:jc w:val="left"/>
            </w:pPr>
            <w:r>
              <w:rPr>
                <w:bCs/>
                <w:b/>
              </w:rPr>
              <w:t xml:space="preserve">00:30</w:t>
            </w:r>
          </w:p>
        </w:tc>
        <w:tc>
          <w:tcPr/>
          <w:p>
            <w:pPr>
              <w:pStyle w:val="Compact"/>
              <w:jc w:val="left"/>
            </w:pPr>
            <w:r>
              <w:t xml:space="preserve">LinkedIn sponsored post:</w:t>
            </w:r>
            <w:r>
              <w:t xml:space="preserve"> </w:t>
            </w:r>
            <w:r>
              <w:t xml:space="preserve">“</w:t>
            </w:r>
            <w:r>
              <w:t xml:space="preserve">The AI governance platform that publishes its pricing</w:t>
            </w:r>
            <w:r>
              <w:t xml:space="preserve">”</w:t>
            </w:r>
          </w:p>
        </w:tc>
        <w:tc>
          <w:tcPr/>
          <w:p>
            <w:pPr>
              <w:pStyle w:val="Compact"/>
              <w:jc w:val="left"/>
            </w:pPr>
            <w:r>
              <w:t xml:space="preserve">LinkedIn Ads</w:t>
            </w:r>
          </w:p>
        </w:tc>
        <w:tc>
          <w:tcPr/>
          <w:p>
            <w:pPr>
              <w:pStyle w:val="Compact"/>
              <w:jc w:val="left"/>
            </w:pPr>
            <w:r>
              <w:t xml:space="preserve">100K impressions</w:t>
            </w:r>
          </w:p>
        </w:tc>
      </w:tr>
      <w:tr>
        <w:tc>
          <w:tcPr/>
          <w:p>
            <w:pPr>
              <w:pStyle w:val="Compact"/>
              <w:jc w:val="left"/>
            </w:pPr>
            <w:r>
              <w:rPr>
                <w:bCs/>
                <w:b/>
              </w:rPr>
              <w:t xml:space="preserve">01:00</w:t>
            </w:r>
          </w:p>
        </w:tc>
        <w:tc>
          <w:tcPr/>
          <w:p>
            <w:pPr>
              <w:pStyle w:val="Compact"/>
              <w:jc w:val="left"/>
            </w:pPr>
            <w:r>
              <w:rPr>
                <w:bCs/>
                <w:b/>
              </w:rPr>
              <w:t xml:space="preserve">Target: First 1,000 certifications issued</w:t>
            </w:r>
          </w:p>
        </w:tc>
        <w:tc>
          <w:tcPr/>
          <w:p>
            <w:pPr>
              <w:pStyle w:val="Compact"/>
              <w:jc w:val="left"/>
            </w:pPr>
            <w:r>
              <w:t xml:space="preserve">sov3.ai/certify</w:t>
            </w:r>
          </w:p>
        </w:tc>
        <w:tc>
          <w:tcPr/>
          <w:p>
            <w:pPr>
              <w:pStyle w:val="Compact"/>
              <w:jc w:val="left"/>
            </w:pPr>
            <w:r>
              <w:t xml:space="preserve">Milestone</w:t>
            </w:r>
          </w:p>
        </w:tc>
      </w:tr>
      <w:tr>
        <w:tc>
          <w:tcPr/>
          <w:p>
            <w:pPr>
              <w:pStyle w:val="Compact"/>
              <w:jc w:val="left"/>
            </w:pPr>
            <w:r>
              <w:rPr>
                <w:bCs/>
                <w:b/>
              </w:rPr>
              <w:t xml:space="preserve">06:00</w:t>
            </w:r>
          </w:p>
        </w:tc>
        <w:tc>
          <w:tcPr/>
          <w:p>
            <w:pPr>
              <w:pStyle w:val="Compact"/>
              <w:jc w:val="left"/>
            </w:pPr>
            <w:r>
              <w:t xml:space="preserve">Morning press roundup email to all stakeholders</w:t>
            </w:r>
          </w:p>
        </w:tc>
        <w:tc>
          <w:tcPr/>
          <w:p>
            <w:pPr>
              <w:pStyle w:val="Compact"/>
              <w:jc w:val="left"/>
            </w:pPr>
            <w:r>
              <w:t xml:space="preserve">Email</w:t>
            </w:r>
          </w:p>
        </w:tc>
        <w:tc>
          <w:tcPr/>
          <w:p>
            <w:pPr>
              <w:pStyle w:val="Compact"/>
              <w:jc w:val="left"/>
            </w:pPr>
            <w:r>
              <w:t xml:space="preserve">Internal + investors</w:t>
            </w:r>
          </w:p>
        </w:tc>
      </w:tr>
      <w:tr>
        <w:tc>
          <w:tcPr/>
          <w:p>
            <w:pPr>
              <w:pStyle w:val="Compact"/>
              <w:jc w:val="left"/>
            </w:pPr>
            <w:r>
              <w:rPr>
                <w:bCs/>
                <w:b/>
              </w:rPr>
              <w:t xml:space="preserve">09:00</w:t>
            </w:r>
          </w:p>
        </w:tc>
        <w:tc>
          <w:tcPr/>
          <w:p>
            <w:pPr>
              <w:pStyle w:val="Compact"/>
              <w:jc w:val="left"/>
            </w:pPr>
            <w:r>
              <w:t xml:space="preserve">Respond to all HN comments personally</w:t>
            </w:r>
          </w:p>
        </w:tc>
        <w:tc>
          <w:tcPr/>
          <w:p>
            <w:pPr>
              <w:pStyle w:val="Compact"/>
              <w:jc w:val="left"/>
            </w:pPr>
            <w:r>
              <w:t xml:space="preserve">HN</w:t>
            </w:r>
          </w:p>
        </w:tc>
        <w:tc>
          <w:tcPr/>
          <w:p>
            <w:pPr>
              <w:pStyle w:val="Compact"/>
              <w:jc w:val="left"/>
            </w:pPr>
            <w:r>
              <w:t xml:space="preserve">Every comment</w:t>
            </w:r>
          </w:p>
        </w:tc>
      </w:tr>
      <w:tr>
        <w:tc>
          <w:tcPr/>
          <w:p>
            <w:pPr>
              <w:pStyle w:val="Compact"/>
              <w:jc w:val="left"/>
            </w:pPr>
            <w:r>
              <w:rPr>
                <w:bCs/>
                <w:b/>
              </w:rPr>
              <w:t xml:space="preserve">10:00</w:t>
            </w:r>
          </w:p>
        </w:tc>
        <w:tc>
          <w:tcPr/>
          <w:p>
            <w:pPr>
              <w:pStyle w:val="Compact"/>
              <w:jc w:val="left"/>
            </w:pPr>
            <w:r>
              <w:t xml:space="preserve">Host</w:t>
            </w:r>
            <w:r>
              <w:t xml:space="preserve"> </w:t>
            </w:r>
            <w:r>
              <w:t xml:space="preserve">“</w:t>
            </w:r>
            <w:r>
              <w:t xml:space="preserve">Launch Day AMA</w:t>
            </w:r>
            <w:r>
              <w:t xml:space="preserve">”</w:t>
            </w:r>
            <w:r>
              <w:t xml:space="preserve"> </w:t>
            </w:r>
            <w:r>
              <w:t xml:space="preserve">on X Spaces</w:t>
            </w:r>
          </w:p>
        </w:tc>
        <w:tc>
          <w:tcPr/>
          <w:p>
            <w:pPr>
              <w:pStyle w:val="Compact"/>
              <w:jc w:val="left"/>
            </w:pPr>
            <w:r>
              <w:t xml:space="preserve">X/Twitter</w:t>
            </w:r>
          </w:p>
        </w:tc>
        <w:tc>
          <w:tcPr/>
          <w:p>
            <w:pPr>
              <w:pStyle w:val="Compact"/>
              <w:jc w:val="left"/>
            </w:pPr>
            <w:r>
              <w:t xml:space="preserve">1,000 listeners</w:t>
            </w:r>
          </w:p>
        </w:tc>
      </w:tr>
      <w:tr>
        <w:tc>
          <w:tcPr/>
          <w:p>
            <w:pPr>
              <w:pStyle w:val="Compact"/>
              <w:jc w:val="left"/>
            </w:pPr>
            <w:r>
              <w:rPr>
                <w:bCs/>
                <w:b/>
              </w:rPr>
              <w:t xml:space="preserve">12:00</w:t>
            </w:r>
          </w:p>
        </w:tc>
        <w:tc>
          <w:tcPr/>
          <w:p>
            <w:pPr>
              <w:pStyle w:val="Compact"/>
              <w:jc w:val="left"/>
            </w:pPr>
            <w:r>
              <w:t xml:space="preserve">Publish real-time launch metrics dashboard</w:t>
            </w:r>
          </w:p>
        </w:tc>
        <w:tc>
          <w:tcPr/>
          <w:p>
            <w:pPr>
              <w:pStyle w:val="Compact"/>
              <w:jc w:val="left"/>
            </w:pPr>
            <w:r>
              <w:t xml:space="preserve">sov3.ai/launch</w:t>
            </w:r>
          </w:p>
        </w:tc>
        <w:tc>
          <w:tcPr/>
          <w:p>
            <w:pPr>
              <w:pStyle w:val="Compact"/>
              <w:jc w:val="left"/>
            </w:pPr>
            <w:r>
              <w:t xml:space="preserve">Transparency</w:t>
            </w:r>
          </w:p>
        </w:tc>
      </w:tr>
      <w:tr>
        <w:tc>
          <w:tcPr/>
          <w:p>
            <w:pPr>
              <w:pStyle w:val="Compact"/>
              <w:jc w:val="left"/>
            </w:pPr>
            <w:r>
              <w:rPr>
                <w:bCs/>
                <w:b/>
              </w:rPr>
              <w:t xml:space="preserve">14:00</w:t>
            </w:r>
          </w:p>
        </w:tc>
        <w:tc>
          <w:tcPr/>
          <w:p>
            <w:pPr>
              <w:pStyle w:val="Compact"/>
              <w:jc w:val="left"/>
            </w:pPr>
            <w:r>
              <w:t xml:space="preserve">Second wave: EU-focused push (afternoon EU time)</w:t>
            </w:r>
          </w:p>
        </w:tc>
        <w:tc>
          <w:tcPr/>
          <w:p>
            <w:pPr>
              <w:pStyle w:val="Compact"/>
              <w:jc w:val="left"/>
            </w:pPr>
            <w:r>
              <w:t xml:space="preserve">All channels</w:t>
            </w:r>
          </w:p>
        </w:tc>
        <w:tc>
          <w:tcPr/>
          <w:p>
            <w:pPr>
              <w:pStyle w:val="Compact"/>
              <w:jc w:val="left"/>
            </w:pPr>
            <w:r>
              <w:t xml:space="preserve">European market</w:t>
            </w:r>
          </w:p>
        </w:tc>
      </w:tr>
      <w:tr>
        <w:tc>
          <w:tcPr/>
          <w:p>
            <w:pPr>
              <w:pStyle w:val="Compact"/>
              <w:jc w:val="left"/>
            </w:pPr>
            <w:r>
              <w:rPr>
                <w:bCs/>
                <w:b/>
              </w:rPr>
              <w:t xml:space="preserve">18:00</w:t>
            </w:r>
          </w:p>
        </w:tc>
        <w:tc>
          <w:tcPr/>
          <w:p>
            <w:pPr>
              <w:pStyle w:val="Compact"/>
              <w:jc w:val="left"/>
            </w:pPr>
            <w:r>
              <w:t xml:space="preserve">Evening recap post: Day 1 metrics</w:t>
            </w:r>
          </w:p>
        </w:tc>
        <w:tc>
          <w:tcPr/>
          <w:p>
            <w:pPr>
              <w:pStyle w:val="Compact"/>
              <w:jc w:val="left"/>
            </w:pPr>
            <w:r>
              <w:t xml:space="preserve">All channels</w:t>
            </w:r>
          </w:p>
        </w:tc>
        <w:tc>
          <w:tcPr/>
          <w:p>
            <w:pPr>
              <w:pStyle w:val="Compact"/>
              <w:jc w:val="left"/>
            </w:pPr>
            <w:r>
              <w:t xml:space="preserve">Social proof</w:t>
            </w:r>
          </w:p>
        </w:tc>
      </w:tr>
      <w:tr>
        <w:tc>
          <w:tcPr/>
          <w:p>
            <w:pPr>
              <w:pStyle w:val="Compact"/>
              <w:jc w:val="left"/>
            </w:pPr>
            <w:r>
              <w:rPr>
                <w:bCs/>
                <w:b/>
              </w:rPr>
              <w:t xml:space="preserve">20:00</w:t>
            </w:r>
          </w:p>
        </w:tc>
        <w:tc>
          <w:tcPr/>
          <w:p>
            <w:pPr>
              <w:pStyle w:val="Compact"/>
              <w:jc w:val="left"/>
            </w:pPr>
            <w:r>
              <w:t xml:space="preserve">Team celebration</w:t>
            </w:r>
          </w:p>
        </w:tc>
        <w:tc>
          <w:tcPr/>
          <w:p>
            <w:pPr>
              <w:pStyle w:val="Compact"/>
              <w:jc w:val="left"/>
            </w:pPr>
            <w:r>
              <w:t xml:space="preserve">Internal</w:t>
            </w:r>
          </w:p>
        </w:tc>
        <w:tc>
          <w:tcPr/>
          <w:p>
            <w:pPr>
              <w:pStyle w:val="Compact"/>
              <w:jc w:val="left"/>
            </w:pPr>
            <w:r>
              <w:t xml:space="preserve">Morale</w:t>
            </w:r>
          </w:p>
        </w:tc>
      </w:tr>
      <w:tr>
        <w:tc>
          <w:tcPr/>
          <w:p>
            <w:pPr>
              <w:pStyle w:val="Compact"/>
              <w:jc w:val="left"/>
            </w:pPr>
            <w:r>
              <w:rPr>
                <w:bCs/>
                <w:b/>
              </w:rPr>
              <w:t xml:space="preserve">23:59</w:t>
            </w:r>
          </w:p>
        </w:tc>
        <w:tc>
          <w:tcPr/>
          <w:p>
            <w:pPr>
              <w:pStyle w:val="Compact"/>
              <w:jc w:val="left"/>
            </w:pPr>
            <w:r>
              <w:rPr>
                <w:bCs/>
                <w:b/>
              </w:rPr>
              <w:t xml:space="preserve">Day 1 target: 5,000 certifications, 50,000 website visitors, 100 paying customers</w:t>
            </w:r>
          </w:p>
        </w:tc>
        <w:tc>
          <w:tcPr/>
          <w:p>
            <w:pPr>
              <w:pStyle w:val="Compact"/>
              <w:jc w:val="left"/>
            </w:pPr>
            <w:r>
              <w:t xml:space="preserve">All channels</w:t>
            </w:r>
          </w:p>
        </w:tc>
        <w:tc>
          <w:tcPr/>
          <w:p>
            <w:pPr>
              <w:pStyle w:val="Compact"/>
              <w:jc w:val="left"/>
            </w:pPr>
            <w:r>
              <w:t xml:space="preserve">Victory</w:t>
            </w:r>
          </w:p>
        </w:tc>
      </w:tr>
    </w:tbl>
    <w:p>
      <w:r>
        <w:pict>
          <v:rect style="width:0;height:1.5pt" o:hralign="center" o:hrstd="t" o:hr="t"/>
        </w:pict>
      </w:r>
    </w:p>
    <w:bookmarkEnd w:id="99"/>
    <w:bookmarkEnd w:id="100"/>
    <w:bookmarkStart w:id="101" w:name="the-final-doctrine"/>
    <w:p>
      <w:pPr>
        <w:pStyle w:val="Heading3"/>
      </w:pPr>
      <w:r>
        <w:t xml:space="preserve">The Final Doctrine</w:t>
      </w:r>
    </w:p>
    <w:p>
      <w:pPr>
        <w:pStyle w:val="FirstParagraph"/>
      </w:pPr>
      <w:r>
        <w:t xml:space="preserve">The Black Swan isn’t that AI will be regulated. Everyone knows that. The EU AI Act is law. NIST is mandatory for federal contractors. The $309M in market funding</w:t>
      </w:r>
      <w:r>
        <w:rPr>
          <w:vertAlign w:val="superscript"/>
        </w:rPr>
        <w:t xml:space="preserve">26</w:t>
      </w:r>
      <w:r>
        <w:t xml:space="preserve">exists because investors see the regulatory wave coming.</w:t>
      </w:r>
    </w:p>
    <w:p>
      <w:pPr>
        <w:pStyle w:val="BodyText"/>
      </w:pPr>
      <w:r>
        <w:t xml:space="preserve">The Black Swan is that</w:t>
      </w:r>
      <w:r>
        <w:t xml:space="preserve"> </w:t>
      </w:r>
      <w:r>
        <w:rPr>
          <w:bCs/>
          <w:b/>
        </w:rPr>
        <w:t xml:space="preserve">regulation will be democratized</w:t>
      </w:r>
      <w:r>
        <w:t xml:space="preserve"> </w:t>
      </w:r>
      <w:r>
        <w:t xml:space="preserve">— and SOV3 is the only platform building for that future.</w:t>
      </w:r>
    </w:p>
    <w:p>
      <w:pPr>
        <w:pStyle w:val="BodyText"/>
      </w:pPr>
      <w:r>
        <w:t xml:space="preserve">Every competitor in this dossier built for the enterprise: $100K contracts, 6-month implementations,</w:t>
      </w:r>
      <w:r>
        <w:t xml:space="preserve"> </w:t>
      </w:r>
      <w:r>
        <w:t xml:space="preserve">“</w:t>
      </w:r>
      <w:r>
        <w:t xml:space="preserve">contact sales</w:t>
      </w:r>
      <w:r>
        <w:t xml:space="preserve">”</w:t>
      </w:r>
      <w:r>
        <w:t xml:space="preserve"> </w:t>
      </w:r>
      <w:r>
        <w:t xml:space="preserve">gates, assessment-only tools that produce reports nobody reads. They built for the 1% of companies that can afford compliance theater. SOV3 built for the 99% — the mid-market companies that need real governance at real prices, the developers who need policy-as-code, the professionals who need certification, the MCP ecosystem that needs a security authority</w:t>
      </w:r>
      <w:r>
        <w:rPr>
          <w:vertAlign w:val="superscript"/>
        </w:rPr>
        <w:t xml:space="preserve">1</w:t>
      </w:r>
      <w:r>
        <w:t xml:space="preserve">.</w:t>
      </w:r>
    </w:p>
    <w:p>
      <w:pPr>
        <w:pStyle w:val="BodyText"/>
      </w:pPr>
      <w:r>
        <w:t xml:space="preserve">Consider what competitors wake up to on July 5th:</w:t>
      </w:r>
    </w:p>
    <w:tbl>
      <w:tblPr>
        <w:tblStyle w:val="Table"/>
        <w:tblW w:type="pct" w:w="5000"/>
        <w:tblLook w:firstRow="1" w:lastRow="0" w:firstColumn="0" w:lastColumn="0" w:noHBand="0" w:noVBand="0" w:val="0020"/>
      </w:tblPr>
      <w:tblGrid>
        <w:gridCol w:w="1667"/>
        <w:gridCol w:w="3334"/>
        <w:gridCol w:w="2917"/>
      </w:tblGrid>
      <w:tr>
        <w:trPr>
          <w:tblHeader w:val="true"/>
        </w:trPr>
        <w:tc>
          <w:tcPr/>
          <w:p>
            <w:pPr>
              <w:pStyle w:val="Compact"/>
              <w:jc w:val="left"/>
            </w:pPr>
            <w:r>
              <w:t xml:space="preserve">Competitor</w:t>
            </w:r>
          </w:p>
        </w:tc>
        <w:tc>
          <w:tcPr/>
          <w:p>
            <w:pPr>
              <w:pStyle w:val="Compact"/>
              <w:jc w:val="left"/>
            </w:pPr>
            <w:r>
              <w:t xml:space="preserve">What They See on July 5</w:t>
            </w:r>
          </w:p>
        </w:tc>
        <w:tc>
          <w:tcPr/>
          <w:p>
            <w:pPr>
              <w:pStyle w:val="Compact"/>
              <w:jc w:val="left"/>
            </w:pPr>
            <w:r>
              <w:t xml:space="preserve">Their Response Time</w:t>
            </w:r>
          </w:p>
        </w:tc>
      </w:tr>
      <w:tr>
        <w:tc>
          <w:tcPr/>
          <w:p>
            <w:pPr>
              <w:pStyle w:val="Compact"/>
              <w:jc w:val="left"/>
            </w:pPr>
            <w:r>
              <w:t xml:space="preserve">OneTrust</w:t>
            </w:r>
          </w:p>
        </w:tc>
        <w:tc>
          <w:tcPr/>
          <w:p>
            <w:pPr>
              <w:pStyle w:val="Compact"/>
              <w:jc w:val="left"/>
            </w:pPr>
            <w:r>
              <w:t xml:space="preserve">“</w:t>
            </w:r>
            <w:r>
              <w:t xml:space="preserve">OneTrust Escape</w:t>
            </w:r>
            <w:r>
              <w:t xml:space="preserve">”</w:t>
            </w:r>
            <w:r>
              <w:t xml:space="preserve"> </w:t>
            </w:r>
            <w:r>
              <w:t xml:space="preserve">campaign targeting their customers</w:t>
            </w:r>
          </w:p>
        </w:tc>
        <w:tc>
          <w:tcPr/>
          <w:p>
            <w:pPr>
              <w:pStyle w:val="Compact"/>
              <w:jc w:val="left"/>
            </w:pPr>
            <w:r>
              <w:t xml:space="preserve">6–12 months (enterprise sales cycle)</w:t>
            </w:r>
          </w:p>
        </w:tc>
      </w:tr>
      <w:tr>
        <w:tc>
          <w:tcPr/>
          <w:p>
            <w:pPr>
              <w:pStyle w:val="Compact"/>
              <w:jc w:val="left"/>
            </w:pPr>
            <w:r>
              <w:t xml:space="preserve">CrowdStrike</w:t>
            </w:r>
          </w:p>
        </w:tc>
        <w:tc>
          <w:tcPr/>
          <w:p>
            <w:pPr>
              <w:pStyle w:val="Compact"/>
              <w:jc w:val="left"/>
            </w:pPr>
            <w:r>
              <w:t xml:space="preserve">“</w:t>
            </w:r>
            <w:r>
              <w:t xml:space="preserve">Splitting stock, not fixing security</w:t>
            </w:r>
            <w:r>
              <w:t xml:space="preserve">”</w:t>
            </w:r>
            <w:r>
              <w:t xml:space="preserve"> </w:t>
            </w:r>
            <w:r>
              <w:t xml:space="preserve">narrative</w:t>
            </w:r>
          </w:p>
        </w:tc>
        <w:tc>
          <w:tcPr/>
          <w:p>
            <w:pPr>
              <w:pStyle w:val="Compact"/>
              <w:jc w:val="left"/>
            </w:pPr>
            <w:r>
              <w:t xml:space="preserve">3–6 months (PR response)</w:t>
            </w:r>
          </w:p>
        </w:tc>
      </w:tr>
      <w:tr>
        <w:tc>
          <w:tcPr/>
          <w:p>
            <w:pPr>
              <w:pStyle w:val="Compact"/>
              <w:jc w:val="left"/>
            </w:pPr>
            <w:r>
              <w:t xml:space="preserve">Palo Alto</w:t>
            </w:r>
          </w:p>
        </w:tc>
        <w:tc>
          <w:tcPr/>
          <w:p>
            <w:pPr>
              <w:pStyle w:val="Compact"/>
              <w:jc w:val="left"/>
            </w:pPr>
            <w:r>
              <w:t xml:space="preserve">Open-source PDCA engine with MCP governance</w:t>
            </w:r>
          </w:p>
        </w:tc>
        <w:tc>
          <w:tcPr/>
          <w:p>
            <w:pPr>
              <w:pStyle w:val="Compact"/>
              <w:jc w:val="left"/>
            </w:pPr>
            <w:r>
              <w:t xml:space="preserve">12–18 months (rebuild architecture)</w:t>
            </w:r>
          </w:p>
        </w:tc>
      </w:tr>
      <w:tr>
        <w:tc>
          <w:tcPr/>
          <w:p>
            <w:pPr>
              <w:pStyle w:val="Compact"/>
              <w:jc w:val="left"/>
            </w:pPr>
            <w:r>
              <w:t xml:space="preserve">Holistic AI</w:t>
            </w:r>
          </w:p>
        </w:tc>
        <w:tc>
          <w:tcPr/>
          <w:p>
            <w:pPr>
              <w:pStyle w:val="Compact"/>
              <w:jc w:val="left"/>
            </w:pPr>
            <w:r>
              <w:t xml:space="preserve">Certification desert filled by SOV3 Watchdog</w:t>
            </w:r>
          </w:p>
        </w:tc>
        <w:tc>
          <w:tcPr/>
          <w:p>
            <w:pPr>
              <w:pStyle w:val="Compact"/>
              <w:jc w:val="left"/>
            </w:pPr>
            <w:r>
              <w:t xml:space="preserve">9–12 months (build certification program)</w:t>
            </w:r>
          </w:p>
        </w:tc>
      </w:tr>
      <w:tr>
        <w:tc>
          <w:tcPr/>
          <w:p>
            <w:pPr>
              <w:pStyle w:val="Compact"/>
              <w:jc w:val="left"/>
            </w:pPr>
            <w:r>
              <w:t xml:space="preserve">NanoCo</w:t>
            </w:r>
          </w:p>
        </w:tc>
        <w:tc>
          <w:tcPr/>
          <w:p>
            <w:pPr>
              <w:pStyle w:val="Compact"/>
              <w:jc w:val="left"/>
            </w:pPr>
            <w:r>
              <w:t xml:space="preserve">Funding fiction exposed in Transparency Index</w:t>
            </w:r>
          </w:p>
        </w:tc>
        <w:tc>
          <w:tcPr/>
          <w:p>
            <w:pPr>
              <w:pStyle w:val="Compact"/>
              <w:jc w:val="left"/>
            </w:pPr>
            <w:r>
              <w:t xml:space="preserve">Immediate (crisis mode)</w:t>
            </w:r>
          </w:p>
        </w:tc>
      </w:tr>
      <w:tr>
        <w:tc>
          <w:tcPr/>
          <w:p>
            <w:pPr>
              <w:pStyle w:val="Compact"/>
              <w:jc w:val="left"/>
            </w:pPr>
            <w:r>
              <w:t xml:space="preserve">Torch Security</w:t>
            </w:r>
          </w:p>
        </w:tc>
        <w:tc>
          <w:tcPr/>
          <w:p>
            <w:pPr>
              <w:pStyle w:val="Compact"/>
              <w:jc w:val="left"/>
            </w:pPr>
            <w:r>
              <w:t xml:space="preserve">$0 verified funding revealed</w:t>
            </w:r>
          </w:p>
        </w:tc>
        <w:tc>
          <w:tcPr/>
          <w:p>
            <w:pPr>
              <w:pStyle w:val="Compact"/>
              <w:jc w:val="left"/>
            </w:pPr>
            <w:r>
              <w:t xml:space="preserve">Immediate (existential)</w:t>
            </w:r>
          </w:p>
        </w:tc>
      </w:tr>
      <w:tr>
        <w:tc>
          <w:tcPr/>
          <w:p>
            <w:pPr>
              <w:pStyle w:val="Compact"/>
              <w:jc w:val="left"/>
            </w:pPr>
            <w:r>
              <w:t xml:space="preserve">Euno</w:t>
            </w:r>
          </w:p>
        </w:tc>
        <w:tc>
          <w:tcPr/>
          <w:p>
            <w:pPr>
              <w:pStyle w:val="Compact"/>
              <w:jc w:val="left"/>
            </w:pPr>
            <w:r>
              <w:t xml:space="preserve">2x funding overstatement published</w:t>
            </w:r>
          </w:p>
        </w:tc>
        <w:tc>
          <w:tcPr/>
          <w:p>
            <w:pPr>
              <w:pStyle w:val="Compact"/>
              <w:jc w:val="left"/>
            </w:pPr>
            <w:r>
              <w:t xml:space="preserve">Immediate (investor pressure)</w:t>
            </w:r>
          </w:p>
        </w:tc>
      </w:tr>
      <w:tr>
        <w:tc>
          <w:tcPr/>
          <w:p>
            <w:pPr>
              <w:pStyle w:val="Compact"/>
              <w:jc w:val="left"/>
            </w:pPr>
            <w:r>
              <w:t xml:space="preserve">IBM/Microsoft</w:t>
            </w:r>
          </w:p>
        </w:tc>
        <w:tc>
          <w:tcPr/>
          <w:p>
            <w:pPr>
              <w:pStyle w:val="Compact"/>
              <w:jc w:val="left"/>
            </w:pPr>
            <w:r>
              <w:t xml:space="preserve">“</w:t>
            </w:r>
            <w:r>
              <w:t xml:space="preserve">Assessment vs enforcement</w:t>
            </w:r>
            <w:r>
              <w:t xml:space="preserve">”</w:t>
            </w:r>
            <w:r>
              <w:t xml:space="preserve"> </w:t>
            </w:r>
            <w:r>
              <w:t xml:space="preserve">narrative</w:t>
            </w:r>
          </w:p>
        </w:tc>
        <w:tc>
          <w:tcPr/>
          <w:p>
            <w:pPr>
              <w:pStyle w:val="Compact"/>
              <w:jc w:val="left"/>
            </w:pPr>
            <w:r>
              <w:t xml:space="preserve">12–24 months (platform rebuild)</w:t>
            </w:r>
          </w:p>
        </w:tc>
      </w:tr>
    </w:tbl>
    <w:p>
      <w:pPr>
        <w:pStyle w:val="BodyText"/>
      </w:pPr>
      <w:r>
        <w:t xml:space="preserve">Every competitor wakes up July 5th playing catch-up to a game SOV3 invented on July 4th. The certification desert</w:t>
      </w:r>
      <w:r>
        <w:rPr>
          <w:vertAlign w:val="superscript"/>
        </w:rPr>
        <w:t xml:space="preserve">3</w:t>
      </w:r>
      <w:r>
        <w:t xml:space="preserve">? Filled. The MCP governance vacuum</w:t>
      </w:r>
      <w:r>
        <w:rPr>
          <w:vertAlign w:val="superscript"/>
        </w:rPr>
        <w:t xml:space="preserve">1</w:t>
      </w:r>
      <w:r>
        <w:t xml:space="preserve">? Occupied. The pricing transparency arbitrage</w:t>
      </w:r>
      <w:r>
        <w:rPr>
          <w:vertAlign w:val="superscript"/>
        </w:rPr>
        <w:t xml:space="preserve">26</w:t>
      </w:r>
      <w:r>
        <w:t xml:space="preserve">? Owned. The assessment vs enforcement gap</w:t>
      </w:r>
      <w:r>
        <w:rPr>
          <w:vertAlign w:val="superscript"/>
        </w:rPr>
        <w:t xml:space="preserve">28</w:t>
      </w:r>
      <w:r>
        <w:t xml:space="preserve">? Closed. The funding fiction</w:t>
      </w:r>
      <w:r>
        <w:rPr>
          <w:vertAlign w:val="superscript"/>
        </w:rPr>
        <w:t xml:space="preserve">24</w:t>
      </w:r>
      <w:r>
        <w:t xml:space="preserve">? Exposed. The OneTrust death spiral</w:t>
      </w:r>
      <w:r>
        <w:rPr>
          <w:vertAlign w:val="superscript"/>
        </w:rPr>
        <w:t xml:space="preserve">14</w:t>
      </w:r>
      <w:r>
        <w:t xml:space="preserve">? Accelerated. The CrowdStrike convergence</w:t>
      </w:r>
      <w:r>
        <w:rPr>
          <w:vertAlign w:val="superscript"/>
        </w:rPr>
        <w:t xml:space="preserve">9</w:t>
      </w:r>
      <w:r>
        <w:t xml:space="preserve">? Executed.</w:t>
      </w:r>
    </w:p>
    <w:p>
      <w:pPr>
        <w:pStyle w:val="BodyText"/>
      </w:pPr>
      <w:r>
        <w:t xml:space="preserve">The EU AI Act enforcement deadline is 58 days away</w:t>
      </w:r>
      <w:r>
        <w:rPr>
          <w:vertAlign w:val="superscript"/>
        </w:rPr>
        <w:t xml:space="preserve">2</w:t>
      </w:r>
      <w:r>
        <w:t xml:space="preserve">. Every European company that needs to comply will evaluate AI governance platforms in that window. SOV3 will be the only platform that offers: governance, certification, transparent pricing, open-source core, MCP security authority, and runtime enforcement — all under $500/month.</w:t>
      </w:r>
    </w:p>
    <w:p>
      <w:pPr>
        <w:pStyle w:val="BodyText"/>
      </w:pPr>
      <w:r>
        <w:rPr>
          <w:bCs/>
          <w:b/>
        </w:rPr>
        <w:t xml:space="preserve">Dragon Mode: Complete.</w:t>
      </w:r>
    </w:p>
    <w:p>
      <w:pPr>
        <w:pStyle w:val="BlockText"/>
      </w:pPr>
      <w:r>
        <w:rPr>
          <w:iCs/>
          <w:i/>
        </w:rPr>
        <w:t xml:space="preserve">“</w:t>
      </w:r>
      <w:r>
        <w:rPr>
          <w:iCs/>
          <w:i/>
        </w:rPr>
        <w:t xml:space="preserve">The best time to plant a tree was 20 years ago. The second best time is now. The best time to launch SOV3 was before the EU AI Act deadline. The second best time is July 4, 2026.</w:t>
      </w:r>
      <w:r>
        <w:rPr>
          <w:iCs/>
          <w:i/>
        </w:rPr>
        <w:t xml:space="preserve">”</w:t>
      </w:r>
    </w:p>
    <w:p>
      <w:r>
        <w:pict>
          <v:rect style="width:0;height:1.5pt" o:hralign="center" o:hrstd="t" o:hr="t"/>
        </w:pict>
      </w:r>
    </w:p>
    <w:bookmarkEnd w:id="101"/>
    <w:bookmarkStart w:id="102" w:name="chapter-8-key-takeaways"/>
    <w:p>
      <w:pPr>
        <w:pStyle w:val="Heading3"/>
      </w:pPr>
      <w:r>
        <w:t xml:space="preserve">Chapter 8 Key Takeaways</w:t>
      </w:r>
    </w:p>
    <w:p>
      <w:pPr>
        <w:numPr>
          <w:ilvl w:val="0"/>
          <w:numId w:val="1012"/>
        </w:numPr>
      </w:pPr>
      <w:r>
        <w:rPr>
          <w:bCs/>
          <w:b/>
        </w:rPr>
        <w:t xml:space="preserve">Week 1 (June 8–14) plants the narrative seeds</w:t>
      </w:r>
      <w:r>
        <w:t xml:space="preserve"> </w:t>
      </w:r>
      <w:r>
        <w:t xml:space="preserve">through Reddit whisper campaigns, HN comment strategy, OneTrust engineer intelligence gathering, and shadow AI crisis framing. Every action is designed to create the informational environment for the July 4 detonation.</w:t>
      </w:r>
    </w:p>
    <w:p>
      <w:pPr>
        <w:numPr>
          <w:ilvl w:val="0"/>
          <w:numId w:val="1012"/>
        </w:numPr>
      </w:pPr>
      <w:r>
        <w:rPr>
          <w:bCs/>
          <w:b/>
        </w:rPr>
        <w:t xml:space="preserve">Week 2 (June 15–21) builds the arsenal</w:t>
      </w:r>
      <w:r>
        <w:t xml:space="preserve"> </w:t>
      </w:r>
      <w:r>
        <w:t xml:space="preserve">— sov3.ai/compare, the EU AI Act scanner, the open-source PDCA engine, the</w:t>
      </w:r>
      <w:r>
        <w:t xml:space="preserve"> </w:t>
      </w:r>
      <w:r>
        <w:t xml:space="preserve">“</w:t>
      </w:r>
      <w:r>
        <w:t xml:space="preserve">What Vendors Won’t Tell You</w:t>
      </w:r>
      <w:r>
        <w:t xml:space="preserve">”</w:t>
      </w:r>
      <w:r>
        <w:t xml:space="preserve"> </w:t>
      </w:r>
      <w:r>
        <w:t xml:space="preserve">webinar, and the market shift report. These assets become the ammunition for the final 72 hours.</w:t>
      </w:r>
    </w:p>
    <w:p>
      <w:pPr>
        <w:numPr>
          <w:ilvl w:val="0"/>
          <w:numId w:val="1012"/>
        </w:numPr>
      </w:pPr>
      <w:r>
        <w:rPr>
          <w:bCs/>
          <w:b/>
        </w:rPr>
        <w:t xml:space="preserve">Week 3 (June 22–28) floods the zone</w:t>
      </w:r>
      <w:r>
        <w:t xml:space="preserve"> </w:t>
      </w:r>
      <w:r>
        <w:t xml:space="preserve">— pricing war declaration,</w:t>
      </w:r>
      <w:r>
        <w:t xml:space="preserve"> </w:t>
      </w:r>
      <w:r>
        <w:t xml:space="preserve">“</w:t>
      </w:r>
      <w:r>
        <w:t xml:space="preserve">Join the Dragon</w:t>
      </w:r>
      <w:r>
        <w:t xml:space="preserve">”</w:t>
      </w:r>
      <w:r>
        <w:t xml:space="preserve"> </w:t>
      </w:r>
      <w:r>
        <w:t xml:space="preserve">recruiting, AWS Marketplace partnership, migration floodgates, and the</w:t>
      </w:r>
      <w:r>
        <w:t xml:space="preserve"> </w:t>
      </w:r>
      <w:r>
        <w:t xml:space="preserve">“</w:t>
      </w:r>
      <w:r>
        <w:t xml:space="preserve">Summer of Insecurity</w:t>
      </w:r>
      <w:r>
        <w:t xml:space="preserve">”</w:t>
      </w:r>
      <w:r>
        <w:t xml:space="preserve"> </w:t>
      </w:r>
      <w:r>
        <w:t xml:space="preserve">campaign. Competitors are forced to react to SOV3’s tempo.</w:t>
      </w:r>
    </w:p>
    <w:p>
      <w:pPr>
        <w:numPr>
          <w:ilvl w:val="0"/>
          <w:numId w:val="1012"/>
        </w:numPr>
      </w:pPr>
      <w:r>
        <w:rPr>
          <w:bCs/>
          <w:b/>
        </w:rPr>
        <w:t xml:space="preserve">The Final 72 Hours (June 29–July 4) is a precisely choreographed convergence</w:t>
      </w:r>
      <w:r>
        <w:t xml:space="preserve"> </w:t>
      </w:r>
      <w:r>
        <w:t xml:space="preserve">— the Transparency Index (June 30), CVE amplification (July 1), CrowdStrike stock split strike (July 2), T-24 countdown (July 3), and LAUNCH (July 4 at 00:00 ET). Each day builds on the last, creating unstoppable momentum.</w:t>
      </w:r>
    </w:p>
    <w:p>
      <w:pPr>
        <w:numPr>
          <w:ilvl w:val="0"/>
          <w:numId w:val="1012"/>
        </w:numPr>
      </w:pPr>
      <w:r>
        <w:rPr>
          <w:bCs/>
          <w:b/>
        </w:rPr>
        <w:t xml:space="preserve">The CrowdStrike stock split on July 2 is the single highest-impact timing opportunity</w:t>
      </w:r>
      <w:r>
        <w:t xml:space="preserve"> </w:t>
      </w:r>
      <w:r>
        <w:t xml:space="preserve">— combining 4-for-1 split media attention, $30M+ CEO insider selling</w:t>
      </w:r>
      <w:r>
        <w:rPr>
          <w:vertAlign w:val="superscript"/>
        </w:rPr>
        <w:t xml:space="preserve">8</w:t>
      </w:r>
      <w:r>
        <w:t xml:space="preserve">, and CVE-2026-40050</w:t>
      </w:r>
      <w:r>
        <w:rPr>
          <w:vertAlign w:val="superscript"/>
        </w:rPr>
        <w:t xml:space="preserve">9</w:t>
      </w:r>
      <w:r>
        <w:t xml:space="preserve">into a</w:t>
      </w:r>
      <w:r>
        <w:t xml:space="preserve"> </w:t>
      </w:r>
      <w:r>
        <w:t xml:space="preserve">“</w:t>
      </w:r>
      <w:r>
        <w:t xml:space="preserve">splitting stock, not fixing security</w:t>
      </w:r>
      <w:r>
        <w:t xml:space="preserve">”</w:t>
      </w:r>
      <w:r>
        <w:t xml:space="preserve"> </w:t>
      </w:r>
      <w:r>
        <w:t xml:space="preserve">narrative that captures maximum attention 48 hours before SOV3 launch.</w:t>
      </w:r>
    </w:p>
    <w:p>
      <w:pPr>
        <w:numPr>
          <w:ilvl w:val="0"/>
          <w:numId w:val="1012"/>
        </w:numPr>
      </w:pPr>
      <w:r>
        <w:rPr>
          <w:bCs/>
          <w:b/>
        </w:rPr>
        <w:t xml:space="preserve">July 4 is strategically optimal, not just symbolic</w:t>
      </w:r>
      <w:r>
        <w:t xml:space="preserve"> </w:t>
      </w:r>
      <w:r>
        <w:t xml:space="preserve">— 58 days before EU AI Act enforcement</w:t>
      </w:r>
      <w:r>
        <w:rPr>
          <w:vertAlign w:val="superscript"/>
        </w:rPr>
        <w:t xml:space="preserve">2</w:t>
      </w:r>
      <w:r>
        <w:t xml:space="preserve">, Independence Day alignment for</w:t>
      </w:r>
      <w:r>
        <w:t xml:space="preserve"> </w:t>
      </w:r>
      <w:r>
        <w:t xml:space="preserve">“</w:t>
      </w:r>
      <w:r>
        <w:t xml:space="preserve">freedom from enterprise lock-in</w:t>
      </w:r>
      <w:r>
        <w:t xml:space="preserve">”</w:t>
      </w:r>
      <w:r>
        <w:t xml:space="preserve"> </w:t>
      </w:r>
      <w:r>
        <w:t xml:space="preserve">narrative, and a date no competitor would choose (everyone else takes the holiday off).</w:t>
      </w:r>
    </w:p>
    <w:p>
      <w:pPr>
        <w:numPr>
          <w:ilvl w:val="0"/>
          <w:numId w:val="1012"/>
        </w:numPr>
      </w:pPr>
      <w:r>
        <w:rPr>
          <w:bCs/>
          <w:b/>
        </w:rPr>
        <w:t xml:space="preserve">Day 1 targets are aggressive and measurable</w:t>
      </w:r>
      <w:r>
        <w:t xml:space="preserve">: 5,000 certifications, 50,000 website visitors, 100 paying customers, HN #1, Product Hunt #1, and 500 press pickups. These numbers are achievable because 27 days of pre-launch preparation create the audience to convert.</w:t>
      </w:r>
    </w:p>
    <w:p>
      <w:pPr>
        <w:numPr>
          <w:ilvl w:val="0"/>
          <w:numId w:val="1012"/>
        </w:numPr>
      </w:pPr>
      <w:r>
        <w:rPr>
          <w:bCs/>
          <w:b/>
        </w:rPr>
        <w:t xml:space="preserve">Every competitor is paralyzed by structural disadvantages on July 5th</w:t>
      </w:r>
      <w:r>
        <w:t xml:space="preserve"> </w:t>
      </w:r>
      <w:r>
        <w:t xml:space="preserve">— OneTrust needs 6–12 months to respond to the Escape campaign. Palo Alto needs 12–18 months to rebuild architecture. CrowdStrike needs 3–6 months for PR recovery. The funding-fraud competitors face immediate existential crises. SOV3’s 27-day sprint creates a 12–24 month competitive moat.</w:t>
      </w:r>
    </w:p>
    <w:p>
      <w:pPr>
        <w:numPr>
          <w:ilvl w:val="0"/>
          <w:numId w:val="1012"/>
        </w:numPr>
      </w:pPr>
      <w:r>
        <w:rPr>
          <w:bCs/>
          <w:b/>
        </w:rPr>
        <w:t xml:space="preserve">The 10 strategic insights from Chapter 6 are not abstract intelligence — they are the operational plan.</w:t>
      </w:r>
      <w:r>
        <w:t xml:space="preserve"> </w:t>
      </w:r>
      <w:r>
        <w:t xml:space="preserve">Every insight has a corresponding action in this playbook: Stock Split Convergence → July 2 strike. Funding Fiction → Transparency Index. Certification Desert → Watchdog launch. Assessment vs Enforcement → PDCA open-source. July 4th Juxtaposition → dual narrative. MCP Governance Vacuum → Security Authority. OneTrust Death Spiral → Escape campaign. Insider Selling Signal →</w:t>
      </w:r>
      <w:r>
        <w:t xml:space="preserve"> </w:t>
      </w:r>
      <w:r>
        <w:t xml:space="preserve">“</w:t>
      </w:r>
      <w:r>
        <w:t xml:space="preserve">Built, Not Bought</w:t>
      </w:r>
      <w:r>
        <w:t xml:space="preserve">”</w:t>
      </w:r>
      <w:r>
        <w:t xml:space="preserve"> </w:t>
      </w:r>
      <w:r>
        <w:t xml:space="preserve">narrative. Shadow AI Crisis → auto-discovery headline. Pricing Transparency → published pricing.</w:t>
      </w:r>
    </w:p>
    <w:p>
      <w:pPr>
        <w:numPr>
          <w:ilvl w:val="0"/>
          <w:numId w:val="1012"/>
        </w:numPr>
      </w:pPr>
      <w:r>
        <w:rPr>
          <w:bCs/>
          <w:b/>
        </w:rPr>
        <w:t xml:space="preserve">Nick Templeman’s execution checklist has 127 specific actions across 27 days.</w:t>
      </w:r>
      <w:r>
        <w:t xml:space="preserve"> </w:t>
      </w:r>
      <w:r>
        <w:t xml:space="preserve">Every action has an owner (NT), a channel, a target metric, and a deadline. The only remaining variable is execution velocity. The intelligence is complete. The plan is set. The countdown begins June 8. Dragon Mode initiates July 4 at 00:00 ET.</w:t>
      </w:r>
    </w:p>
    <w:p>
      <w:r>
        <w:pict>
          <v:rect style="width:0;height:1.5pt" o:hralign="center" o:hrstd="t" o:hr="t"/>
        </w:pict>
      </w:r>
    </w:p>
    <w:bookmarkEnd w:id="102"/>
    <w:bookmarkEnd w:id="103"/>
    <w:bookmarkEnd w:id="104"/>
    <w:bookmarkStart w:id="107" w:name="appendix-research-source-files"/>
    <w:p>
      <w:pPr>
        <w:pStyle w:val="Heading1"/>
      </w:pPr>
      <w:r>
        <w:t xml:space="preserve">APPENDIX: Research Source Files</w:t>
      </w:r>
    </w:p>
    <w:bookmarkStart w:id="105" w:name="dimension-intelligence-research"/>
    <w:p>
      <w:pPr>
        <w:pStyle w:val="Heading2"/>
      </w:pPr>
      <w:r>
        <w:t xml:space="preserve">12-Dimension Intelligence Research</w:t>
      </w:r>
    </w:p>
    <w:tbl>
      <w:tblPr>
        <w:tblStyle w:val="Table"/>
        <w:tblW w:type="pct" w:w="5000"/>
        <w:tblLook w:firstRow="1" w:lastRow="0" w:firstColumn="0" w:lastColumn="0" w:noHBand="0" w:noVBand="0" w:val="0020"/>
      </w:tblPr>
      <w:tblGrid>
        <w:gridCol w:w="3226"/>
        <w:gridCol w:w="1760"/>
        <w:gridCol w:w="2933"/>
      </w:tblGrid>
      <w:tr>
        <w:trPr>
          <w:tblHeader w:val="true"/>
        </w:trPr>
        <w:tc>
          <w:tcPr/>
          <w:p>
            <w:pPr>
              <w:pStyle w:val="Compact"/>
              <w:jc w:val="left"/>
            </w:pPr>
            <w:r>
              <w:t xml:space="preserve">Dimension</w:t>
            </w:r>
          </w:p>
        </w:tc>
        <w:tc>
          <w:tcPr/>
          <w:p>
            <w:pPr>
              <w:pStyle w:val="Compact"/>
              <w:jc w:val="left"/>
            </w:pPr>
            <w:r>
              <w:t xml:space="preserve">File</w:t>
            </w:r>
          </w:p>
        </w:tc>
        <w:tc>
          <w:tcPr/>
          <w:p>
            <w:pPr>
              <w:pStyle w:val="Compact"/>
              <w:jc w:val="left"/>
            </w:pPr>
            <w:r>
              <w:t xml:space="preserve">Coverage</w:t>
            </w:r>
          </w:p>
        </w:tc>
      </w:tr>
      <w:tr>
        <w:tc>
          <w:tcPr/>
          <w:p>
            <w:pPr>
              <w:pStyle w:val="Compact"/>
              <w:jc w:val="left"/>
            </w:pPr>
            <w:r>
              <w:t xml:space="preserve">Dim 01</w:t>
            </w:r>
          </w:p>
        </w:tc>
        <w:tc>
          <w:tcPr/>
          <w:p>
            <w:pPr>
              <w:pStyle w:val="Compact"/>
              <w:jc w:val="left"/>
            </w:pPr>
            <w:r>
              <w:rPr>
                <w:rStyle w:val="VerbatimChar"/>
              </w:rPr>
              <w:t xml:space="preserve">sov3_intel_dim01.md</w:t>
            </w:r>
          </w:p>
        </w:tc>
        <w:tc>
          <w:tcPr/>
          <w:p>
            <w:pPr>
              <w:pStyle w:val="Compact"/>
              <w:jc w:val="left"/>
            </w:pPr>
            <w:r>
              <w:t xml:space="preserve">Public Company Stock Intelligence</w:t>
            </w:r>
          </w:p>
        </w:tc>
      </w:tr>
      <w:tr>
        <w:tc>
          <w:tcPr/>
          <w:p>
            <w:pPr>
              <w:pStyle w:val="Compact"/>
              <w:jc w:val="left"/>
            </w:pPr>
            <w:r>
              <w:t xml:space="preserve">Dim 02</w:t>
            </w:r>
          </w:p>
        </w:tc>
        <w:tc>
          <w:tcPr/>
          <w:p>
            <w:pPr>
              <w:pStyle w:val="Compact"/>
              <w:jc w:val="left"/>
            </w:pPr>
            <w:r>
              <w:rPr>
                <w:rStyle w:val="VerbatimChar"/>
              </w:rPr>
              <w:t xml:space="preserve">sov3_intel_dim02.md</w:t>
            </w:r>
          </w:p>
        </w:tc>
        <w:tc>
          <w:tcPr/>
          <w:p>
            <w:pPr>
              <w:pStyle w:val="Compact"/>
              <w:jc w:val="left"/>
            </w:pPr>
            <w:r>
              <w:t xml:space="preserve">Private AI Governance Startup Intelligence</w:t>
            </w:r>
          </w:p>
        </w:tc>
      </w:tr>
      <w:tr>
        <w:tc>
          <w:tcPr/>
          <w:p>
            <w:pPr>
              <w:pStyle w:val="Compact"/>
              <w:jc w:val="left"/>
            </w:pPr>
            <w:r>
              <w:t xml:space="preserve">Dim 03</w:t>
            </w:r>
          </w:p>
        </w:tc>
        <w:tc>
          <w:tcPr/>
          <w:p>
            <w:pPr>
              <w:pStyle w:val="Compact"/>
              <w:jc w:val="left"/>
            </w:pPr>
            <w:r>
              <w:rPr>
                <w:rStyle w:val="VerbatimChar"/>
              </w:rPr>
              <w:t xml:space="preserve">sov3_intel_dim03.md</w:t>
            </w:r>
          </w:p>
        </w:tc>
        <w:tc>
          <w:tcPr/>
          <w:p>
            <w:pPr>
              <w:pStyle w:val="Compact"/>
              <w:jc w:val="left"/>
            </w:pPr>
            <w:r>
              <w:t xml:space="preserve">GRC Legacy Platform Weaknesses</w:t>
            </w:r>
          </w:p>
        </w:tc>
      </w:tr>
      <w:tr>
        <w:tc>
          <w:tcPr/>
          <w:p>
            <w:pPr>
              <w:pStyle w:val="Compact"/>
              <w:jc w:val="left"/>
            </w:pPr>
            <w:r>
              <w:t xml:space="preserve">Dim 04</w:t>
            </w:r>
          </w:p>
        </w:tc>
        <w:tc>
          <w:tcPr/>
          <w:p>
            <w:pPr>
              <w:pStyle w:val="Compact"/>
              <w:jc w:val="left"/>
            </w:pPr>
            <w:r>
              <w:rPr>
                <w:rStyle w:val="VerbatimChar"/>
              </w:rPr>
              <w:t xml:space="preserve">sov3_intel_dim04.md</w:t>
            </w:r>
          </w:p>
        </w:tc>
        <w:tc>
          <w:tcPr/>
          <w:p>
            <w:pPr>
              <w:pStyle w:val="Compact"/>
              <w:jc w:val="left"/>
            </w:pPr>
            <w:r>
              <w:t xml:space="preserve">Technical CVE &amp; Security Vulnerabilities</w:t>
            </w:r>
          </w:p>
        </w:tc>
      </w:tr>
      <w:tr>
        <w:tc>
          <w:tcPr/>
          <w:p>
            <w:pPr>
              <w:pStyle w:val="Compact"/>
              <w:jc w:val="left"/>
            </w:pPr>
            <w:r>
              <w:t xml:space="preserve">Dim 05</w:t>
            </w:r>
          </w:p>
        </w:tc>
        <w:tc>
          <w:tcPr/>
          <w:p>
            <w:pPr>
              <w:pStyle w:val="Compact"/>
              <w:jc w:val="left"/>
            </w:pPr>
            <w:r>
              <w:rPr>
                <w:rStyle w:val="VerbatimChar"/>
              </w:rPr>
              <w:t xml:space="preserve">sov3_intel_dim05.md</w:t>
            </w:r>
          </w:p>
        </w:tc>
        <w:tc>
          <w:tcPr/>
          <w:p>
            <w:pPr>
              <w:pStyle w:val="Compact"/>
              <w:jc w:val="left"/>
            </w:pPr>
            <w:r>
              <w:t xml:space="preserve">EU AI Act Regulatory Capture</w:t>
            </w:r>
          </w:p>
        </w:tc>
      </w:tr>
      <w:tr>
        <w:tc>
          <w:tcPr/>
          <w:p>
            <w:pPr>
              <w:pStyle w:val="Compact"/>
              <w:jc w:val="left"/>
            </w:pPr>
            <w:r>
              <w:t xml:space="preserve">Dim 06</w:t>
            </w:r>
          </w:p>
        </w:tc>
        <w:tc>
          <w:tcPr/>
          <w:p>
            <w:pPr>
              <w:pStyle w:val="Compact"/>
              <w:jc w:val="left"/>
            </w:pPr>
            <w:r>
              <w:rPr>
                <w:rStyle w:val="VerbatimChar"/>
              </w:rPr>
              <w:t xml:space="preserve">sov3_intel_dim06.md</w:t>
            </w:r>
          </w:p>
        </w:tc>
        <w:tc>
          <w:tcPr/>
          <w:p>
            <w:pPr>
              <w:pStyle w:val="Compact"/>
              <w:jc w:val="left"/>
            </w:pPr>
            <w:r>
              <w:t xml:space="preserve">Pricing Intelligence &amp; Market Positioning</w:t>
            </w:r>
          </w:p>
        </w:tc>
      </w:tr>
      <w:tr>
        <w:tc>
          <w:tcPr/>
          <w:p>
            <w:pPr>
              <w:pStyle w:val="Compact"/>
              <w:jc w:val="left"/>
            </w:pPr>
            <w:r>
              <w:t xml:space="preserve">Dim 07</w:t>
            </w:r>
          </w:p>
        </w:tc>
        <w:tc>
          <w:tcPr/>
          <w:p>
            <w:pPr>
              <w:pStyle w:val="Compact"/>
              <w:jc w:val="left"/>
            </w:pPr>
            <w:r>
              <w:rPr>
                <w:rStyle w:val="VerbatimChar"/>
              </w:rPr>
              <w:t xml:space="preserve">sov3_intel_dim07.md</w:t>
            </w:r>
          </w:p>
        </w:tc>
        <w:tc>
          <w:tcPr/>
          <w:p>
            <w:pPr>
              <w:pStyle w:val="Compact"/>
              <w:jc w:val="left"/>
            </w:pPr>
            <w:r>
              <w:t xml:space="preserve">Talent &amp; Hiring Intelligence</w:t>
            </w:r>
          </w:p>
        </w:tc>
      </w:tr>
      <w:tr>
        <w:tc>
          <w:tcPr/>
          <w:p>
            <w:pPr>
              <w:pStyle w:val="Compact"/>
              <w:jc w:val="left"/>
            </w:pPr>
            <w:r>
              <w:t xml:space="preserve">Dim 08</w:t>
            </w:r>
          </w:p>
        </w:tc>
        <w:tc>
          <w:tcPr/>
          <w:p>
            <w:pPr>
              <w:pStyle w:val="Compact"/>
              <w:jc w:val="left"/>
            </w:pPr>
            <w:r>
              <w:rPr>
                <w:rStyle w:val="VerbatimChar"/>
              </w:rPr>
              <w:t xml:space="preserve">sov3_intel_dim08.md</w:t>
            </w:r>
          </w:p>
        </w:tc>
        <w:tc>
          <w:tcPr/>
          <w:p>
            <w:pPr>
              <w:pStyle w:val="Compact"/>
              <w:jc w:val="left"/>
            </w:pPr>
            <w:r>
              <w:t xml:space="preserve">MCP Ecosystem &amp; Agentic AI Frameworks</w:t>
            </w:r>
          </w:p>
        </w:tc>
      </w:tr>
      <w:tr>
        <w:tc>
          <w:tcPr/>
          <w:p>
            <w:pPr>
              <w:pStyle w:val="Compact"/>
              <w:jc w:val="left"/>
            </w:pPr>
            <w:r>
              <w:t xml:space="preserve">Dim 09</w:t>
            </w:r>
          </w:p>
        </w:tc>
        <w:tc>
          <w:tcPr/>
          <w:p>
            <w:pPr>
              <w:pStyle w:val="Compact"/>
              <w:jc w:val="left"/>
            </w:pPr>
            <w:r>
              <w:rPr>
                <w:rStyle w:val="VerbatimChar"/>
              </w:rPr>
              <w:t xml:space="preserve">sov3_intel_dim09.md</w:t>
            </w:r>
          </w:p>
        </w:tc>
        <w:tc>
          <w:tcPr/>
          <w:p>
            <w:pPr>
              <w:pStyle w:val="Compact"/>
              <w:jc w:val="left"/>
            </w:pPr>
            <w:r>
              <w:t xml:space="preserve">Customer Sentiment &amp; Review Intelligence</w:t>
            </w:r>
          </w:p>
        </w:tc>
      </w:tr>
      <w:tr>
        <w:tc>
          <w:tcPr/>
          <w:p>
            <w:pPr>
              <w:pStyle w:val="Compact"/>
              <w:jc w:val="left"/>
            </w:pPr>
            <w:r>
              <w:t xml:space="preserve">Dim 10</w:t>
            </w:r>
          </w:p>
        </w:tc>
        <w:tc>
          <w:tcPr/>
          <w:p>
            <w:pPr>
              <w:pStyle w:val="Compact"/>
              <w:jc w:val="left"/>
            </w:pPr>
            <w:r>
              <w:rPr>
                <w:rStyle w:val="VerbatimChar"/>
              </w:rPr>
              <w:t xml:space="preserve">sov3_intel_dim10.md</w:t>
            </w:r>
          </w:p>
        </w:tc>
        <w:tc>
          <w:tcPr/>
          <w:p>
            <w:pPr>
              <w:pStyle w:val="Compact"/>
              <w:jc w:val="left"/>
            </w:pPr>
            <w:r>
              <w:t xml:space="preserve">Funding &amp; Investment Intelligence</w:t>
            </w:r>
          </w:p>
        </w:tc>
      </w:tr>
      <w:tr>
        <w:tc>
          <w:tcPr/>
          <w:p>
            <w:pPr>
              <w:pStyle w:val="Compact"/>
              <w:jc w:val="left"/>
            </w:pPr>
            <w:r>
              <w:t xml:space="preserve">Dim 11</w:t>
            </w:r>
          </w:p>
        </w:tc>
        <w:tc>
          <w:tcPr/>
          <w:p>
            <w:pPr>
              <w:pStyle w:val="Compact"/>
              <w:jc w:val="left"/>
            </w:pPr>
            <w:r>
              <w:rPr>
                <w:rStyle w:val="VerbatimChar"/>
              </w:rPr>
              <w:t xml:space="preserve">sov3_intel_dim11.md</w:t>
            </w:r>
          </w:p>
        </w:tc>
        <w:tc>
          <w:tcPr/>
          <w:p>
            <w:pPr>
              <w:pStyle w:val="Compact"/>
              <w:jc w:val="left"/>
            </w:pPr>
            <w:r>
              <w:t xml:space="preserve">Press &amp; Media Narrative Intelligence</w:t>
            </w:r>
          </w:p>
        </w:tc>
      </w:tr>
      <w:tr>
        <w:tc>
          <w:tcPr/>
          <w:p>
            <w:pPr>
              <w:pStyle w:val="Compact"/>
              <w:jc w:val="left"/>
            </w:pPr>
            <w:r>
              <w:t xml:space="preserve">Dim 12</w:t>
            </w:r>
          </w:p>
        </w:tc>
        <w:tc>
          <w:tcPr/>
          <w:p>
            <w:pPr>
              <w:pStyle w:val="Compact"/>
              <w:jc w:val="left"/>
            </w:pPr>
            <w:r>
              <w:rPr>
                <w:rStyle w:val="VerbatimChar"/>
              </w:rPr>
              <w:t xml:space="preserve">sov3_intel_dim12.md</w:t>
            </w:r>
          </w:p>
        </w:tc>
        <w:tc>
          <w:tcPr/>
          <w:p>
            <w:pPr>
              <w:pStyle w:val="Compact"/>
              <w:jc w:val="left"/>
            </w:pPr>
            <w:r>
              <w:t xml:space="preserve">Technical Architecture Reverse-Engineering</w:t>
            </w:r>
          </w:p>
        </w:tc>
      </w:tr>
    </w:tbl>
    <w:bookmarkEnd w:id="105"/>
    <w:bookmarkStart w:id="106" w:name="analysis-files"/>
    <w:p>
      <w:pPr>
        <w:pStyle w:val="Heading2"/>
      </w:pPr>
      <w:r>
        <w:t xml:space="preserve">Analysis Files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sov3_intel_cross_verification.md</w:t>
            </w:r>
          </w:p>
        </w:tc>
        <w:tc>
          <w:tcPr/>
          <w:p>
            <w:pPr>
              <w:pStyle w:val="Compact"/>
              <w:jc w:val="left"/>
            </w:pPr>
            <w:r>
              <w:t xml:space="preserve">Confidence classification (20 High, 10 Medium, 6 conflicts resolved)</w:t>
            </w:r>
          </w:p>
        </w:tc>
      </w:tr>
      <w:tr>
        <w:tc>
          <w:tcPr/>
          <w:p>
            <w:pPr>
              <w:pStyle w:val="Compact"/>
              <w:jc w:val="left"/>
            </w:pPr>
            <w:r>
              <w:rPr>
                <w:rStyle w:val="VerbatimChar"/>
              </w:rPr>
              <w:t xml:space="preserve">sov3_intel_insight.md</w:t>
            </w:r>
          </w:p>
        </w:tc>
        <w:tc>
          <w:tcPr/>
          <w:p>
            <w:pPr>
              <w:pStyle w:val="Compact"/>
              <w:jc w:val="left"/>
            </w:pPr>
            <w:r>
              <w:t xml:space="preserve">10 cross-dimensional strategic insights</w:t>
            </w:r>
          </w:p>
        </w:tc>
      </w:tr>
      <w:tr>
        <w:tc>
          <w:tcPr/>
          <w:p>
            <w:pPr>
              <w:pStyle w:val="Compact"/>
              <w:jc w:val="left"/>
            </w:pPr>
            <w:r>
              <w:rPr>
                <w:rStyle w:val="VerbatimChar"/>
              </w:rPr>
              <w:t xml:space="preserve">sov3_intel_file_analysis.md</w:t>
            </w:r>
          </w:p>
        </w:tc>
        <w:tc>
          <w:tcPr/>
          <w:p>
            <w:pPr>
              <w:pStyle w:val="Compact"/>
              <w:jc w:val="left"/>
            </w:pPr>
            <w:r>
              <w:t xml:space="preserve">Original document analysis and gap identification</w:t>
            </w:r>
          </w:p>
        </w:tc>
      </w:tr>
    </w:tbl>
    <w:p>
      <w:r>
        <w:pict>
          <v:rect style="width:0;height:1.5pt" o:hralign="center" o:hrstd="t" o:hr="t"/>
        </w:pict>
      </w:r>
    </w:p>
    <w:p>
      <w:pPr>
        <w:pStyle w:val="FirstParagraph"/>
      </w:pPr>
      <w:r>
        <w:rPr>
          <w:iCs/>
          <w:i/>
        </w:rPr>
        <w:t xml:space="preserve">“</w:t>
      </w:r>
      <w:r>
        <w:rPr>
          <w:iCs/>
          <w:i/>
        </w:rPr>
        <w:t xml:space="preserve">The Black Swan isn’t that AI will be regulated. Everyone knows that. The Black Swan is that regulation will be democratized — and SOV3 is the only one building for that.</w:t>
      </w:r>
      <w:r>
        <w:rPr>
          <w:iCs/>
          <w:i/>
        </w:rPr>
        <w:t xml:space="preserve">”</w:t>
      </w:r>
    </w:p>
    <w:p>
      <w:pPr>
        <w:pStyle w:val="BodyText"/>
      </w:pPr>
      <w:r>
        <w:rPr>
          <w:bCs/>
          <w:b/>
        </w:rPr>
        <w:t xml:space="preserve">Dragon Mode: ENGAGED.</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2026-06-07T13:59:32Z</dcterms:created>
  <dcterms:modified xsi:type="dcterms:W3CDTF">2026-06-07T13:59:32Z</dcterms:modified>
</cp:coreProperties>
</file>

<file path=docProps/custom.xml><?xml version="1.0" encoding="utf-8"?>
<Properties xmlns="http://schemas.openxmlformats.org/officeDocument/2006/custom-properties" xmlns:vt="http://schemas.openxmlformats.org/officeDocument/2006/docPropsVTypes"/>
</file>