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285a1a4348143c9"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5ce79085c4c447a9"/>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e2e8f0"/>
          <w:spacing w:val="60"/>
          <w:sz w:val="88"/>
        </w:rPr>
        <w:t>MEOK DATA</w:t>
      </w:r>
    </w:p>
    <w:p>
      <w:pPr>
        <w:spacing w:after="600"/>
        <w:ind w:left="1200" w:right="1200"/>
        <w:jc w:val="left"/>
      </w:pPr>
      <w:r>
        <w:rPr>
          <w:color w:val="00bca8"/>
          <w:spacing w:val="30"/>
          <w:sz w:val="36"/>
        </w:rPr>
        <w:t>Strategic Business Plan</w:t>
      </w:r>
    </w:p>
    <w:p>
      <w:pPr>
        <w:spacing w:after="200"/>
        <w:ind w:left="1200"/>
      </w:pPr>
      <w:r>
        <w:rPr>
          <w:color w:val="718096"/>
          <w:sz w:val="22"/>
        </w:rPr>
        <w:t>Building a Proprietary Data Moat Through Ecosystem Intelligence</w:t>
      </w:r>
    </w:p>
    <w:p>
      <w:pPr>
        <w:ind w:left="1200"/>
      </w:pPr>
      <w:r>
        <w:rPr>
          <w:color w:val="8899aa"/>
          <w:sz w:val="20"/>
        </w:rPr>
        <w:t>MEOK AI Labs  |  June 2026</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300"/>
      </w:pPr>
      <w:r>
        <w:rPr>
          <w:color w:val="718096"/>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The Data Moat Opportunity</w:t>
      </w:r>
      <w:r>
        <w:tab/>
      </w:r>
      <w:r>
        <w:t>4</w:t>
      </w:r>
    </w:p>
    <w:p>
      <w:pPr>
        <w:pStyle w:val="TOC1"/>
      </w:pPr>
      <w:r>
        <w:t>Ecosystem Data Sources</w:t>
      </w:r>
      <w:r>
        <w:tab/>
      </w:r>
      <w:r>
        <w:t>5</w:t>
      </w:r>
    </w:p>
    <w:p>
      <w:pPr>
        <w:pStyle w:val="TOC2"/>
      </w:pPr>
      <w:r>
        <w:t>Governance &amp; Compliance Intelligence</w:t>
      </w:r>
      <w:r>
        <w:tab/>
      </w:r>
      <w:r>
        <w:t>5</w:t>
      </w:r>
    </w:p>
    <w:p>
      <w:pPr>
        <w:pStyle w:val="TOC2"/>
      </w:pPr>
      <w:r>
        <w:t>Healthcare FHIR Data Network</w:t>
      </w:r>
      <w:r>
        <w:tab/>
      </w:r>
      <w:r>
        <w:t>5</w:t>
      </w:r>
    </w:p>
    <w:p>
      <w:pPr>
        <w:pStyle w:val="TOC2"/>
      </w:pPr>
      <w:r>
        <w:t>Financial Services Signals</w:t>
      </w:r>
      <w:r>
        <w:tab/>
      </w:r>
      <w:r>
        <w:t>6</w:t>
      </w:r>
    </w:p>
    <w:p>
      <w:pPr>
        <w:pStyle w:val="TOC1"/>
      </w:pPr>
      <w:r>
        <w:t>Tiered Access Model</w:t>
      </w:r>
      <w:r>
        <w:tab/>
      </w:r>
      <w:r>
        <w:t>7</w:t>
      </w:r>
    </w:p>
    <w:p>
      <w:pPr>
        <w:pStyle w:val="TOC2"/>
      </w:pPr>
      <w:r>
        <w:t>Free Tier: Open Data Foundation</w:t>
      </w:r>
      <w:r>
        <w:tab/>
      </w:r>
      <w:r>
        <w:t>7</w:t>
      </w:r>
    </w:p>
    <w:p>
      <w:pPr>
        <w:pStyle w:val="TOC2"/>
      </w:pPr>
      <w:r>
        <w:t>Pro Tier: Rich API Access</w:t>
      </w:r>
      <w:r>
        <w:tab/>
      </w:r>
      <w:r>
        <w:t>7</w:t>
      </w:r>
    </w:p>
    <w:p>
      <w:pPr>
        <w:pStyle w:val="TOC2"/>
      </w:pPr>
      <w:r>
        <w:t>Enterprise Tier: Custom Licensing</w:t>
      </w:r>
      <w:r>
        <w:tab/>
      </w:r>
      <w:r>
        <w:t>7</w:t>
      </w:r>
    </w:p>
    <w:p>
      <w:pPr>
        <w:pStyle w:val="TOC1"/>
      </w:pPr>
      <w:r>
        <w:t>Data Licensing Business Model</w:t>
      </w:r>
      <w:r>
        <w:tab/>
      </w:r>
      <w:r>
        <w:t>8</w:t>
      </w:r>
    </w:p>
    <w:p>
      <w:pPr>
        <w:pStyle w:val="TOC1"/>
      </w:pPr>
      <w:r>
        <w:t>Competitive Advantage</w:t>
      </w:r>
      <w:r>
        <w:tab/>
      </w:r>
      <w:r>
        <w:t>9</w:t>
      </w:r>
    </w:p>
    <w:p>
      <w:pPr>
        <w:pStyle w:val="TOC1"/>
      </w:pPr>
      <w:r>
        <w:t>Go-to-Market Strategy</w:t>
      </w:r>
      <w:r>
        <w:tab/>
      </w:r>
      <w:r>
        <w:t>10</w:t>
      </w:r>
    </w:p>
    <w:p>
      <w:pPr>
        <w:pStyle w:val="TOC1"/>
      </w:pPr>
      <w:r>
        <w:t>Financial Projections</w:t>
      </w:r>
      <w:r>
        <w:tab/>
      </w:r>
      <w:r>
        <w:t>11</w:t>
      </w:r>
    </w:p>
    <w:p>
      <w:pPr>
        <w:pStyle w:val="TOC1"/>
      </w:pPr>
      <w:r>
        <w:t>Implementation Roadmap</w:t>
      </w:r>
      <w:r>
        <w:tab/>
      </w:r>
      <w:r>
        <w:t>12</w:t>
      </w:r>
    </w:p>
    <w:p>
      <w:r>
        <w:fldChar w:fldCharType="end"/>
      </w:r>
    </w:p>
    <w:p>
      <w:pPr>
        <w:sectPr>
          <w:type w:val="nextPage"/>
          <w:pgSz w:w="11906" w:h="16838"/>
          <w:pgMar w:top="1800" w:right="1440" w:bottom="1440" w:left="1440" w:header="720" w:footer="720"/>
        </w:sectPr>
      </w:pPr>
    </w:p>
    <w:p>
      <w:pPr>
        <w:pStyle w:val="Heading1"/>
      </w:pPr>
      <w:r>
        <w:t>Executive Summary</w:t>
      </w:r>
      <w:bookmarkStart w:name="_Toc001" w:id="2"/>
      <w:bookmarkEnd w:id="2"/>
    </w:p>
    <w:p>
      <w:r>
        <w:t>MEOK DATA represents a strategic evolution for MEOK AI Labs: transforming our existing ecosystem of 255+ MCP servers into a proprietary data moat that generates recurring revenue through tiered data access and B2B licensing.</w:t>
      </w:r>
    </w:p>
    <w:p>
      <w:r>
        <w:t>Our MCP ecosystem currently processes millions of compliance, healthcare, and financial data requests monthly across governance (EU AI Act, GDPR, HIPAA), healthcare FHIR, and financial services domains. Each interaction enriches our aggregated datasets, creating a compounding competitive advantage that deepens with every new user and product.</w:t>
      </w:r>
    </w:p>
    <w:p>
      <w:r>
        <w:t>The MEOK DATA platform introduces three revenue tiers: a Free tier offering foundational open datasets to drive adoption; a Pro tier (GBP 79/month) providing rich API access to real-time proprietary data; and an Enterprise tier (GBP 1,499+/month) delivering custom data licensing, SLA guarantees, and dedicated support.</w:t>
      </w:r>
    </w:p>
    <w:p>
      <w:r>
        <w:t>By 2028, we project MEOK DATA will contribute 40% of total MEOK AI Labs revenue, driven by a flywheel effect: more ecosystem users generate more proprietary data, which attracts more paying subscribers, which funds further ecosystem expansion.</w:t>
      </w:r>
    </w:p>
    <w:p>
      <w:pPr>
        <w:pStyle w:val="Heading1"/>
      </w:pPr>
      <w:r>
        <w:t>The Data Moat Opportunity</w:t>
      </w:r>
      <w:bookmarkStart w:name="_Toc002" w:id="3"/>
      <w:bookmarkEnd w:id="3"/>
    </w:p>
    <w:p>
      <w:r>
        <w:t>In the AI infrastructure market, data is the ultimate moat. While competitors focus on model performance or compute efficiency, MEOK AI Labs has silently accumulated one of the richest structured datasets in the compliance-AI intersection through organic ecosystem usage.</w:t>
      </w:r>
    </w:p>
    <w:p>
      <w:r>
        <w:t>Our data moat rests on four pillars:</w:t>
      </w:r>
    </w:p>
    <w:p>
      <w:pPr>
        <w:numPr>
          <w:ilvl w:val="0"/>
          <w:numId w:val="1"/>
        </w:numPr>
      </w:pPr>
      <w:r>
        <w:rPr>
          <w:b/>
          <w:color w:val="007888"/>
        </w:rPr>
        <w:t>First-Mover Network Effects: </w:t>
      </w:r>
      <w:r>
        <w:t>255+ MCP servers create the largest compliance-AI tool network. Each new MCP increases data coverage and cross-referencing depth.</w:t>
      </w:r>
    </w:p>
    <w:p>
      <w:pPr>
        <w:numPr>
          <w:ilvl w:val="0"/>
          <w:numId w:val="1"/>
        </w:numPr>
      </w:pPr>
      <w:r>
        <w:rPr>
          <w:b/>
          <w:color w:val="007888"/>
        </w:rPr>
        <w:t>Attestation Integrity: </w:t>
      </w:r>
      <w:r>
        <w:t>Every Pro-tier tool issues HMAC-SHA256 signed attestations, creating a cryptographically verifiable audit trail that no competitor can replicate without equivalent infrastructure.</w:t>
      </w:r>
    </w:p>
    <w:p>
      <w:pPr>
        <w:numPr>
          <w:ilvl w:val="0"/>
          <w:numId w:val="1"/>
        </w:numPr>
      </w:pPr>
      <w:r>
        <w:rPr>
          <w:b/>
          <w:color w:val="007888"/>
        </w:rPr>
        <w:t>Cross-Domain Correlation: </w:t>
      </w:r>
      <w:r>
        <w:t>Our unique position spanning healthcare FHIR, financial services, and governance compliance enables cross-domain intelligence that single-vertical providers cannot match.</w:t>
      </w:r>
    </w:p>
    <w:p>
      <w:pPr>
        <w:numPr>
          <w:ilvl w:val="0"/>
          <w:numId w:val="1"/>
        </w:numPr>
      </w:pPr>
      <w:r>
        <w:rPr>
          <w:b/>
          <w:color w:val="007888"/>
        </w:rPr>
        <w:t>Regulatory Velocity: </w:t>
      </w:r>
      <w:r>
        <w:t>Operating across EU AI Act, DORA, NIS2, CRA, GDPR, HIPAA, and 13+ frameworks gives us real-time regulatory change detection that feeds directly into dataset freshness.</w:t>
      </w:r>
    </w:p>
    <w:p>
      <w:pPr>
        <w:pStyle w:val="Heading1"/>
      </w:pPr>
      <w:r>
        <w:t>Ecosystem Data Sources</w:t>
      </w:r>
      <w:bookmarkStart w:name="_Toc003" w:id="4"/>
      <w:bookmarkEnd w:id="4"/>
    </w:p>
    <w:p>
      <w:pPr>
        <w:pStyle w:val="Heading2"/>
      </w:pPr>
      <w:r>
        <w:t>Governance &amp; Compliance Intelligence</w:t>
      </w:r>
    </w:p>
    <w:p>
      <w:r>
        <w:t>The MEOK Governance Engine orchestrates 62 compliance tools across 13 AI governance frameworks. This generates structured data on: regulatory requirement mappings, crosswalk correlations between frameworks (e.g., EU AI Act to NIST AI RMF), compliance gap analyses, and audit trail patterns across jurisdictions.</w:t>
      </w:r>
    </w:p>
    <w:p>
      <w:r>
        <w:t>Data volume: ~2.3M compliance queries processed monthly, each producing structured output with framework-specific annotations.</w:t>
      </w:r>
    </w:p>
    <w:p>
      <w:pPr>
        <w:pStyle w:val="Heading2"/>
      </w:pPr>
      <w:r>
        <w:t>Healthcare FHIR Data Network</w:t>
      </w:r>
    </w:p>
    <w:p>
      <w:r>
        <w:t>Our Healthcare FHIR MCP server interfaces with Epic, Cerner, and NHS Spine systems, processing de-identified patient observations, conditions, medications, and care plans. Under HIPAA Safe Harbor, we apply all 18 identifier removals before any data enters the MEOK DATA pipeline.</w:t>
      </w:r>
    </w:p>
    <w:p>
      <w:r>
        <w:t>The healthcare dataset spans ICD-10 to SNOMED crosswalks, clinical timeline patterns, and care plan outcome signals across 50+ FHIR resource types.</w:t>
      </w:r>
    </w:p>
    <w:p>
      <w:pPr>
        <w:pStyle w:val="Heading2"/>
      </w:pPr>
      <w:r>
        <w:t>Financial Services Signals</w:t>
      </w:r>
    </w:p>
    <w:p>
      <w:r>
        <w:t>MEOK financial MCPs process regulatory reporting data across MiFID II, MiCA, Basel, and DORA frameworks. This produces structured datasets on: transaction pattern analysis, risk indicator correlations, regulatory reporting templates, and cross-jurisdictional compliance mappings.</w:t>
      </w:r>
    </w:p>
    <w:p>
      <w:pPr>
        <w:pStyle w:val="Heading1"/>
      </w:pPr>
      <w:r>
        <w:t>Tiered Access Model</w:t>
      </w:r>
      <w:bookmarkStart w:name="_Toc004" w:id="5"/>
      <w:bookmarkEnd w:id="5"/>
    </w:p>
    <w:p>
      <w:pPr>
        <w:pStyle w:val="Heading2"/>
      </w:pPr>
      <w:r>
        <w:t>Free Tier: Open Data Foundation</w:t>
      </w:r>
    </w:p>
    <w:p>
      <w:r>
        <w:t>The Free tier provides access to aggregated, anonymized datasets updated monthly. Users receive 100 API requests/day with rate-limited access to: governance framework summaries, de-identified healthcare statistics, financial compliance benchmarks, and public attestation verification. This tier drives ecosystem adoption and seeds the conversion funnel.</w:t>
      </w:r>
    </w:p>
    <w:p>
      <w:pPr>
        <w:pStyle w:val="Heading2"/>
      </w:pPr>
      <w:r>
        <w:t>Pro Tier: Rich API Access</w:t>
      </w:r>
    </w:p>
    <w:p>
      <w:r>
        <w:t>At GBP 79/month, Pro subscribers unlock: 10,000 requests/day, real-time data feeds, historical time-series data, cross-domain correlation queries, cryptographically signed data exports, and priority API performance. This tier targets SMEs, consultancies, and research institutions that need structured compliance data at scale.</w:t>
      </w:r>
    </w:p>
    <w:p>
      <w:pPr>
        <w:pStyle w:val="Heading2"/>
      </w:pPr>
      <w:r>
        <w:t>Enterprise Tier: Custom Licensing</w:t>
      </w:r>
    </w:p>
    <w:p>
      <w:r>
        <w:t>Enterprise clients (GBP 1,499+/month) receive: unlimited API access, custom dataset curation, dedicated data pipelines, SLA guarantees with 99.9% uptime, private deployment options, white-label licensing, quarterly data strategy consultations, and early access to new data products.</w:t>
      </w:r>
    </w:p>
    <w:tbl>
      <w:tblPr>
        <w:tblW w:w="5000" w:type="pct"/>
        <w:tblBorders>
          <w:top w:val="single" w:color="0f1923" w:sz="12"/>
          <w:left w:val="nil"/>
          <w:bottom w:val="single" w:color="0f1923" w:sz="12"/>
          <w:right w:val="nil"/>
          <w:insideH w:val="single" w:color="e2e8f0" w:sz="4"/>
        </w:tblBorders>
      </w:tblPr>
      <w:tblGrid>
        <w:gridCol w:w="2000"/>
        <w:gridCol w:w="2500"/>
        <w:gridCol w:w="2500"/>
        <w:gridCol w:w="2000"/>
      </w:tblGrid>
      <w:tr>
        <w:trPr>
          <w:tblHeader/>
        </w:trPr>
        <w:tc>
          <w:tcPr>
            <w:tcW w:w="2000" w:type="dxa"/>
            <w:shd w:val="clear" w:fill="f0f4f8"/>
          </w:tcPr>
          <w:p>
            <w:pPr>
              <w:spacing w:before="60" w:after="60"/>
              <w:jc w:val="center"/>
            </w:pPr>
            <w:r>
              <w:rPr>
                <w:b/>
                <w:color w:val="1a2a3a"/>
                <w:sz w:val="20"/>
              </w:rPr>
              <w:t>Tier</w:t>
            </w:r>
          </w:p>
        </w:tc>
        <w:tc>
          <w:tcPr>
            <w:tcW w:w="2500" w:type="dxa"/>
            <w:shd w:val="clear" w:fill="f0f4f8"/>
          </w:tcPr>
          <w:p>
            <w:pPr>
              <w:spacing w:before="60" w:after="60"/>
              <w:jc w:val="center"/>
            </w:pPr>
            <w:r>
              <w:rPr>
                <w:b/>
                <w:color w:val="1a2a3a"/>
                <w:sz w:val="20"/>
              </w:rPr>
              <w:t>Price</w:t>
            </w:r>
          </w:p>
        </w:tc>
        <w:tc>
          <w:tcPr>
            <w:tcW w:w="2500" w:type="dxa"/>
            <w:shd w:val="clear" w:fill="f0f4f8"/>
          </w:tcPr>
          <w:p>
            <w:pPr>
              <w:spacing w:before="60" w:after="60"/>
              <w:jc w:val="center"/>
            </w:pPr>
            <w:r>
              <w:rPr>
                <w:b/>
                <w:color w:val="1a2a3a"/>
                <w:sz w:val="20"/>
              </w:rPr>
              <w:t>Requests/Day</w:t>
            </w:r>
          </w:p>
        </w:tc>
        <w:tc>
          <w:tcPr>
            <w:tcW w:w="2000" w:type="dxa"/>
            <w:shd w:val="clear" w:fill="f0f4f8"/>
          </w:tcPr>
          <w:p>
            <w:pPr>
              <w:spacing w:before="60" w:after="60"/>
              <w:jc w:val="center"/>
            </w:pPr>
            <w:r>
              <w:rPr>
                <w:b/>
                <w:color w:val="1a2a3a"/>
                <w:sz w:val="20"/>
              </w:rPr>
              <w:t>Target</w:t>
            </w:r>
          </w:p>
        </w:tc>
      </w:tr>
      <w:tr>
        <w:tc>
          <w:tcPr>
            <w:tcW w:w="2000" w:type="dxa"/>
          </w:tcPr>
          <w:p>
            <w:pPr>
              <w:spacing w:before="60" w:after="60"/>
              <w:jc w:val="center"/>
            </w:pPr>
            <w:r>
              <w:rPr>
                <w:color w:val="4a5568"/>
                <w:sz w:val="20"/>
              </w:rPr>
              <w:t>Free</w:t>
            </w:r>
          </w:p>
        </w:tc>
        <w:tc>
          <w:tcPr>
            <w:tcW w:w="2500" w:type="dxa"/>
          </w:tcPr>
          <w:p>
            <w:pPr>
              <w:spacing w:before="60" w:after="60"/>
              <w:jc w:val="center"/>
            </w:pPr>
            <w:r>
              <w:rPr>
                <w:color w:val="4a5568"/>
                <w:sz w:val="20"/>
              </w:rPr>
              <w:t>GBP 0/mo</w:t>
            </w:r>
          </w:p>
        </w:tc>
        <w:tc>
          <w:tcPr>
            <w:tcW w:w="2500" w:type="dxa"/>
          </w:tcPr>
          <w:p>
            <w:pPr>
              <w:spacing w:before="60" w:after="60"/>
              <w:jc w:val="center"/>
            </w:pPr>
            <w:r>
              <w:rPr>
                <w:color w:val="4a5568"/>
                <w:sz w:val="20"/>
              </w:rPr>
              <w:t>100</w:t>
            </w:r>
          </w:p>
        </w:tc>
        <w:tc>
          <w:tcPr>
            <w:tcW w:w="2000" w:type="dxa"/>
          </w:tcPr>
          <w:p>
            <w:pPr>
              <w:spacing w:before="60" w:after="60"/>
              <w:jc w:val="center"/>
            </w:pPr>
            <w:r>
              <w:rPr>
                <w:color w:val="4a5568"/>
                <w:sz w:val="20"/>
              </w:rPr>
              <w:t>Developers, Researchers</w:t>
            </w:r>
          </w:p>
        </w:tc>
      </w:tr>
      <w:tr>
        <w:tc>
          <w:tcPr>
            <w:tcW w:w="2000" w:type="dxa"/>
          </w:tcPr>
          <w:p>
            <w:pPr>
              <w:spacing w:before="60" w:after="60"/>
              <w:jc w:val="center"/>
            </w:pPr>
            <w:r>
              <w:rPr>
                <w:color w:val="4a5568"/>
                <w:sz w:val="20"/>
              </w:rPr>
              <w:t>Pro</w:t>
            </w:r>
          </w:p>
        </w:tc>
        <w:tc>
          <w:tcPr>
            <w:tcW w:w="2500" w:type="dxa"/>
          </w:tcPr>
          <w:p>
            <w:pPr>
              <w:spacing w:before="60" w:after="60"/>
              <w:jc w:val="center"/>
            </w:pPr>
            <w:r>
              <w:rPr>
                <w:color w:val="4a5568"/>
                <w:sz w:val="20"/>
              </w:rPr>
              <w:t>GBP 79/mo</w:t>
            </w:r>
          </w:p>
        </w:tc>
        <w:tc>
          <w:tcPr>
            <w:tcW w:w="2500" w:type="dxa"/>
          </w:tcPr>
          <w:p>
            <w:pPr>
              <w:spacing w:before="60" w:after="60"/>
              <w:jc w:val="center"/>
            </w:pPr>
            <w:r>
              <w:rPr>
                <w:color w:val="4a5568"/>
                <w:sz w:val="20"/>
              </w:rPr>
              <w:t>10,000</w:t>
            </w:r>
          </w:p>
        </w:tc>
        <w:tc>
          <w:tcPr>
            <w:tcW w:w="2000" w:type="dxa"/>
          </w:tcPr>
          <w:p>
            <w:pPr>
              <w:spacing w:before="60" w:after="60"/>
              <w:jc w:val="center"/>
            </w:pPr>
            <w:r>
              <w:rPr>
                <w:color w:val="4a5568"/>
                <w:sz w:val="20"/>
              </w:rPr>
              <w:t>SMEs, Consultancies</w:t>
            </w:r>
          </w:p>
        </w:tc>
      </w:tr>
      <w:tr>
        <w:tc>
          <w:tcPr>
            <w:tcW w:w="2000" w:type="dxa"/>
          </w:tcPr>
          <w:p>
            <w:pPr>
              <w:spacing w:before="60" w:after="60"/>
              <w:jc w:val="center"/>
            </w:pPr>
            <w:r>
              <w:rPr>
                <w:color w:val="4a5568"/>
                <w:sz w:val="20"/>
              </w:rPr>
              <w:t>Enterprise</w:t>
            </w:r>
          </w:p>
        </w:tc>
        <w:tc>
          <w:tcPr>
            <w:tcW w:w="2500" w:type="dxa"/>
          </w:tcPr>
          <w:p>
            <w:pPr>
              <w:spacing w:before="60" w:after="60"/>
              <w:jc w:val="center"/>
            </w:pPr>
            <w:r>
              <w:rPr>
                <w:color w:val="4a5568"/>
                <w:sz w:val="20"/>
              </w:rPr>
              <w:t>GBP 1,499+/mo</w:t>
            </w:r>
          </w:p>
        </w:tc>
        <w:tc>
          <w:tcPr>
            <w:tcW w:w="2500" w:type="dxa"/>
          </w:tcPr>
          <w:p>
            <w:pPr>
              <w:spacing w:before="60" w:after="60"/>
              <w:jc w:val="center"/>
            </w:pPr>
            <w:r>
              <w:rPr>
                <w:color w:val="4a5568"/>
                <w:sz w:val="20"/>
              </w:rPr>
              <w:t>Unlimited</w:t>
            </w:r>
          </w:p>
        </w:tc>
        <w:tc>
          <w:tcPr>
            <w:tcW w:w="2000" w:type="dxa"/>
          </w:tcPr>
          <w:p>
            <w:pPr>
              <w:spacing w:before="60" w:after="60"/>
              <w:jc w:val="center"/>
            </w:pPr>
            <w:r>
              <w:rPr>
                <w:color w:val="4a5568"/>
                <w:sz w:val="20"/>
              </w:rPr>
              <w:t>Corporations, Institutions</w:t>
            </w:r>
          </w:p>
        </w:tc>
      </w:tr>
    </w:tbl>
    <w:p>
      <w:pPr>
        <w:pStyle w:val="Heading1"/>
      </w:pPr>
      <w:r>
        <w:t>Data Licensing Business Model</w:t>
      </w:r>
      <w:bookmarkStart w:name="_Toc005" w:id="6"/>
      <w:bookmarkEnd w:id="6"/>
    </w:p>
    <w:p>
      <w:r>
        <w:t>Beyond tiered subscriptions, MEOK DATA operates a B2B licensing division targeting three segments:</w:t>
      </w:r>
    </w:p>
    <w:p>
      <w:pPr>
        <w:numPr>
          <w:ilvl w:val="0"/>
          <w:numId w:val="1"/>
        </w:numPr>
      </w:pPr>
      <w:r>
        <w:rPr>
          <w:b/>
          <w:color w:val="007888"/>
        </w:rPr>
        <w:t>Regulatory Technology Providers: </w:t>
      </w:r>
      <w:r>
        <w:t>License our compliance mapping datasets to power competitor regtech platforms, creating revenue from the same market we operate in.</w:t>
      </w:r>
    </w:p>
    <w:p>
      <w:pPr>
        <w:numPr>
          <w:ilvl w:val="0"/>
          <w:numId w:val="1"/>
        </w:numPr>
      </w:pPr>
      <w:r>
        <w:rPr>
          <w:b/>
          <w:color w:val="007888"/>
        </w:rPr>
        <w:t>Consulting &amp; Advisory Firms: </w:t>
      </w:r>
      <w:r>
        <w:t>Provide structured healthcare governance data to Big 4 consultancies and specialist compliance advisors for client engagements.</w:t>
      </w:r>
    </w:p>
    <w:p>
      <w:pPr>
        <w:numPr>
          <w:ilvl w:val="0"/>
          <w:numId w:val="1"/>
        </w:numPr>
      </w:pPr>
      <w:r>
        <w:rPr>
          <w:b/>
          <w:color w:val="007888"/>
        </w:rPr>
        <w:t>Research Institutions: </w:t>
      </w:r>
      <w:r>
        <w:t>Offer academic licensing for anonymized cross-domain datasets to universities studying AI governance, healthcare informatics, and financial regulation.</w:t>
      </w:r>
    </w:p>
    <w:p>
      <w:r>
        <w:t>Licensing agreements follow a revenue-share model (15-25% of licensee product revenue) or flat annual fees for guaranteed data volume. All licensing maintains strict anonymization and jurisdictional compliance boundaries.</w:t>
      </w:r>
    </w:p>
    <w:p>
      <w:pPr>
        <w:pStyle w:val="Heading1"/>
      </w:pPr>
      <w:r>
        <w:t>Competitive Advantage</w:t>
      </w:r>
      <w:bookmarkStart w:name="_Toc006" w:id="7"/>
      <w:bookmarkEnd w:id="7"/>
    </w:p>
    <w:p>
      <w:r>
        <w:t>MEOK DATA's competitive position rests on structural advantages that are expensive and time-consuming to replicate:</w:t>
      </w:r>
    </w:p>
    <w:p>
      <w:pPr>
        <w:numPr>
          <w:ilvl w:val="0"/>
          <w:numId w:val="1"/>
        </w:numPr>
      </w:pPr>
      <w:r>
        <w:rPr>
          <w:b/>
          <w:color w:val="007888"/>
        </w:rPr>
        <w:t>Ecosystem Lock-In: </w:t>
      </w:r>
      <w:r>
        <w:t>Competitors would need to build 255+ MCP servers across 13 governance frameworks before reaching comparable data breadth. Estimated replication cost: GBP 2.5M+ and 18-24 months.</w:t>
      </w:r>
    </w:p>
    <w:p>
      <w:pPr>
        <w:numPr>
          <w:ilvl w:val="0"/>
          <w:numId w:val="1"/>
        </w:numPr>
      </w:pPr>
      <w:r>
        <w:rPr>
          <w:b/>
          <w:color w:val="007888"/>
        </w:rPr>
        <w:t>Cryptographic Trust Layer: </w:t>
      </w:r>
      <w:r>
        <w:t>Our HMAC-SHA256 attestation system creates verifiable data provenance that institutional buyers require. No competitor has equivalent signing infrastructure at scale.</w:t>
      </w:r>
    </w:p>
    <w:p>
      <w:pPr>
        <w:numPr>
          <w:ilvl w:val="0"/>
          <w:numId w:val="1"/>
        </w:numPr>
      </w:pPr>
      <w:r>
        <w:rPr>
          <w:b/>
          <w:color w:val="007888"/>
        </w:rPr>
        <w:t>Cross-Domain Uniqueness: </w:t>
      </w:r>
      <w:r>
        <w:t>Healthcare + Finance + Governance data correlation exists nowhere else in the market. This enables novel use cases: healthcare compliance cost prediction, financial regulatory health scoring, and cross-border AI risk assessment.</w:t>
      </w:r>
    </w:p>
    <w:p>
      <w:pPr>
        <w:numPr>
          <w:ilvl w:val="0"/>
          <w:numId w:val="1"/>
        </w:numPr>
      </w:pPr>
      <w:r>
        <w:rPr>
          <w:b/>
          <w:color w:val="007888"/>
        </w:rPr>
        <w:t>Community Distribution: </w:t>
      </w:r>
      <w:r>
        <w:t>Open-source MCP adoption creates organic distribution. Every GitHub star, PyPI download, and Apify run generates both user acquisition and data enrichment simultaneously.</w:t>
      </w:r>
    </w:p>
    <w:p>
      <w:pPr>
        <w:pStyle w:val="Heading1"/>
      </w:pPr>
      <w:r>
        <w:t>Go-to-Market Strategy</w:t>
      </w:r>
      <w:bookmarkStart w:name="_Toc007" w:id="8"/>
      <w:bookmarkEnd w:id="8"/>
    </w:p>
    <w:p>
      <w:r>
        <w:t>Phase 1 (Q3 2026): Launch MEOK DATA Free tier integrated into existing MCP product pages. Convert current 10K+ daily free-tier users into registered MEOK DATA accounts with upsell paths.</w:t>
      </w:r>
    </w:p>
    <w:p>
      <w:r>
        <w:t>Phase 2 (Q4 2026): Release Pro tier with API key management, documentation portal, and SDKs. Target existing MEOK Pro subscribers (GBP 79/mo governance pack) with bundled data pricing.</w:t>
      </w:r>
    </w:p>
    <w:p>
      <w:r>
        <w:t>Phase 3 (Q1 2027): Open Enterprise tier with dedicated sales function. Engage top 50 regtech companies and Big 4 consultancies via direct outreach and conference presence.</w:t>
      </w:r>
    </w:p>
    <w:p>
      <w:r>
        <w:t>Phase 4 (Q2 2027): Launch Data Licensing marketplace with self-service dataset discovery, sample downloads, and automated licensing agreements.</w:t>
      </w:r>
    </w:p>
    <w:p>
      <w:pPr>
        <w:pStyle w:val="Heading1"/>
      </w:pPr>
      <w:r>
        <w:t>Financial Projections</w:t>
      </w:r>
      <w:bookmarkStart w:name="_Toc008" w:id="9"/>
      <w:bookmarkEnd w:id="9"/>
    </w:p>
    <w:p>
      <w:r>
        <w:t>Based on current ecosystem usage patterns and conservative conversion assumptions:</w:t>
      </w:r>
    </w:p>
    <w:tbl>
      <w:tblPr>
        <w:tblW w:w="5000" w:type="pct"/>
        <w:tblBorders>
          <w:top w:val="single" w:color="0f1923" w:sz="12"/>
          <w:left w:val="nil"/>
          <w:bottom w:val="single" w:color="0f1923" w:sz="12"/>
          <w:right w:val="nil"/>
          <w:insideH w:val="single" w:color="e2e8f0" w:sz="4"/>
        </w:tblBorders>
      </w:tblPr>
      <w:tblGrid>
        <w:gridCol w:w="2500"/>
        <w:gridCol w:w="2500"/>
        <w:gridCol w:w="2500"/>
        <w:gridCol w:w="2500"/>
      </w:tblGrid>
      <w:tr>
        <w:trPr>
          <w:tblHeader/>
        </w:trPr>
        <w:tc>
          <w:tcPr>
            <w:tcW w:w="2500" w:type="dxa"/>
            <w:shd w:val="clear" w:fill="f0f4f8"/>
          </w:tcPr>
          <w:p>
            <w:pPr>
              <w:spacing w:before="60" w:after="60"/>
              <w:jc w:val="center"/>
            </w:pPr>
            <w:r>
              <w:rPr>
                <w:b/>
                <w:color w:val="1a2a3a"/>
                <w:sz w:val="20"/>
              </w:rPr>
              <w:t>Metric</w:t>
            </w:r>
          </w:p>
        </w:tc>
        <w:tc>
          <w:tcPr>
            <w:tcW w:w="2500" w:type="dxa"/>
            <w:shd w:val="clear" w:fill="f0f4f8"/>
          </w:tcPr>
          <w:p>
            <w:pPr>
              <w:spacing w:before="60" w:after="60"/>
              <w:jc w:val="center"/>
            </w:pPr>
            <w:r>
              <w:rPr>
                <w:b/>
                <w:color w:val="1a2a3a"/>
                <w:sz w:val="20"/>
              </w:rPr>
              <w:t>Year 1</w:t>
            </w:r>
          </w:p>
        </w:tc>
        <w:tc>
          <w:tcPr>
            <w:tcW w:w="2500" w:type="dxa"/>
            <w:shd w:val="clear" w:fill="f0f4f8"/>
          </w:tcPr>
          <w:p>
            <w:pPr>
              <w:spacing w:before="60" w:after="60"/>
              <w:jc w:val="center"/>
            </w:pPr>
            <w:r>
              <w:rPr>
                <w:b/>
                <w:color w:val="1a2a3a"/>
                <w:sz w:val="20"/>
              </w:rPr>
              <w:t>Year 2</w:t>
            </w:r>
          </w:p>
        </w:tc>
        <w:tc>
          <w:tcPr>
            <w:tcW w:w="2500" w:type="dxa"/>
            <w:shd w:val="clear" w:fill="f0f4f8"/>
          </w:tcPr>
          <w:p>
            <w:pPr>
              <w:spacing w:before="60" w:after="60"/>
              <w:jc w:val="center"/>
            </w:pPr>
            <w:r>
              <w:rPr>
                <w:b/>
                <w:color w:val="1a2a3a"/>
                <w:sz w:val="20"/>
              </w:rPr>
              <w:t>Year 3</w:t>
            </w:r>
          </w:p>
        </w:tc>
      </w:tr>
      <w:tr>
        <w:tc>
          <w:tcPr>
            <w:tcW w:w="2500" w:type="dxa"/>
          </w:tcPr>
          <w:p>
            <w:pPr>
              <w:spacing w:before="60" w:after="60"/>
              <w:jc w:val="center"/>
            </w:pPr>
            <w:r>
              <w:rPr>
                <w:color w:val="4a5568"/>
                <w:sz w:val="20"/>
              </w:rPr>
              <w:t>Pro Subscribers</w:t>
            </w:r>
          </w:p>
        </w:tc>
        <w:tc>
          <w:tcPr>
            <w:tcW w:w="2500" w:type="dxa"/>
          </w:tcPr>
          <w:p>
            <w:pPr>
              <w:spacing w:before="60" w:after="60"/>
              <w:jc w:val="center"/>
            </w:pPr>
            <w:r>
              <w:rPr>
                <w:color w:val="4a5568"/>
                <w:sz w:val="20"/>
              </w:rPr>
              <w:t>200</w:t>
            </w:r>
          </w:p>
        </w:tc>
        <w:tc>
          <w:tcPr>
            <w:tcW w:w="2500" w:type="dxa"/>
          </w:tcPr>
          <w:p>
            <w:pPr>
              <w:spacing w:before="60" w:after="60"/>
              <w:jc w:val="center"/>
            </w:pPr>
            <w:r>
              <w:rPr>
                <w:color w:val="4a5568"/>
                <w:sz w:val="20"/>
              </w:rPr>
              <w:t>800</w:t>
            </w:r>
          </w:p>
        </w:tc>
        <w:tc>
          <w:tcPr>
            <w:tcW w:w="2500" w:type="dxa"/>
          </w:tcPr>
          <w:p>
            <w:pPr>
              <w:spacing w:before="60" w:after="60"/>
              <w:jc w:val="center"/>
            </w:pPr>
            <w:r>
              <w:rPr>
                <w:color w:val="4a5568"/>
                <w:sz w:val="20"/>
              </w:rPr>
              <w:t>2,500</w:t>
            </w:r>
          </w:p>
        </w:tc>
      </w:tr>
      <w:tr>
        <w:tc>
          <w:tcPr>
            <w:tcW w:w="2500" w:type="dxa"/>
          </w:tcPr>
          <w:p>
            <w:pPr>
              <w:spacing w:before="60" w:after="60"/>
              <w:jc w:val="center"/>
            </w:pPr>
            <w:r>
              <w:rPr>
                <w:color w:val="4a5568"/>
                <w:sz w:val="20"/>
              </w:rPr>
              <w:t>Enterprise Clients</w:t>
            </w:r>
          </w:p>
        </w:tc>
        <w:tc>
          <w:tcPr>
            <w:tcW w:w="2500" w:type="dxa"/>
          </w:tcPr>
          <w:p>
            <w:pPr>
              <w:spacing w:before="60" w:after="60"/>
              <w:jc w:val="center"/>
            </w:pPr>
            <w:r>
              <w:rPr>
                <w:color w:val="4a5568"/>
                <w:sz w:val="20"/>
              </w:rPr>
              <w:t>5</w:t>
            </w:r>
          </w:p>
        </w:tc>
        <w:tc>
          <w:tcPr>
            <w:tcW w:w="2500" w:type="dxa"/>
          </w:tcPr>
          <w:p>
            <w:pPr>
              <w:spacing w:before="60" w:after="60"/>
              <w:jc w:val="center"/>
            </w:pPr>
            <w:r>
              <w:rPr>
                <w:color w:val="4a5568"/>
                <w:sz w:val="20"/>
              </w:rPr>
              <w:t>25</w:t>
            </w:r>
          </w:p>
        </w:tc>
        <w:tc>
          <w:tcPr>
            <w:tcW w:w="2500" w:type="dxa"/>
          </w:tcPr>
          <w:p>
            <w:pPr>
              <w:spacing w:before="60" w:after="60"/>
              <w:jc w:val="center"/>
            </w:pPr>
            <w:r>
              <w:rPr>
                <w:color w:val="4a5568"/>
                <w:sz w:val="20"/>
              </w:rPr>
              <w:t>80</w:t>
            </w:r>
          </w:p>
        </w:tc>
      </w:tr>
      <w:tr>
        <w:tc>
          <w:tcPr>
            <w:tcW w:w="2500" w:type="dxa"/>
          </w:tcPr>
          <w:p>
            <w:pPr>
              <w:spacing w:before="60" w:after="60"/>
              <w:jc w:val="center"/>
            </w:pPr>
            <w:r>
              <w:rPr>
                <w:color w:val="4a5568"/>
                <w:sz w:val="20"/>
              </w:rPr>
              <w:t>B2B Licenses</w:t>
            </w:r>
          </w:p>
        </w:tc>
        <w:tc>
          <w:tcPr>
            <w:tcW w:w="2500" w:type="dxa"/>
          </w:tcPr>
          <w:p>
            <w:pPr>
              <w:spacing w:before="60" w:after="60"/>
              <w:jc w:val="center"/>
            </w:pPr>
            <w:r>
              <w:rPr>
                <w:color w:val="4a5568"/>
                <w:sz w:val="20"/>
              </w:rPr>
              <w:t>3</w:t>
            </w:r>
          </w:p>
        </w:tc>
        <w:tc>
          <w:tcPr>
            <w:tcW w:w="2500" w:type="dxa"/>
          </w:tcPr>
          <w:p>
            <w:pPr>
              <w:spacing w:before="60" w:after="60"/>
              <w:jc w:val="center"/>
            </w:pPr>
            <w:r>
              <w:rPr>
                <w:color w:val="4a5568"/>
                <w:sz w:val="20"/>
              </w:rPr>
              <w:t>15</w:t>
            </w:r>
          </w:p>
        </w:tc>
        <w:tc>
          <w:tcPr>
            <w:tcW w:w="2500" w:type="dxa"/>
          </w:tcPr>
          <w:p>
            <w:pPr>
              <w:spacing w:before="60" w:after="60"/>
              <w:jc w:val="center"/>
            </w:pPr>
            <w:r>
              <w:rPr>
                <w:color w:val="4a5568"/>
                <w:sz w:val="20"/>
              </w:rPr>
              <w:t>50</w:t>
            </w:r>
          </w:p>
        </w:tc>
      </w:tr>
      <w:tr>
        <w:tc>
          <w:tcPr>
            <w:tcW w:w="2500" w:type="dxa"/>
          </w:tcPr>
          <w:p>
            <w:pPr>
              <w:spacing w:before="60" w:after="60"/>
              <w:jc w:val="center"/>
            </w:pPr>
            <w:r>
              <w:rPr>
                <w:color w:val="4a5568"/>
                <w:sz w:val="20"/>
              </w:rPr>
              <w:t>Annual Revenue</w:t>
            </w:r>
          </w:p>
        </w:tc>
        <w:tc>
          <w:tcPr>
            <w:tcW w:w="2500" w:type="dxa"/>
          </w:tcPr>
          <w:p>
            <w:pPr>
              <w:spacing w:before="60" w:after="60"/>
              <w:jc w:val="center"/>
            </w:pPr>
            <w:r>
              <w:rPr>
                <w:color w:val="4a5568"/>
                <w:sz w:val="20"/>
              </w:rPr>
              <w:t>GBP 380K</w:t>
            </w:r>
          </w:p>
        </w:tc>
        <w:tc>
          <w:tcPr>
            <w:tcW w:w="2500" w:type="dxa"/>
          </w:tcPr>
          <w:p>
            <w:pPr>
              <w:spacing w:before="60" w:after="60"/>
              <w:jc w:val="center"/>
            </w:pPr>
            <w:r>
              <w:rPr>
                <w:color w:val="4a5568"/>
                <w:sz w:val="20"/>
              </w:rPr>
              <w:t>GBP 2.1M</w:t>
            </w:r>
          </w:p>
        </w:tc>
        <w:tc>
          <w:tcPr>
            <w:tcW w:w="2500" w:type="dxa"/>
          </w:tcPr>
          <w:p>
            <w:pPr>
              <w:spacing w:before="60" w:after="60"/>
              <w:jc w:val="center"/>
            </w:pPr>
            <w:r>
              <w:rPr>
                <w:color w:val="4a5568"/>
                <w:sz w:val="20"/>
              </w:rPr>
              <w:t>GBP 6.8M</w:t>
            </w:r>
          </w:p>
        </w:tc>
      </w:tr>
    </w:tbl>
    <w:p>
      <w:r>
        <w:t>Assumptions: 2% Free-to-Pro conversion, 0.5% Pro-to-Enterprise conversion, 15 B2B licensing clients by Year 2. Breakeven expected Q4 2027.</w:t>
      </w:r>
    </w:p>
    <w:p>
      <w:pPr>
        <w:pStyle w:val="Heading1"/>
      </w:pPr>
      <w:r>
        <w:t>Implementation Roadmap</w:t>
      </w:r>
      <w:bookmarkStart w:name="_Toc009" w:id="10"/>
      <w:bookmarkEnd w:id="10"/>
    </w:p>
    <w:p>
      <w:r>
        <w:t>Q3 2026: Infrastructure — Build data aggregation pipeline, anonymization engine, and API gateway. Launch Free tier with 3 core datasets.</w:t>
      </w:r>
    </w:p>
    <w:p>
      <w:r>
        <w:t>Q4 2026: Platform — Release developer portal, SDKs (Python, TypeScript), and Pro tier billing integration. Expand to 10 datasets.</w:t>
      </w:r>
    </w:p>
    <w:p>
      <w:r>
        <w:t>Q1 2027: Enterprise — Implement custom data pipelines, SLA monitoring, and white-label capabilities. Hire enterprise sales lead.</w:t>
      </w:r>
    </w:p>
    <w:p>
      <w:r>
        <w:t>Q2 2027: Licensing — Launch self-service licensing marketplace. Establish academic partnership program with 5 universities.</w:t>
      </w:r>
    </w:p>
    <w:p>
      <w:r>
        <w:t>Q3 2027: Scale — Achieve 50+ datasets, 500 Pro subscribers, 25 Enterprise clients. Expand data licensing to APAC region.</w:t>
      </w:r>
    </w:p>
    <w:p>
      <w:pPr>
        <w:sectPr>
          <w:headerReference w:type="default" r:id="Ree22e6adaacc43a3"/>
          <w:footerReference w:type="default" r:id="Rc059534548554f83"/>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6a8c87f581f944ca"/>
                    <a:stretch>
                      <a:fillRect/>
                    </a:stretch>
                  </pic:blipFill>
                  <pic:spPr>
                    <a:xfrm>
                      <a:off x="0" y="0"/>
                      <a:ext cx="7560000" cy="10692000"/>
                    </a:xfrm>
                    <a:prstGeom prst="rect"/>
                  </pic:spPr>
                </pic:pic>
              </a:graphicData>
            </a:graphic>
          </wp:anchor>
        </w:drawing>
      </w:r>
    </w:p>
    <w:p>
      <w:pPr>
        <w:spacing w:before="6500"/>
        <w:jc w:val="center"/>
      </w:pPr>
      <w:r>
        <w:rPr>
          <w:b/>
          <w:color w:val="00bca8"/>
          <w:sz w:val="56"/>
        </w:rPr>
        <w:t>MEOK DATA</w:t>
      </w:r>
    </w:p>
    <w:p>
      <w:pPr>
        <w:spacing w:before="300"/>
        <w:jc w:val="center"/>
      </w:pPr>
      <w:r>
        <w:rPr>
          <w:color w:val="8899aa"/>
          <w:sz w:val="22"/>
        </w:rPr>
        <w:t>The Data Layer for Sovereign AI</w:t>
      </w:r>
    </w:p>
    <w:p>
      <w:pPr>
        <w:spacing w:before="600"/>
        <w:jc w:val="center"/>
      </w:pPr>
      <w:r>
        <w:rPr>
          <w:color w:val="667788"/>
          <w:sz w:val="18"/>
        </w:rPr>
        <w:t>meok.ai  |  nicholas@meok.ai  |  London, UK</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595aab47a29b4eaf"/>
                  <a:stretch>
                    <a:fillRect/>
                  </a:stretch>
                </pic:blipFill>
                <pic:spPr>
                  <a:xfrm>
                    <a:off x="0" y="0"/>
                    <a:ext cx="7560000" cy="10692000"/>
                  </a:xfrm>
                  <a:prstGeom prst="rect"/>
                </pic:spPr>
              </pic:pic>
            </a:graphicData>
          </a:graphic>
        </wp:anchor>
      </w:drawing>
    </w:r>
  </w:p>
  <w:p>
    <w:pPr>
      <w:jc w:val="right"/>
    </w:pPr>
    <w:r>
      <w:rPr>
        <w:color w:val="718096"/>
        <w:sz w:val="18"/>
      </w:rPr>
      <w:t>MEOK DATA | Strategic Business Plan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a3a"/>
      <w:sz w:val="22"/>
    </w:rPr>
  </w:style>
  <w:style w:type="paragraph" w:styleId="Heading1">
    <w:name w:val="heading 1"/>
    <w:basedOn w:val="Normal"/>
    <w:pPr>
      <w:keepNext/>
      <w:keepLines/>
      <w:spacing w:before="600" w:after="240"/>
      <w:outlineLvl w:val="0"/>
    </w:pPr>
    <w:rPr>
      <w:rFonts w:ascii="Calibri" w:hAnsi="Calibri" w:eastAsia="Microsoft YaHei"/>
      <w:b/>
      <w:color w:val="0f1923"/>
      <w:sz w:val="40"/>
    </w:rPr>
  </w:style>
  <w:style w:type="paragraph" w:styleId="Heading2">
    <w:name w:val="heading 2"/>
    <w:basedOn w:val="Normal"/>
    <w:pPr>
      <w:keepNext/>
      <w:keepLines/>
      <w:spacing w:before="400" w:after="160"/>
      <w:outlineLvl w:val="1"/>
    </w:pPr>
    <w:rPr>
      <w:rFonts w:ascii="Calibri" w:hAnsi="Calibri" w:eastAsia="Microsoft YaHei"/>
      <w:b/>
      <w:color w:val="007888"/>
      <w:sz w:val="30"/>
    </w:rPr>
  </w:style>
  <w:style w:type="paragraph" w:styleId="Heading3">
    <w:name w:val="heading 3"/>
    <w:basedOn w:val="Normal"/>
    <w:pPr>
      <w:keepNext/>
      <w:keepLines/>
      <w:spacing w:before="280" w:after="120"/>
      <w:outlineLvl w:val="2"/>
    </w:pPr>
    <w:rPr>
      <w:rFonts w:ascii="Calibri" w:hAnsi="Calibri" w:eastAsia="Microsoft YaHei"/>
      <w:b/>
      <w:color w:val="4a5568"/>
      <w:sz w:val="26"/>
    </w:rPr>
  </w:style>
  <w:style w:type="paragraph" w:styleId="Caption">
    <w:name w:val="Caption"/>
    <w:basedOn w:val="Normal"/>
    <w:pPr>
      <w:spacing w:before="60" w:after="320"/>
      <w:jc w:val="center"/>
    </w:pPr>
    <w:rPr>
      <w:color w:val="718096"/>
      <w:sz w:val="20"/>
    </w:rPr>
  </w:style>
  <w:style w:type="paragraph" w:styleId="TOC1">
    <w:name w:val="toc 1"/>
    <w:basedOn w:val="Normal"/>
    <w:pPr>
      <w:tabs>
        <w:tab w:val="right" w:leader="dot" w:pos="9350"/>
      </w:tabs>
      <w:spacing w:before="200" w:after="60"/>
      <w:ind w:left="0"/>
    </w:pPr>
    <w:rPr>
      <w:b/>
      <w:color w:val="1a2a3a"/>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60" w:after="6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e1a6978419054197" /><Relationship Type="http://schemas.openxmlformats.org/officeDocument/2006/relationships/numbering" Target="numbering.xml" Id="R6d43c3722d174fcc" /><Relationship Type="http://schemas.openxmlformats.org/officeDocument/2006/relationships/image" Target="media/image.png" Id="R5ce79085c4c447a9" /><Relationship Type="http://schemas.openxmlformats.org/officeDocument/2006/relationships/image" Target="media/image2.png" Id="R6a8c87f581f944ca" /><Relationship Type="http://schemas.openxmlformats.org/officeDocument/2006/relationships/header" Target="header1.xml" Id="Ree22e6adaacc43a3" /><Relationship Type="http://schemas.openxmlformats.org/officeDocument/2006/relationships/footer" Target="footer1.xml" Id="Rc059534548554f83" /><Relationship Type="http://schemas.openxmlformats.org/officeDocument/2006/relationships/settings" Target="settings.xml" Id="R02b2cdbdf95a4845" /></Relationships>
</file>

<file path=word/_rels/header1.xml.rels><?xml version='1.0' encoding='UTF-8'?>
<Relationships xmlns="http://schemas.openxmlformats.org/package/2006/relationships"><Relationship Type="http://schemas.openxmlformats.org/officeDocument/2006/relationships/image" Target="media/image3.png" Id="R595aab47a29b4eaf" /></Relationships>
</file>