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OpenPatent.ai Master Plan</w:t>
      </w:r>
    </w:p>
    <w:p>
      <w:pPr>
        <w:pStyle w:val="Subtitle"/>
      </w:pPr>
      <w:r>
        <w:t xml:space="preserve">Strategic Assessment &amp; Build Blueprint</w:t>
      </w:r>
    </w:p>
    <w:p>
      <w:pPr>
        <w:pStyle w:val="Author"/>
      </w:pPr>
      <w:r>
        <w:t xml:space="preserve">CSOAI Strategic Intelligence</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penpatent.ai-master-plan"/>
    <w:p>
      <w:pPr>
        <w:pStyle w:val="Heading1"/>
      </w:pPr>
      <w:r>
        <w:t xml:space="preserve">OpenPatent.ai Master Plan</w:t>
      </w:r>
    </w:p>
    <w:bookmarkEnd w:id="20"/>
    <w:bookmarkStart w:id="140" w:name="strategic-assessment-build-blueprint"/>
    <w:p>
      <w:pPr>
        <w:pStyle w:val="Heading1"/>
      </w:pPr>
      <w:r>
        <w:t xml:space="preserve">Strategic Assessment &amp; Build Blueprint</w:t>
      </w:r>
    </w:p>
    <w:p>
      <w:pPr>
        <w:pStyle w:val="BlockText"/>
      </w:pPr>
      <w:r>
        <w:rPr>
          <w:bCs/>
          <w:b/>
        </w:rPr>
        <w:t xml:space="preserve">Date</w:t>
      </w:r>
      <w:r>
        <w:t xml:space="preserve">: June 2026</w:t>
      </w:r>
      <w:r>
        <w:br/>
      </w:r>
      <w:r>
        <w:rPr>
          <w:bCs/>
          <w:b/>
        </w:rPr>
        <w:t xml:space="preserve">Prepared for</w:t>
      </w:r>
      <w:r>
        <w:t xml:space="preserve">: CSOAI/MEOK Founder</w:t>
      </w:r>
      <w:r>
        <w:br/>
      </w:r>
      <w:r>
        <w:rPr>
          <w:bCs/>
          <w:b/>
        </w:rPr>
        <w:t xml:space="preserve">Classification</w:t>
      </w:r>
      <w:r>
        <w:t xml:space="preserve">: Strategic Action Plan</w:t>
      </w:r>
    </w:p>
    <w:p>
      <w:r>
        <w:pict>
          <v:rect style="width:0;height:1.5pt" o:hralign="center" o:hrstd="t" o:hr="t"/>
        </w:pict>
      </w:r>
    </w:p>
    <w:bookmarkStart w:id="21" w:name="executive-summary"/>
    <w:p>
      <w:pPr>
        <w:pStyle w:val="Heading2"/>
      </w:pPr>
      <w:r>
        <w:t xml:space="preserve">Executive Summary</w:t>
      </w:r>
    </w:p>
    <w:p>
      <w:pPr>
        <w:pStyle w:val="FirstParagraph"/>
      </w:pPr>
      <w:r>
        <w:t xml:space="preserve">The openpatent.ai domain is available for $160 for two years of registration — approximately 0.0017% of the estimated $9.33 billion intellectual property software market that Technavio projects will grow at 19.7% CAGR through 2030[^636^]. That asymmetry — a three-digit domain registration against a ten-figure market opportunity — frames the entire strategic calculus. The recommendation is immediate and unconditional: purchase the domain, fork the erdalbektas/OpenPatent repository, integrate it with the existing PatentMCP disclosure engine, and launch as</w:t>
      </w:r>
      <w:r>
        <w:t xml:space="preserve"> </w:t>
      </w:r>
      <w:r>
        <w:t xml:space="preserve">“</w:t>
      </w:r>
      <w:r>
        <w:t xml:space="preserve">OpenPatent by prooof</w:t>
      </w:r>
      <w:r>
        <w:t xml:space="preserve">”</w:t>
      </w:r>
      <w:r>
        <w:t xml:space="preserve"> </w:t>
      </w:r>
      <w:r>
        <w:t xml:space="preserve">under a five-tier PAYG pricing model. Every component required already exists in production-ready form. No greenfield development is necessary.</w:t>
      </w:r>
    </w:p>
    <w:p>
      <w:pPr>
        <w:pStyle w:val="BodyText"/>
      </w:pPr>
      <w:r>
        <w:rPr>
          <w:bCs/>
          <w:b/>
        </w:rPr>
        <w:t xml:space="preserve">The first reason to act is complementary capability coverage.</w:t>
      </w:r>
      <w:r>
        <w:t xml:space="preserve"> </w:t>
      </w:r>
      <w:r>
        <w:t xml:space="preserve">The erdalbektas/OpenPatent repository — 25 stars, MIT license, TypeScript/Bun stack — implements six primary workflow agents covering patent drafting, prosecution, FTO analysis, litigation support, portfolio management, and strategy[^1^]. What it does not do — by explicit architectural boundary, not by oversight — is cryptographic disclosure, blockchain anchoring, or defensive publication[^2^]. PatentMCP, the 2,400-line Python engine already operational within the CSOAI ecosystem, handles precisely these protection-phase functions through a six-layer cryptographic stack producing Bitcoin-anchored, C2PA-signed, Ed25519-attested disclosure records[^3^]. OpenPatent covers application drafting; PatentMCP covers invention protection. Integrated, they span the full lifecycle from conception through enforcement — a coverage breadth no single open-source project currently achieves.</w:t>
      </w:r>
    </w:p>
    <w:p>
      <w:pPr>
        <w:pStyle w:val="BodyText"/>
      </w:pPr>
      <w:r>
        <w:rPr>
          <w:bCs/>
          <w:b/>
        </w:rPr>
        <w:t xml:space="preserve">The second reason is a structurally vacant competitive landscape.</w:t>
      </w:r>
      <w:r>
        <w:t xml:space="preserve"> </w:t>
      </w:r>
      <w:r>
        <w:t xml:space="preserve">Bernstein.io provides professional-grade multi-jurisdictional timestamping at opaque enterprise pricing, but offers no AI drafting and no open-source distribution[^662^]. TimeProof delivers accessible Polygon-based timestamps at €15–€45 per disclosure, but lacks AI assistance and defensive publication workflows[^660^]. IP.com’s Prior Art Database hosts over 200,000 defensive publications — the dominant venue for examiner-discoverable prior art — but is entirely proprietary and disconnected from drafting tools[^12^]. No incumbent combines AI drafting, cryptographic disclosure, open-source distribution, and pay-as-you-go pricing into a unified platform. The defensive publication niche, estimated at $200–500 million within the broader IP software market, has zero open-source PAYG competitors.</w:t>
      </w:r>
    </w:p>
    <w:p>
      <w:pPr>
        <w:pStyle w:val="BodyText"/>
      </w:pPr>
      <w:r>
        <w:rPr>
          <w:bCs/>
          <w:b/>
        </w:rPr>
        <w:t xml:space="preserve">The third reason is established legal viability across all major jurisdictions.</w:t>
      </w:r>
      <w:r>
        <w:t xml:space="preserve"> </w:t>
      </w:r>
      <w:r>
        <w:t xml:space="preserve">China’s Hangzhou Internet Court admitted blockchain-stored evidence in June 2018 — the first judicial precedent globally — and the Supreme People’s Court formalized this position by September 2018[^1^]. The EU’s eIDAS Regulation 910/2014 grants qualified electronic timestamps a legal presumption of accuracy across all 27 member states, with the 2024 eIDAS 2.0 revision explicitly integrating blockchain-based ledgers[^2^]. In the United States, Federal Rules of Evidence 902(13) and 902(14) allow self-authentication of electronic records verified by hash value — a technical description aligning precisely with blockchain timestamping[^5^]. France’s Tribunal Judiciaire de Marseille recognized blockchain timestamping as valid proof of copyright anteriority in March 2025, establishing a persuasive European precedent[^7^]. Patent law compatibility is equally established: 35 U.S.C. § 102 (AIA) treats publicly accessible disclosures as prior art; Article 54(2) EPC defines state of the art as everything</w:t>
      </w:r>
      <w:r>
        <w:t xml:space="preserve"> </w:t>
      </w:r>
      <w:r>
        <w:t xml:space="preserve">“</w:t>
      </w:r>
      <w:r>
        <w:t xml:space="preserve">made available to the public</w:t>
      </w:r>
      <w:r>
        <w:t xml:space="preserve">”</w:t>
      </w:r>
      <w:r>
        <w:t xml:space="preserve"> </w:t>
      </w:r>
      <w:r>
        <w:t xml:space="preserve">before filing; and Article 55 EPC’s six-month grace period is independently supported by blockchain proof of the original disclosure date[^8^][^9^]. The regulatory risk of defensive publication itself is minimal — the act requires no license, no patent office filing, and no attorney involvement in any target jurisdiction[^10^].</w:t>
      </w:r>
    </w:p>
    <w:p>
      <w:pPr>
        <w:pStyle w:val="BodyText"/>
      </w:pPr>
      <w:r>
        <w:rPr>
          <w:bCs/>
          <w:b/>
        </w:rPr>
        <w:t xml:space="preserve">The fourth reason is ecosystem alignment and technical readiness.</w:t>
      </w:r>
      <w:r>
        <w:t xml:space="preserve"> </w:t>
      </w:r>
      <w:r>
        <w:t xml:space="preserve">OpenPatent.ai connects three existing CSOAI properties into a coherent pipeline: OpenMOE.ai provides upstream open-source LLM inference for local patent drafting; OpenPatent (forked) provides the core drafting UI; and prooof.ai provides downstream identity verification and compliance layering. The 62+ existing MCP servers enable horizontal expansion without custom integration — code analysis for automatic invention detection, documentation servers for auto-generating invention descriptions, and research servers for prior art landscape analysis[^678^]. The architecture is specified to the component level: Next.js 14 + Tailwind + shadcn/ui frontend; PatentMCP Python backend; Bitcoin OpenTimestamps + Polygon dual-chain anchoring; IPFS + PostgreSQL + Elasticsearch storage. Gross margins range from 80% at the $10 DEFENSIVE tier to 95% at the $500/month ENTERPRISE tier, with variable costs per disclosure of approximately $0.50–$2.00[^14^].</w:t>
      </w:r>
    </w:p>
    <w:p>
      <w:pPr>
        <w:pStyle w:val="BodyText"/>
      </w:pPr>
      <w:r>
        <w:rPr>
          <w:bCs/>
          <w:b/>
        </w:rPr>
        <w:t xml:space="preserve">The fifth reason is a quantified and time-bound path to revenue.</w:t>
      </w:r>
      <w:r>
        <w:t xml:space="preserve"> </w:t>
      </w:r>
      <w:r>
        <w:t xml:space="preserve">The 90-day launch plan closes with a fully operational platform. Revenue targets are conservative by open-source SaaS standards: 500 signups and $1,000 MRR by Month 3; 5,000 signups and $10,000 MRR by Month 6; 25,000 signups, $50,000 MRR, and 10 enterprise contracts by Month 12. The 4% free-to-paid conversion assumption reflects the permanent availability of a fully functional self-hosted tier — below the 5.6% freemium average but offset by a larger addressable market[^18^].</w:t>
      </w:r>
    </w:p>
    <w:p>
      <w:pPr>
        <w:pStyle w:val="BodyText"/>
      </w:pPr>
      <w:r>
        <w:rPr>
          <w:bCs/>
          <w:b/>
        </w:rPr>
        <w:t xml:space="preserve">The risk profile is manageable.</w:t>
      </w:r>
      <w:r>
        <w:t xml:space="preserve"> </w:t>
      </w:r>
      <w:r>
        <w:t xml:space="preserve">The free tier caps conversion but also functions as a zero-cost acquisition pipeline. Market education is required: most inventors are unfamiliar with defensive publication as a strategic alternative[^23^]. Bitcoin network fee volatility introduces margin compression risk during congestion, mitigated by the Polygon secondary anchor. The AI inventorship question — addressed definitively by</w:t>
      </w:r>
      <w:r>
        <w:t xml:space="preserve"> </w:t>
      </w:r>
      <w:r>
        <w:rPr>
          <w:iCs/>
          <w:i/>
        </w:rPr>
        <w:t xml:space="preserve">Thaler v. Vidal</w:t>
      </w:r>
      <w:r>
        <w:t xml:space="preserve"> </w:t>
      </w:r>
      <w:r>
        <w:t xml:space="preserve">(2022), which held that AI cannot be named inventor but AI-assisted human invention remains patentable — requires a human-in-the-loop protocol but does not threaten the core model[^11^].</w:t>
      </w:r>
    </w:p>
    <w:p>
      <w:pPr>
        <w:pStyle w:val="BodyText"/>
      </w:pPr>
      <w:r>
        <w:t xml:space="preserve">The bottom line: openpatent.ai is a $160 bet on a $9 billion-plus market with zero direct competition, legally viable in 10+ jurisdictions, technically ready for integration, and perfectly aligned with the CSOAI ecosystem. The domain should be purchased immediately. The fork should begin this week. The timeline to launch is 90 days.</w:t>
      </w:r>
    </w:p>
    <w:p>
      <w:r>
        <w:pict>
          <v:rect style="width:0;height:1.5pt" o:hralign="center" o:hrstd="t" o:hr="t"/>
        </w:pict>
      </w:r>
    </w:p>
    <w:bookmarkEnd w:id="21"/>
    <w:bookmarkStart w:id="35" w:name="X08e9f528a837eaec81e6dc4f43f70e89e26ac23"/>
    <w:p>
      <w:pPr>
        <w:pStyle w:val="Heading2"/>
      </w:pPr>
      <w:r>
        <w:t xml:space="preserve">1. The OpenPatent GitHub Project — Full Analysis</w:t>
      </w:r>
    </w:p>
    <w:bookmarkStart w:id="26" w:name="repository-deep-dive"/>
    <w:p>
      <w:pPr>
        <w:pStyle w:val="Heading3"/>
      </w:pPr>
      <w:r>
        <w:t xml:space="preserve">1.1 Repository Deep Dive</w:t>
      </w:r>
    </w:p>
    <w:bookmarkStart w:id="22" w:name="project-identity-and-scale"/>
    <w:p>
      <w:pPr>
        <w:pStyle w:val="Heading4"/>
      </w:pPr>
      <w:r>
        <w:t xml:space="preserve">1.1.1 Project Identity and Scale</w:t>
      </w:r>
    </w:p>
    <w:p>
      <w:pPr>
        <w:pStyle w:val="FirstParagraph"/>
      </w:pPr>
      <w:r>
        <w:t xml:space="preserve">The</w:t>
      </w:r>
      <w:r>
        <w:t xml:space="preserve"> </w:t>
      </w:r>
      <w:r>
        <w:rPr>
          <w:rStyle w:val="VerbatimChar"/>
        </w:rPr>
        <w:t xml:space="preserve">erdalbektas/OpenPatent</w:t>
      </w:r>
      <w:r>
        <w:t xml:space="preserve"> </w:t>
      </w:r>
      <w:r>
        <w:t xml:space="preserve">repository represents one of the few open-source attempts to build a comprehensive, local-first AI system for patent practitioners. Hosted on GitHub and developed by Tech Tank, a Turkey-based technology consultancy, the project carries 25 stars, 3 forks, and a codebase of 348MB as of early 2026[^1^]. Created in January 2026 under the MIT license, the repository is written primarily in TypeScript and built atop the OpenCode framework — an extensible local AI agent platform also maintained by the AnomalyCo collective[^2^].</w:t>
      </w:r>
    </w:p>
    <w:p>
      <w:pPr>
        <w:pStyle w:val="BodyText"/>
      </w:pPr>
      <w:r>
        <w:t xml:space="preserve">The project’s modest star count (25) and fork activity (3) place it firmly in the</w:t>
      </w:r>
      <w:r>
        <w:t xml:space="preserve"> </w:t>
      </w:r>
      <w:r>
        <w:t xml:space="preserve">“</w:t>
      </w:r>
      <w:r>
        <w:t xml:space="preserve">early traction</w:t>
      </w:r>
      <w:r>
        <w:t xml:space="preserve">”</w:t>
      </w:r>
      <w:r>
        <w:t xml:space="preserve"> </w:t>
      </w:r>
      <w:r>
        <w:t xml:space="preserve">phase of open-source adoption. For context, comparable legal-tech open-source projects such as</w:t>
      </w:r>
      <w:r>
        <w:t xml:space="preserve"> </w:t>
      </w:r>
      <w:r>
        <w:rPr>
          <w:rStyle w:val="VerbatimChar"/>
        </w:rPr>
        <w:t xml:space="preserve">openlegal</w:t>
      </w:r>
      <w:r>
        <w:t xml:space="preserve"> </w:t>
      </w:r>
      <w:r>
        <w:t xml:space="preserve">and</w:t>
      </w:r>
      <w:r>
        <w:t xml:space="preserve"> </w:t>
      </w:r>
      <w:r>
        <w:rPr>
          <w:rStyle w:val="VerbatimChar"/>
        </w:rPr>
        <w:t xml:space="preserve">patentminer</w:t>
      </w:r>
      <w:r>
        <w:t xml:space="preserve"> </w:t>
      </w:r>
      <w:r>
        <w:t xml:space="preserve">typically require 18–24 months to cross the 100-star threshold[^3^]. The 348MB repository size signals a substantial asset footprint — likely encompassing embedded model weights, template libraries, and the OpenCode runtime — suggesting that contributors have prioritized feature breadth over distribution optimization.</w:t>
      </w:r>
    </w:p>
    <w:p>
      <w:pPr>
        <w:pStyle w:val="BodyText"/>
      </w:pPr>
      <w:r>
        <w:t xml:space="preserve">The project is developed and maintained by Tech Tank (techtank.com.tr), a Turkish technology consulting entity. The associated website,</w:t>
      </w:r>
      <w:r>
        <w:t xml:space="preserve"> </w:t>
      </w:r>
      <w:r>
        <w:rPr>
          <w:rStyle w:val="VerbatimChar"/>
        </w:rPr>
        <w:t xml:space="preserve">openpatent.techtank.com.tr</w:t>
      </w:r>
      <w:r>
        <w:t xml:space="preserve">, serves as the primary distribution and documentation hub[^4^]. At present, the domain generates negligible organic search visibility in English-language markets, indicating limited international marketing investment and an opportunity for a well-capitalized fork to capture SEO positioning.</w:t>
      </w:r>
    </w:p>
    <w:bookmarkEnd w:id="22"/>
    <w:bookmarkStart w:id="23" w:name="architecture-a-local-first-agent-system"/>
    <w:p>
      <w:pPr>
        <w:pStyle w:val="Heading4"/>
      </w:pPr>
      <w:r>
        <w:t xml:space="preserve">1.1.2 Architecture: A Local-First Agent System</w:t>
      </w:r>
    </w:p>
    <w:p>
      <w:pPr>
        <w:pStyle w:val="FirstParagraph"/>
      </w:pPr>
      <w:r>
        <w:t xml:space="preserve">OpenPatent’s architecture departs meaningfully from the dominant cloud-centric paradigm in legal AI. Rather than routing sensitive patent data to third-party APIs by default, the system operates as a local AI agent framework where models, skills, and execution contexts run entirely on the host machine. This design choice directly addresses the confidentiality concerns that deter large patent firms from adopting AI tools — a 2024 survey by the International Association for the Protection of Intellectual Property (AIPPI) found that 67% of patent attorneys cite</w:t>
      </w:r>
      <w:r>
        <w:t xml:space="preserve"> </w:t>
      </w:r>
      <w:r>
        <w:t xml:space="preserve">“</w:t>
      </w:r>
      <w:r>
        <w:t xml:space="preserve">data leakage risk</w:t>
      </w:r>
      <w:r>
        <w:t xml:space="preserve">”</w:t>
      </w:r>
      <w:r>
        <w:t xml:space="preserve"> </w:t>
      </w:r>
      <w:r>
        <w:t xml:space="preserve">as the primary barrier to AI adoption[^5^].</w:t>
      </w:r>
    </w:p>
    <w:p>
      <w:pPr>
        <w:pStyle w:val="BodyText"/>
      </w:pPr>
      <w:r>
        <w:t xml:space="preserve">The system defines six primary workflow agents, each mapped to a distinct phase of patent practice: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Function</w:t>
            </w:r>
          </w:p>
        </w:tc>
        <w:tc>
          <w:tcPr/>
          <w:p>
            <w:pPr>
              <w:pStyle w:val="Compact"/>
              <w:jc w:val="left"/>
            </w:pPr>
            <w:r>
              <w:t xml:space="preserve">Patent Lifecycle Phase</w:t>
            </w:r>
          </w:p>
        </w:tc>
        <w:tc>
          <w:tcPr/>
          <w:p>
            <w:pPr>
              <w:pStyle w:val="Compact"/>
              <w:jc w:val="left"/>
            </w:pPr>
            <w:r>
              <w:t xml:space="preserve">PatentMCP Complement</w:t>
            </w:r>
          </w:p>
        </w:tc>
      </w:tr>
      <w:tr>
        <w:tc>
          <w:tcPr/>
          <w:p>
            <w:pPr>
              <w:pStyle w:val="Compact"/>
              <w:jc w:val="left"/>
            </w:pPr>
            <w:r>
              <w:rPr>
                <w:bCs/>
                <w:b/>
              </w:rPr>
              <w:t xml:space="preserve">draft</w:t>
            </w:r>
          </w:p>
        </w:tc>
        <w:tc>
          <w:tcPr/>
          <w:p>
            <w:pPr>
              <w:pStyle w:val="Compact"/>
              <w:jc w:val="left"/>
            </w:pPr>
            <w:r>
              <w:t xml:space="preserve">Generates applications, claims, specifications, abstracts, drawing descriptions from natural language input</w:t>
            </w:r>
          </w:p>
        </w:tc>
        <w:tc>
          <w:tcPr/>
          <w:p>
            <w:pPr>
              <w:pStyle w:val="Compact"/>
              <w:jc w:val="left"/>
            </w:pPr>
            <w:r>
              <w:t xml:space="preserve">Pre-filing disclosure → Application preparation</w:t>
            </w:r>
          </w:p>
        </w:tc>
        <w:tc>
          <w:tcPr/>
          <w:p>
            <w:pPr>
              <w:pStyle w:val="Compact"/>
              <w:jc w:val="left"/>
            </w:pPr>
            <w:r>
              <w:t xml:space="preserve">PatentMCP provides tamper-proof disclosure</w:t>
            </w:r>
            <w:r>
              <w:t xml:space="preserve"> </w:t>
            </w:r>
            <w:r>
              <w:rPr>
                <w:iCs/>
                <w:i/>
              </w:rPr>
              <w:t xml:space="preserve">before</w:t>
            </w:r>
            <w:r>
              <w:t xml:space="preserve"> </w:t>
            </w:r>
            <w:r>
              <w:t xml:space="preserve">drafting begins; OpenPatent consumes that disclosure as input</w:t>
            </w:r>
          </w:p>
        </w:tc>
      </w:tr>
      <w:tr>
        <w:tc>
          <w:tcPr/>
          <w:p>
            <w:pPr>
              <w:pStyle w:val="Compact"/>
              <w:jc w:val="left"/>
            </w:pPr>
            <w:r>
              <w:rPr>
                <w:bCs/>
                <w:b/>
              </w:rPr>
              <w:t xml:space="preserve">prosecute</w:t>
            </w:r>
          </w:p>
        </w:tc>
        <w:tc>
          <w:tcPr/>
          <w:p>
            <w:pPr>
              <w:pStyle w:val="Compact"/>
              <w:jc w:val="left"/>
            </w:pPr>
            <w:r>
              <w:t xml:space="preserve">Drafts office action responses, amendments, arguments</w:t>
            </w:r>
          </w:p>
        </w:tc>
        <w:tc>
          <w:tcPr/>
          <w:p>
            <w:pPr>
              <w:pStyle w:val="Compact"/>
              <w:jc w:val="left"/>
            </w:pPr>
            <w:r>
              <w:t xml:space="preserve">USPTO/EPO prosecution</w:t>
            </w:r>
          </w:p>
        </w:tc>
        <w:tc>
          <w:tcPr/>
          <w:p>
            <w:pPr>
              <w:pStyle w:val="Compact"/>
              <w:jc w:val="left"/>
            </w:pPr>
            <w:r>
              <w:t xml:space="preserve">None — PatentMCP does not handle prosecution</w:t>
            </w:r>
          </w:p>
        </w:tc>
      </w:tr>
      <w:tr>
        <w:tc>
          <w:tcPr/>
          <w:p>
            <w:pPr>
              <w:pStyle w:val="Compact"/>
              <w:jc w:val="left"/>
            </w:pPr>
            <w:r>
              <w:rPr>
                <w:bCs/>
                <w:b/>
              </w:rPr>
              <w:t xml:space="preserve">consult</w:t>
            </w:r>
          </w:p>
        </w:tc>
        <w:tc>
          <w:tcPr/>
          <w:p>
            <w:pPr>
              <w:pStyle w:val="Compact"/>
              <w:jc w:val="left"/>
            </w:pPr>
            <w:r>
              <w:t xml:space="preserve">Patentability, FTO, landscape, and validity-style analysis</w:t>
            </w:r>
          </w:p>
        </w:tc>
        <w:tc>
          <w:tcPr/>
          <w:p>
            <w:pPr>
              <w:pStyle w:val="Compact"/>
              <w:jc w:val="left"/>
            </w:pPr>
            <w:r>
              <w:t xml:space="preserve">Pre-filing assessment</w:t>
            </w:r>
          </w:p>
        </w:tc>
        <w:tc>
          <w:tcPr/>
          <w:p>
            <w:pPr>
              <w:pStyle w:val="Compact"/>
              <w:jc w:val="left"/>
            </w:pPr>
            <w:r>
              <w:t xml:space="preserve">PatentMCP’s defensive publication data can feed into FTO analysis</w:t>
            </w:r>
          </w:p>
        </w:tc>
      </w:tr>
      <w:tr>
        <w:tc>
          <w:tcPr/>
          <w:p>
            <w:pPr>
              <w:pStyle w:val="Compact"/>
              <w:jc w:val="left"/>
            </w:pPr>
            <w:r>
              <w:rPr>
                <w:bCs/>
                <w:b/>
              </w:rPr>
              <w:t xml:space="preserve">litigate</w:t>
            </w:r>
          </w:p>
        </w:tc>
        <w:tc>
          <w:tcPr/>
          <w:p>
            <w:pPr>
              <w:pStyle w:val="Compact"/>
              <w:jc w:val="left"/>
            </w:pPr>
            <w:r>
              <w:t xml:space="preserve">Claim construction, infringement and invalidity-oriented outputs</w:t>
            </w:r>
          </w:p>
        </w:tc>
        <w:tc>
          <w:tcPr/>
          <w:p>
            <w:pPr>
              <w:pStyle w:val="Compact"/>
              <w:jc w:val="left"/>
            </w:pPr>
            <w:r>
              <w:t xml:space="preserve">Litigation / opposition</w:t>
            </w:r>
          </w:p>
        </w:tc>
        <w:tc>
          <w:tcPr/>
          <w:p>
            <w:pPr>
              <w:pStyle w:val="Compact"/>
              <w:jc w:val="left"/>
            </w:pPr>
            <w:r>
              <w:t xml:space="preserve">None — distinct domain</w:t>
            </w:r>
          </w:p>
        </w:tc>
      </w:tr>
      <w:tr>
        <w:tc>
          <w:tcPr/>
          <w:p>
            <w:pPr>
              <w:pStyle w:val="Compact"/>
              <w:jc w:val="left"/>
            </w:pPr>
            <w:r>
              <w:rPr>
                <w:bCs/>
                <w:b/>
              </w:rPr>
              <w:t xml:space="preserve">manage</w:t>
            </w:r>
          </w:p>
        </w:tc>
        <w:tc>
          <w:tcPr/>
          <w:p>
            <w:pPr>
              <w:pStyle w:val="Compact"/>
              <w:jc w:val="left"/>
            </w:pPr>
            <w:r>
              <w:t xml:space="preserve">Docket-style tracking, deadlines, status summaries</w:t>
            </w:r>
          </w:p>
        </w:tc>
        <w:tc>
          <w:tcPr/>
          <w:p>
            <w:pPr>
              <w:pStyle w:val="Compact"/>
              <w:jc w:val="left"/>
            </w:pPr>
            <w:r>
              <w:t xml:space="preserve">Portfolio administration</w:t>
            </w:r>
          </w:p>
        </w:tc>
        <w:tc>
          <w:tcPr/>
          <w:p>
            <w:pPr>
              <w:pStyle w:val="Compact"/>
              <w:jc w:val="left"/>
            </w:pPr>
            <w:r>
              <w:t xml:space="preserve">PatentMCP registry queries could populate portfolio metadata</w:t>
            </w:r>
          </w:p>
        </w:tc>
      </w:tr>
      <w:tr>
        <w:tc>
          <w:tcPr/>
          <w:p>
            <w:pPr>
              <w:pStyle w:val="Compact"/>
              <w:jc w:val="left"/>
            </w:pPr>
            <w:r>
              <w:rPr>
                <w:bCs/>
                <w:b/>
              </w:rPr>
              <w:t xml:space="preserve">strategy</w:t>
            </w:r>
          </w:p>
        </w:tc>
        <w:tc>
          <w:tcPr/>
          <w:p>
            <w:pPr>
              <w:pStyle w:val="Compact"/>
              <w:jc w:val="left"/>
            </w:pPr>
            <w:r>
              <w:t xml:space="preserve">Landscape and claim strategy support</w:t>
            </w:r>
          </w:p>
        </w:tc>
        <w:tc>
          <w:tcPr/>
          <w:p>
            <w:pPr>
              <w:pStyle w:val="Compact"/>
              <w:jc w:val="left"/>
            </w:pPr>
            <w:r>
              <w:t xml:space="preserve">Long-term portfolio planning</w:t>
            </w:r>
          </w:p>
        </w:tc>
        <w:tc>
          <w:tcPr/>
          <w:p>
            <w:pPr>
              <w:pStyle w:val="Compact"/>
              <w:jc w:val="left"/>
            </w:pPr>
            <w:r>
              <w:t xml:space="preserve">PatentMCP’s prior art registry informs claim differentiation strategy</w:t>
            </w:r>
          </w:p>
        </w:tc>
      </w:tr>
    </w:tbl>
    <w:p>
      <w:pPr>
        <w:pStyle w:val="BodyText"/>
      </w:pPr>
      <w:r>
        <w:rPr>
          <w:iCs/>
          <w:i/>
        </w:rPr>
        <w:t xml:space="preserve">Table 1: OpenPatent primary agent architecture and PatentMCP integration mapping. Data sourced from repository README[^2^] and PatentMCP technical specification.</w:t>
      </w:r>
    </w:p>
    <w:p>
      <w:pPr>
        <w:pStyle w:val="BodyText"/>
      </w:pPr>
      <w:r>
        <w:t xml:space="preserve">Supplementing the primary agents, three specialist subagents handle narrow technical functions:</w:t>
      </w:r>
      <w:r>
        <w:t xml:space="preserve"> </w:t>
      </w:r>
      <w:r>
        <w:rPr>
          <w:bCs/>
          <w:b/>
        </w:rPr>
        <w:t xml:space="preserve">prior-art</w:t>
      </w:r>
      <w:r>
        <w:t xml:space="preserve"> </w:t>
      </w:r>
      <w:r>
        <w:t xml:space="preserve">(prior art search coordination),</w:t>
      </w:r>
      <w:r>
        <w:t xml:space="preserve"> </w:t>
      </w:r>
      <w:r>
        <w:rPr>
          <w:bCs/>
          <w:b/>
        </w:rPr>
        <w:t xml:space="preserve">analyst</w:t>
      </w:r>
      <w:r>
        <w:t xml:space="preserve"> </w:t>
      </w:r>
      <w:r>
        <w:t xml:space="preserve">(technical and legal analysis synthesis), and</w:t>
      </w:r>
      <w:r>
        <w:t xml:space="preserve"> </w:t>
      </w:r>
      <w:r>
        <w:rPr>
          <w:bCs/>
          <w:b/>
        </w:rPr>
        <w:t xml:space="preserve">claims-analyst</w:t>
      </w:r>
      <w:r>
        <w:t xml:space="preserve"> </w:t>
      </w:r>
      <w:r>
        <w:t xml:space="preserve">(claim scope and dependency analysis)[^2^]. This nine-agent structure (six primary + three specialist) provides granular decomposition of patent workflow tasks, enabling users to invoke specific capabilities without loading the entire system context. The agent model mirrors the design philosophy of emerging legal AI platforms such as Harvey and CoCounsel, though those systems operate exclusively via cloud APIs at substantially higher per-query cost[^6^].</w:t>
      </w:r>
    </w:p>
    <w:bookmarkEnd w:id="23"/>
    <w:bookmarkStart w:id="24" w:name="tool-suite-the-patent-primitive-layer"/>
    <w:p>
      <w:pPr>
        <w:pStyle w:val="Heading4"/>
      </w:pPr>
      <w:r>
        <w:t xml:space="preserve">1.1.3 Tool Suite: The Patent-Primitive Layer</w:t>
      </w:r>
    </w:p>
    <w:p>
      <w:pPr>
        <w:pStyle w:val="FirstParagraph"/>
      </w:pPr>
      <w:r>
        <w:t xml:space="preserve">Beneath the agent orchestration layer, OpenPatent exposes seven patent-specific tools that function as the system’s primitive operations:</w:t>
      </w:r>
      <w:r>
        <w:t xml:space="preserve"> </w:t>
      </w:r>
      <w:r>
        <w:rPr>
          <w:rStyle w:val="VerbatimChar"/>
        </w:rPr>
        <w:t xml:space="preserve">patent-search</w:t>
      </w:r>
      <w:r>
        <w:t xml:space="preserve"> </w:t>
      </w:r>
      <w:r>
        <w:t xml:space="preserve">(structured prior art queries),</w:t>
      </w:r>
      <w:r>
        <w:t xml:space="preserve"> </w:t>
      </w:r>
      <w:r>
        <w:rPr>
          <w:rStyle w:val="VerbatimChar"/>
        </w:rPr>
        <w:t xml:space="preserve">claim-parser</w:t>
      </w:r>
      <w:r>
        <w:t xml:space="preserve"> </w:t>
      </w:r>
      <w:r>
        <w:t xml:space="preserve">(claim text analysis and dependency mapping),</w:t>
      </w:r>
      <w:r>
        <w:t xml:space="preserve"> </w:t>
      </w:r>
      <w:r>
        <w:rPr>
          <w:rStyle w:val="VerbatimChar"/>
        </w:rPr>
        <w:t xml:space="preserve">mpep-lookup</w:t>
      </w:r>
      <w:r>
        <w:t xml:space="preserve"> </w:t>
      </w:r>
      <w:r>
        <w:t xml:space="preserve">(Manual of Patent Examining Procedure retrieval),</w:t>
      </w:r>
      <w:r>
        <w:t xml:space="preserve"> </w:t>
      </w:r>
      <w:r>
        <w:rPr>
          <w:rStyle w:val="VerbatimChar"/>
        </w:rPr>
        <w:t xml:space="preserve">docket-query</w:t>
      </w:r>
      <w:r>
        <w:t xml:space="preserve"> </w:t>
      </w:r>
      <w:r>
        <w:t xml:space="preserve">(deadline and status retrieval),</w:t>
      </w:r>
      <w:r>
        <w:t xml:space="preserve"> </w:t>
      </w:r>
      <w:r>
        <w:rPr>
          <w:rStyle w:val="VerbatimChar"/>
        </w:rPr>
        <w:t xml:space="preserve">document-template</w:t>
      </w:r>
      <w:r>
        <w:t xml:space="preserve"> </w:t>
      </w:r>
      <w:r>
        <w:t xml:space="preserve">(structured document generation),</w:t>
      </w:r>
      <w:r>
        <w:t xml:space="preserve"> </w:t>
      </w:r>
      <w:r>
        <w:rPr>
          <w:rStyle w:val="VerbatimChar"/>
        </w:rPr>
        <w:t xml:space="preserve">compliance-check</w:t>
      </w:r>
      <w:r>
        <w:t xml:space="preserve"> </w:t>
      </w:r>
      <w:r>
        <w:t xml:space="preserve">(formal requirements verification), and</w:t>
      </w:r>
      <w:r>
        <w:t xml:space="preserve"> </w:t>
      </w:r>
      <w:r>
        <w:rPr>
          <w:rStyle w:val="VerbatimChar"/>
        </w:rPr>
        <w:t xml:space="preserve">citation-format</w:t>
      </w:r>
      <w:r>
        <w:t xml:space="preserve"> </w:t>
      </w:r>
      <w:r>
        <w:t xml:space="preserve">(reference formatting across patent jurisdictions)[^2^].</w:t>
      </w:r>
    </w:p>
    <w:p>
      <w:pPr>
        <w:pStyle w:val="BodyText"/>
      </w:pPr>
      <w:r>
        <w:t xml:space="preserve">This tool suite reveals the project’s explicit targeting of the U.S. patent system — the MPEP is a USPTO-specific document, and compliance-checking logic is typically jurisdiction-dependent. The absence of equivalent tools for EPO (European Patent Office), CNIPA (China National Intellectual Property Administration), or JPO (Japan Patent Office) frameworks suggests that a production deployment would require substantial localization investment for non-U.S. markets. The</w:t>
      </w:r>
      <w:r>
        <w:t xml:space="preserve"> </w:t>
      </w:r>
      <w:r>
        <w:rPr>
          <w:rStyle w:val="VerbatimChar"/>
        </w:rPr>
        <w:t xml:space="preserve">patent-search</w:t>
      </w:r>
      <w:r>
        <w:t xml:space="preserve"> </w:t>
      </w:r>
      <w:r>
        <w:t xml:space="preserve">tool’s integration with external patent databases (presumably USPTO PAIR, Google Patents, or Espacenet) is not fully documented in the public README, creating an integration risk that any fork would need to resolve.</w:t>
      </w:r>
    </w:p>
    <w:bookmarkEnd w:id="24"/>
    <w:bookmarkStart w:id="25" w:name="technology-stack-and-deployment-model"/>
    <w:p>
      <w:pPr>
        <w:pStyle w:val="Heading4"/>
      </w:pPr>
      <w:r>
        <w:t xml:space="preserve">1.1.4 Technology Stack and Deployment Model</w:t>
      </w:r>
    </w:p>
    <w:p>
      <w:pPr>
        <w:pStyle w:val="FirstParagraph"/>
      </w:pPr>
      <w:r>
        <w:t xml:space="preserve">The system requires Bun 1.3+ as its JavaScript runtime, a choice that prioritizes performance — Bun’s startup latency averages 3–5× lower than Node.js for CLI-driven applications[^7^] — but introduces a less common dependency that may complicate enterprise deployment pipelines. Model inference is abstracted behind an OpenAI-compatible API layer, enabling the system to consume local models via Ollama, LM Studio, or vLLM, or optionally route to cloud providers (OpenAI, Anthropic, Google)[^2^].</w:t>
      </w:r>
    </w:p>
    <w:p>
      <w:pPr>
        <w:pStyle w:val="BodyText"/>
      </w:pPr>
      <w:r>
        <w:t xml:space="preserve">This dual-mode architecture — local by default, cloud-optional — represents a pragmatic compromise. Local execution via Ollama or vLLM eliminates per-query API costs and data exposure risks, but requires capable hardware: a 7B-parameter model consumes approximately 4–6GB of VRAM, while a 70B-parameter model suitable for complex claim drafting requires 40–80GB[^8^]. For patent firms without dedicated GPU infrastructure, the cloud fallback becomes operationally necessary, reintroducing the cost and confidentiality concerns the local-first design was intended to solve. A 2025 survey of Am Law 200 firms found that 78% maintain on-premises infrastructure for IP-related AI tools, suggesting the local-first approach aligns with market infrastructure[^9^].</w:t>
      </w:r>
    </w:p>
    <w:bookmarkEnd w:id="25"/>
    <w:bookmarkEnd w:id="26"/>
    <w:bookmarkStart w:id="30" w:name="capabilities-limitations"/>
    <w:p>
      <w:pPr>
        <w:pStyle w:val="Heading3"/>
      </w:pPr>
      <w:r>
        <w:t xml:space="preserve">1.2 Capabilities &amp; Limitations</w:t>
      </w:r>
    </w:p>
    <w:bookmarkStart w:id="27" w:name="what-openpatent-delivers"/>
    <w:p>
      <w:pPr>
        <w:pStyle w:val="Heading4"/>
      </w:pPr>
      <w:r>
        <w:t xml:space="preserve">1.2.1 What OpenPatent Delivers</w:t>
      </w:r>
    </w:p>
    <w:p>
      <w:pPr>
        <w:pStyle w:val="FirstParagraph"/>
      </w:pPr>
      <w:r>
        <w:t xml:space="preserve">OpenPatent’s functional coverage spans the post-disclosure phases of the patent lifecycle. The</w:t>
      </w:r>
      <w:r>
        <w:t xml:space="preserve"> </w:t>
      </w:r>
      <w:r>
        <w:rPr>
          <w:bCs/>
          <w:b/>
        </w:rPr>
        <w:t xml:space="preserve">draft</w:t>
      </w:r>
      <w:r>
        <w:t xml:space="preserve"> </w:t>
      </w:r>
      <w:r>
        <w:t xml:space="preserve">agent handles the full spectrum of application documents — claims (independent and dependent), specifications (including detailed description and abstract), and drawing descriptions — from plain-language inventor input[^2^]. The</w:t>
      </w:r>
      <w:r>
        <w:t xml:space="preserve"> </w:t>
      </w:r>
      <w:r>
        <w:rPr>
          <w:bCs/>
          <w:b/>
        </w:rPr>
        <w:t xml:space="preserve">prosecute</w:t>
      </w:r>
      <w:r>
        <w:t xml:space="preserve"> </w:t>
      </w:r>
      <w:r>
        <w:t xml:space="preserve">agent generates office action responses, claim amendments, and legal arguments, which, if quality-controlled, could reduce attorney drafting time by 30–50% based on benchmarks from commercial AI legal drafting tools[^10^].</w:t>
      </w:r>
    </w:p>
    <w:p>
      <w:pPr>
        <w:pStyle w:val="BodyText"/>
      </w:pPr>
      <w:r>
        <w:t xml:space="preserve">The</w:t>
      </w:r>
      <w:r>
        <w:t xml:space="preserve"> </w:t>
      </w:r>
      <w:r>
        <w:rPr>
          <w:bCs/>
          <w:b/>
        </w:rPr>
        <w:t xml:space="preserve">consult</w:t>
      </w:r>
      <w:r>
        <w:t xml:space="preserve"> </w:t>
      </w:r>
      <w:r>
        <w:t xml:space="preserve">and</w:t>
      </w:r>
      <w:r>
        <w:t xml:space="preserve"> </w:t>
      </w:r>
      <w:r>
        <w:rPr>
          <w:bCs/>
          <w:b/>
        </w:rPr>
        <w:t xml:space="preserve">strategy</w:t>
      </w:r>
      <w:r>
        <w:t xml:space="preserve"> </w:t>
      </w:r>
      <w:r>
        <w:t xml:space="preserve">agents address analytical tasks: freedom-to-operate (FTO) studies, patent landscape mapping, and validity assessments. These functions are typically billed at $15,000–$50,000 per engagement by traditional IP analytics firms[^11^]. Democratizing access through an open-source tool — even one requiring technical sophistication to deploy — could materially reduce barriers for solo practitioners and startups. The</w:t>
      </w:r>
      <w:r>
        <w:t xml:space="preserve"> </w:t>
      </w:r>
      <w:r>
        <w:rPr>
          <w:bCs/>
          <w:b/>
        </w:rPr>
        <w:t xml:space="preserve">litigate</w:t>
      </w:r>
      <w:r>
        <w:t xml:space="preserve"> </w:t>
      </w:r>
      <w:r>
        <w:t xml:space="preserve">agent’s claim construction and infringement analysis capabilities extend into the enforcement phase, though the README does not disclose training data provenance or validation benchmarks that would support evidentiary use in proceedings.</w:t>
      </w:r>
    </w:p>
    <w:p>
      <w:pPr>
        <w:pStyle w:val="BodyText"/>
      </w:pPr>
      <w:r>
        <w:t xml:space="preserve">Portfolio management through the</w:t>
      </w:r>
      <w:r>
        <w:t xml:space="preserve"> </w:t>
      </w:r>
      <w:r>
        <w:rPr>
          <w:bCs/>
          <w:b/>
        </w:rPr>
        <w:t xml:space="preserve">manage</w:t>
      </w:r>
      <w:r>
        <w:t xml:space="preserve"> </w:t>
      </w:r>
      <w:r>
        <w:t xml:space="preserve">agent covers docket-style deadline tracking and status summaries. This feature competes with established docketing systems ( Anaqua, CPA Global, Patrix) that charge $500–$2,000 per user annually[^12^]. OpenPatent’s inclusion of this function within a unified agent framework, rather than as a standalone product, reflects an architectural bet that practitioners prefer integrated workflows over specialized point solutions.</w:t>
      </w:r>
    </w:p>
    <w:bookmarkEnd w:id="27"/>
    <w:bookmarkStart w:id="28" w:name="critical-gaps-the-protection-layer"/>
    <w:p>
      <w:pPr>
        <w:pStyle w:val="Heading4"/>
      </w:pPr>
      <w:r>
        <w:t xml:space="preserve">1.2.2 Critical Gaps: The Protection Layer</w:t>
      </w:r>
    </w:p>
    <w:p>
      <w:pPr>
        <w:pStyle w:val="FirstParagraph"/>
      </w:pPr>
      <w:r>
        <w:t xml:space="preserve">OpenPatent’s architecture contains a fundamental omission: it contains no cryptographic disclosure mechanism, no blockchain anchoring, no tamper-proof prior art registry, and no defensive publication workflow[^2^]. The system begins its lifecycle at the</w:t>
      </w:r>
      <w:r>
        <w:t xml:space="preserve"> </w:t>
      </w:r>
      <w:r>
        <w:rPr>
          <w:iCs/>
          <w:i/>
        </w:rPr>
        <w:t xml:space="preserve">application drafting</w:t>
      </w:r>
      <w:r>
        <w:t xml:space="preserve"> </w:t>
      </w:r>
      <w:r>
        <w:t xml:space="preserve">phase — after an invention has already been conceived, documented, and potentially disclosed. This leaves a critical gap in the pre-filing</w:t>
      </w:r>
      <w:r>
        <w:t xml:space="preserve"> </w:t>
      </w:r>
      <w:r>
        <w:t xml:space="preserve">“</w:t>
      </w:r>
      <w:r>
        <w:t xml:space="preserve">invention protection</w:t>
      </w:r>
      <w:r>
        <w:t xml:space="preserve">”</w:t>
      </w:r>
      <w:r>
        <w:t xml:space="preserve"> </w:t>
      </w:r>
      <w:r>
        <w:t xml:space="preserve">phase, where establishing priority dates, proving conception, and creating defensible prior art records are paramount.</w:t>
      </w:r>
    </w:p>
    <w:p>
      <w:pPr>
        <w:pStyle w:val="BodyText"/>
      </w:pPr>
      <w:r>
        <w:t xml:space="preserve">Specifically, OpenPatent does not:</w:t>
      </w:r>
    </w:p>
    <w:p>
      <w:pPr>
        <w:numPr>
          <w:ilvl w:val="0"/>
          <w:numId w:val="1001"/>
        </w:numPr>
        <w:pStyle w:val="Compact"/>
      </w:pPr>
      <w:r>
        <w:t xml:space="preserve">Cryptographically timestamp invention disclosures to establish legally defensible priority dates</w:t>
      </w:r>
    </w:p>
    <w:p>
      <w:pPr>
        <w:numPr>
          <w:ilvl w:val="0"/>
          <w:numId w:val="1001"/>
        </w:numPr>
        <w:pStyle w:val="Compact"/>
      </w:pPr>
      <w:r>
        <w:t xml:space="preserve">Anchor disclosure hashes to public blockchains (Bitcoin, Ethereum, or specialized registries) for immutable proof of existence</w:t>
      </w:r>
    </w:p>
    <w:p>
      <w:pPr>
        <w:numPr>
          <w:ilvl w:val="0"/>
          <w:numId w:val="1001"/>
        </w:numPr>
        <w:pStyle w:val="Compact"/>
      </w:pPr>
      <w:r>
        <w:t xml:space="preserve">Maintain a tamper-verifiable audit trail of claim evolution from first conception to filed application</w:t>
      </w:r>
    </w:p>
    <w:p>
      <w:pPr>
        <w:numPr>
          <w:ilvl w:val="0"/>
          <w:numId w:val="1001"/>
        </w:numPr>
        <w:pStyle w:val="Compact"/>
      </w:pPr>
      <w:r>
        <w:t xml:space="preserve">Publish defensive disclosures that would prevent competitors from patenting the same invention</w:t>
      </w:r>
    </w:p>
    <w:p>
      <w:pPr>
        <w:numPr>
          <w:ilvl w:val="0"/>
          <w:numId w:val="1001"/>
        </w:numPr>
        <w:pStyle w:val="Compact"/>
      </w:pPr>
      <w:r>
        <w:t xml:space="preserve">Verify the integrity of prior art citations through cryptographic means</w:t>
      </w:r>
    </w:p>
    <w:p>
      <w:pPr>
        <w:pStyle w:val="FirstParagraph"/>
      </w:pPr>
      <w:r>
        <w:t xml:space="preserve">These omissions are not design flaws — they reflect the project’s scope boundary. OpenPatent is architected as a</w:t>
      </w:r>
      <w:r>
        <w:t xml:space="preserve"> </w:t>
      </w:r>
      <w:r>
        <w:rPr>
          <w:iCs/>
          <w:i/>
        </w:rPr>
        <w:t xml:space="preserve">drafting and prosecution</w:t>
      </w:r>
      <w:r>
        <w:t xml:space="preserve"> </w:t>
      </w:r>
      <w:r>
        <w:t xml:space="preserve">tool, not a</w:t>
      </w:r>
      <w:r>
        <w:t xml:space="preserve"> </w:t>
      </w:r>
      <w:r>
        <w:rPr>
          <w:iCs/>
          <w:i/>
        </w:rPr>
        <w:t xml:space="preserve">disclosure and protection</w:t>
      </w:r>
      <w:r>
        <w:t xml:space="preserve"> </w:t>
      </w:r>
      <w:r>
        <w:t xml:space="preserve">system. However, the absence means that any practitioner using OpenPatent alone lacks cryptographic evidentiary support if their priority date is challenged in interference proceedings, derivation proceedings, or post-grant review. The Leahy-Smith America Invents Act (AIA) switched the U.S. to a first-inventor-to-file system in 2013, making provable priority dates more consequential than under the previous first-to-invent regime[^13^].</w:t>
      </w:r>
    </w:p>
    <w:bookmarkEnd w:id="28"/>
    <w:bookmarkStart w:id="29" w:name="Xe6b38304d91b04747e410c7fc1761a3533bd45a"/>
    <w:p>
      <w:pPr>
        <w:pStyle w:val="Heading4"/>
      </w:pPr>
      <w:r>
        <w:t xml:space="preserve">1.2.3 Complementary Architecture: Two Halves of a Whole</w:t>
      </w:r>
    </w:p>
    <w:p>
      <w:pPr>
        <w:pStyle w:val="FirstParagraph"/>
      </w:pPr>
      <w:r>
        <w:t xml:space="preserve">The capability gap between OpenPatent and PatentMCP is not competitive — it is complementary. PatentMCP’s 6-layer cryptographic stack (SHA-3/512, HMAC-SHA256, Ed25519, Bitcoin OTS, C2PA, hash-chain audit) addresses precisely the</w:t>
      </w:r>
      <w:r>
        <w:t xml:space="preserve"> </w:t>
      </w:r>
      <w:r>
        <w:t xml:space="preserve">“</w:t>
      </w:r>
      <w:r>
        <w:t xml:space="preserve">protection</w:t>
      </w:r>
      <w:r>
        <w:t xml:space="preserve">”</w:t>
      </w:r>
      <w:r>
        <w:t xml:space="preserve"> </w:t>
      </w:r>
      <w:r>
        <w:t xml:space="preserve">phase that OpenPatent omits[^14^]. The 2,400-line Python codebase with 14 passing tests implements the</w:t>
      </w:r>
      <w:r>
        <w:t xml:space="preserve"> </w:t>
      </w:r>
      <w:r>
        <w:rPr>
          <w:rStyle w:val="VerbatimChar"/>
        </w:rPr>
        <w:t xml:space="preserve">disclose</w:t>
      </w:r>
      <w:r>
        <w:t xml:space="preserve">,</w:t>
      </w:r>
      <w:r>
        <w:t xml:space="preserve"> </w:t>
      </w:r>
      <w:r>
        <w:rPr>
          <w:rStyle w:val="VerbatimChar"/>
        </w:rPr>
        <w:t xml:space="preserve">verify</w:t>
      </w:r>
      <w:r>
        <w:t xml:space="preserve">,</w:t>
      </w:r>
      <w:r>
        <w:t xml:space="preserve"> </w:t>
      </w:r>
      <w:r>
        <w:rPr>
          <w:rStyle w:val="VerbatimChar"/>
        </w:rPr>
        <w:t xml:space="preserve">search</w:t>
      </w:r>
      <w:r>
        <w:t xml:space="preserve">, and</w:t>
      </w:r>
      <w:r>
        <w:t xml:space="preserve"> </w:t>
      </w:r>
      <w:r>
        <w:rPr>
          <w:rStyle w:val="VerbatimChar"/>
        </w:rPr>
        <w:t xml:space="preserve">stats</w:t>
      </w:r>
      <w:r>
        <w:t xml:space="preserve"> </w:t>
      </w:r>
      <w:r>
        <w:t xml:space="preserve">tools that anchor invention disclosures to cryptographic registries, creating tamper-proof records of prior existence[^14^].</w:t>
      </w:r>
    </w:p>
    <w:p>
      <w:pPr>
        <w:pStyle w:val="BodyText"/>
      </w:pPr>
      <w:r>
        <w:t xml:space="preserve">The functional division maps cleanly onto the patent lifecycle: PatentMCP handles the</w:t>
      </w:r>
      <w:r>
        <w:t xml:space="preserve"> </w:t>
      </w:r>
      <w:r>
        <w:t xml:space="preserve">“</w:t>
      </w:r>
      <w:r>
        <w:t xml:space="preserve">invention protection</w:t>
      </w:r>
      <w:r>
        <w:t xml:space="preserve">”</w:t>
      </w:r>
      <w:r>
        <w:t xml:space="preserve"> </w:t>
      </w:r>
      <w:r>
        <w:t xml:space="preserve">side (cryptographic disclosure, defensive publication, prior art registry, integrity verification), while OpenPatent handles the</w:t>
      </w:r>
      <w:r>
        <w:t xml:space="preserve"> </w:t>
      </w:r>
      <w:r>
        <w:t xml:space="preserve">“</w:t>
      </w:r>
      <w:r>
        <w:t xml:space="preserve">patent application</w:t>
      </w:r>
      <w:r>
        <w:t xml:space="preserve">”</w:t>
      </w:r>
      <w:r>
        <w:t xml:space="preserve"> </w:t>
      </w:r>
      <w:r>
        <w:t xml:space="preserve">side (drafting, prosecution, litigation support, portfolio management). Together, they cover the full lifecycle from conception through enforcement — a coverage breadth that no single open-source project currently achieves.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OpenPatent</w:t>
            </w:r>
          </w:p>
        </w:tc>
        <w:tc>
          <w:tcPr/>
          <w:p>
            <w:pPr>
              <w:pStyle w:val="Compact"/>
              <w:jc w:val="left"/>
            </w:pPr>
            <w:r>
              <w:t xml:space="preserve">PatentMCP</w:t>
            </w:r>
          </w:p>
        </w:tc>
        <w:tc>
          <w:tcPr/>
          <w:p>
            <w:pPr>
              <w:pStyle w:val="Compact"/>
              <w:jc w:val="left"/>
            </w:pPr>
            <w:r>
              <w:t xml:space="preserve">Combined Value</w:t>
            </w:r>
          </w:p>
        </w:tc>
      </w:tr>
      <w:tr>
        <w:tc>
          <w:tcPr/>
          <w:p>
            <w:pPr>
              <w:pStyle w:val="Compact"/>
              <w:jc w:val="left"/>
            </w:pPr>
            <w:r>
              <w:t xml:space="preserve">Patent application drafting</w:t>
            </w:r>
          </w:p>
        </w:tc>
        <w:tc>
          <w:tcPr/>
          <w:p>
            <w:pPr>
              <w:pStyle w:val="Compact"/>
              <w:jc w:val="left"/>
            </w:pPr>
            <w:r>
              <w:rPr>
                <w:bCs/>
                <w:b/>
              </w:rPr>
              <w:t xml:space="preserve">Full</w:t>
            </w:r>
            <w:r>
              <w:t xml:space="preserve"> </w:t>
            </w:r>
            <w:r>
              <w:t xml:space="preserve">— claims, specs, abstracts, drawings</w:t>
            </w:r>
          </w:p>
        </w:tc>
        <w:tc>
          <w:tcPr/>
          <w:p>
            <w:pPr>
              <w:pStyle w:val="Compact"/>
              <w:jc w:val="left"/>
            </w:pPr>
            <w:r>
              <w:t xml:space="preserve">None</w:t>
            </w:r>
          </w:p>
        </w:tc>
        <w:tc>
          <w:tcPr/>
          <w:p>
            <w:pPr>
              <w:pStyle w:val="Compact"/>
              <w:jc w:val="left"/>
            </w:pPr>
            <w:r>
              <w:t xml:space="preserve">End-to-end drafting with crypto-protected source disclosures</w:t>
            </w:r>
          </w:p>
        </w:tc>
      </w:tr>
      <w:tr>
        <w:tc>
          <w:tcPr/>
          <w:p>
            <w:pPr>
              <w:pStyle w:val="Compact"/>
              <w:jc w:val="left"/>
            </w:pPr>
            <w:r>
              <w:t xml:space="preserve">Office action prosecution</w:t>
            </w:r>
          </w:p>
        </w:tc>
        <w:tc>
          <w:tcPr/>
          <w:p>
            <w:pPr>
              <w:pStyle w:val="Compact"/>
              <w:jc w:val="left"/>
            </w:pPr>
            <w:r>
              <w:rPr>
                <w:bCs/>
                <w:b/>
              </w:rPr>
              <w:t xml:space="preserve">Full</w:t>
            </w:r>
            <w:r>
              <w:t xml:space="preserve"> </w:t>
            </w:r>
            <w:r>
              <w:t xml:space="preserve">— responses, amendments, arguments</w:t>
            </w:r>
          </w:p>
        </w:tc>
        <w:tc>
          <w:tcPr/>
          <w:p>
            <w:pPr>
              <w:pStyle w:val="Compact"/>
              <w:jc w:val="left"/>
            </w:pPr>
            <w:r>
              <w:t xml:space="preserve">None</w:t>
            </w:r>
          </w:p>
        </w:tc>
        <w:tc>
          <w:tcPr/>
          <w:p>
            <w:pPr>
              <w:pStyle w:val="Compact"/>
              <w:jc w:val="left"/>
            </w:pPr>
            <w:r>
              <w:t xml:space="preserve">Prosecution backed by verifiable invention timelines</w:t>
            </w:r>
          </w:p>
        </w:tc>
      </w:tr>
      <w:tr>
        <w:tc>
          <w:tcPr/>
          <w:p>
            <w:pPr>
              <w:pStyle w:val="Compact"/>
              <w:jc w:val="left"/>
            </w:pPr>
            <w:r>
              <w:t xml:space="preserve">FTO / landscape analysis</w:t>
            </w:r>
          </w:p>
        </w:tc>
        <w:tc>
          <w:tcPr/>
          <w:p>
            <w:pPr>
              <w:pStyle w:val="Compact"/>
              <w:jc w:val="left"/>
            </w:pPr>
            <w:r>
              <w:rPr>
                <w:bCs/>
                <w:b/>
              </w:rPr>
              <w:t xml:space="preserve">Full</w:t>
            </w:r>
            <w:r>
              <w:t xml:space="preserve"> </w:t>
            </w:r>
            <w:r>
              <w:t xml:space="preserve">— consult and strategy agents</w:t>
            </w:r>
          </w:p>
        </w:tc>
        <w:tc>
          <w:tcPr/>
          <w:p>
            <w:pPr>
              <w:pStyle w:val="Compact"/>
              <w:jc w:val="left"/>
            </w:pPr>
            <w:r>
              <w:t xml:space="preserve">None</w:t>
            </w:r>
          </w:p>
        </w:tc>
        <w:tc>
          <w:tcPr/>
          <w:p>
            <w:pPr>
              <w:pStyle w:val="Compact"/>
              <w:jc w:val="left"/>
            </w:pPr>
            <w:r>
              <w:t xml:space="preserve">Analysis enriched with defensive publication registry data</w:t>
            </w:r>
          </w:p>
        </w:tc>
      </w:tr>
      <w:tr>
        <w:tc>
          <w:tcPr/>
          <w:p>
            <w:pPr>
              <w:pStyle w:val="Compact"/>
              <w:jc w:val="left"/>
            </w:pPr>
            <w:r>
              <w:t xml:space="preserve">Cryptographic disclosure</w:t>
            </w:r>
          </w:p>
        </w:tc>
        <w:tc>
          <w:tcPr/>
          <w:p>
            <w:pPr>
              <w:pStyle w:val="Compact"/>
              <w:jc w:val="left"/>
            </w:pPr>
            <w:r>
              <w:t xml:space="preserve">None</w:t>
            </w:r>
          </w:p>
        </w:tc>
        <w:tc>
          <w:tcPr/>
          <w:p>
            <w:pPr>
              <w:pStyle w:val="Compact"/>
              <w:jc w:val="left"/>
            </w:pPr>
            <w:r>
              <w:rPr>
                <w:bCs/>
                <w:b/>
              </w:rPr>
              <w:t xml:space="preserve">Full</w:t>
            </w:r>
            <w:r>
              <w:t xml:space="preserve"> </w:t>
            </w:r>
            <w:r>
              <w:t xml:space="preserve">— 6-layer crypto stack[^14^]</w:t>
            </w:r>
          </w:p>
        </w:tc>
        <w:tc>
          <w:tcPr/>
          <w:p>
            <w:pPr>
              <w:pStyle w:val="Compact"/>
              <w:jc w:val="left"/>
            </w:pPr>
            <w:r>
              <w:t xml:space="preserve">Legally defensible priority dates for all drafted applications</w:t>
            </w:r>
          </w:p>
        </w:tc>
      </w:tr>
      <w:tr>
        <w:tc>
          <w:tcPr/>
          <w:p>
            <w:pPr>
              <w:pStyle w:val="Compact"/>
              <w:jc w:val="left"/>
            </w:pPr>
            <w:r>
              <w:t xml:space="preserve">Blockchain anchoring</w:t>
            </w:r>
          </w:p>
        </w:tc>
        <w:tc>
          <w:tcPr/>
          <w:p>
            <w:pPr>
              <w:pStyle w:val="Compact"/>
              <w:jc w:val="left"/>
            </w:pPr>
            <w:r>
              <w:t xml:space="preserve">None</w:t>
            </w:r>
          </w:p>
        </w:tc>
        <w:tc>
          <w:tcPr/>
          <w:p>
            <w:pPr>
              <w:pStyle w:val="Compact"/>
              <w:jc w:val="left"/>
            </w:pPr>
            <w:r>
              <w:rPr>
                <w:bCs/>
                <w:b/>
              </w:rPr>
              <w:t xml:space="preserve">Full</w:t>
            </w:r>
            <w:r>
              <w:t xml:space="preserve"> </w:t>
            </w:r>
            <w:r>
              <w:t xml:space="preserve">— Bitcoin OTS, hash-chain audit[^14^]</w:t>
            </w:r>
          </w:p>
        </w:tc>
        <w:tc>
          <w:tcPr/>
          <w:p>
            <w:pPr>
              <w:pStyle w:val="Compact"/>
              <w:jc w:val="left"/>
            </w:pPr>
            <w:r>
              <w:t xml:space="preserve">Immutable proof of invention existence pre-filing</w:t>
            </w:r>
          </w:p>
        </w:tc>
      </w:tr>
      <w:tr>
        <w:tc>
          <w:tcPr/>
          <w:p>
            <w:pPr>
              <w:pStyle w:val="Compact"/>
              <w:jc w:val="left"/>
            </w:pPr>
            <w:r>
              <w:t xml:space="preserve">Prior art registry</w:t>
            </w:r>
          </w:p>
        </w:tc>
        <w:tc>
          <w:tcPr/>
          <w:p>
            <w:pPr>
              <w:pStyle w:val="Compact"/>
              <w:jc w:val="left"/>
            </w:pPr>
            <w:r>
              <w:t xml:space="preserve">None</w:t>
            </w:r>
          </w:p>
        </w:tc>
        <w:tc>
          <w:tcPr/>
          <w:p>
            <w:pPr>
              <w:pStyle w:val="Compact"/>
              <w:jc w:val="left"/>
            </w:pPr>
            <w:r>
              <w:rPr>
                <w:bCs/>
                <w:b/>
              </w:rPr>
              <w:t xml:space="preserve">Full</w:t>
            </w:r>
            <w:r>
              <w:t xml:space="preserve"> </w:t>
            </w:r>
            <w:r>
              <w:t xml:space="preserve">— full-text searchable registry[^14^]</w:t>
            </w:r>
          </w:p>
        </w:tc>
        <w:tc>
          <w:tcPr/>
          <w:p>
            <w:pPr>
              <w:pStyle w:val="Compact"/>
              <w:jc w:val="left"/>
            </w:pPr>
            <w:r>
              <w:t xml:space="preserve">Registered prior art feeds directly into consult agent analysis</w:t>
            </w:r>
          </w:p>
        </w:tc>
      </w:tr>
      <w:tr>
        <w:tc>
          <w:tcPr/>
          <w:p>
            <w:pPr>
              <w:pStyle w:val="Compact"/>
              <w:jc w:val="left"/>
            </w:pPr>
            <w:r>
              <w:t xml:space="preserve">Defensive publication</w:t>
            </w:r>
          </w:p>
        </w:tc>
        <w:tc>
          <w:tcPr/>
          <w:p>
            <w:pPr>
              <w:pStyle w:val="Compact"/>
              <w:jc w:val="left"/>
            </w:pPr>
            <w:r>
              <w:t xml:space="preserve">None</w:t>
            </w:r>
          </w:p>
        </w:tc>
        <w:tc>
          <w:tcPr/>
          <w:p>
            <w:pPr>
              <w:pStyle w:val="Compact"/>
              <w:jc w:val="left"/>
            </w:pPr>
            <w:r>
              <w:rPr>
                <w:bCs/>
                <w:b/>
              </w:rPr>
              <w:t xml:space="preserve">Full</w:t>
            </w:r>
            <w:r>
              <w:t xml:space="preserve"> </w:t>
            </w:r>
            <w:r>
              <w:t xml:space="preserve">— $10/$50/$100 tiered fees[^14^]</w:t>
            </w:r>
          </w:p>
        </w:tc>
        <w:tc>
          <w:tcPr/>
          <w:p>
            <w:pPr>
              <w:pStyle w:val="Compact"/>
              <w:jc w:val="left"/>
            </w:pPr>
            <w:r>
              <w:t xml:space="preserve">Strategic publication to block competitor filings</w:t>
            </w:r>
          </w:p>
        </w:tc>
      </w:tr>
      <w:tr>
        <w:tc>
          <w:tcPr/>
          <w:p>
            <w:pPr>
              <w:pStyle w:val="Compact"/>
              <w:jc w:val="left"/>
            </w:pPr>
            <w:r>
              <w:t xml:space="preserve">Tamper-proof verification</w:t>
            </w:r>
          </w:p>
        </w:tc>
        <w:tc>
          <w:tcPr/>
          <w:p>
            <w:pPr>
              <w:pStyle w:val="Compact"/>
              <w:jc w:val="left"/>
            </w:pPr>
            <w:r>
              <w:t xml:space="preserve">None</w:t>
            </w:r>
          </w:p>
        </w:tc>
        <w:tc>
          <w:tcPr/>
          <w:p>
            <w:pPr>
              <w:pStyle w:val="Compact"/>
              <w:jc w:val="left"/>
            </w:pPr>
            <w:r>
              <w:rPr>
                <w:bCs/>
                <w:b/>
              </w:rPr>
              <w:t xml:space="preserve">Full</w:t>
            </w:r>
            <w:r>
              <w:t xml:space="preserve"> </w:t>
            </w:r>
            <w:r>
              <w:t xml:space="preserve">— Ed25519 signatures, C2PA[^14^]</w:t>
            </w:r>
          </w:p>
        </w:tc>
        <w:tc>
          <w:tcPr/>
          <w:p>
            <w:pPr>
              <w:pStyle w:val="Compact"/>
              <w:jc w:val="left"/>
            </w:pPr>
            <w:r>
              <w:t xml:space="preserve">Document integrity verification throughout prosecution</w:t>
            </w:r>
          </w:p>
        </w:tc>
      </w:tr>
      <w:tr>
        <w:tc>
          <w:tcPr/>
          <w:p>
            <w:pPr>
              <w:pStyle w:val="Compact"/>
              <w:jc w:val="left"/>
            </w:pPr>
            <w:r>
              <w:t xml:space="preserve">Portfolio docketing</w:t>
            </w:r>
          </w:p>
        </w:tc>
        <w:tc>
          <w:tcPr/>
          <w:p>
            <w:pPr>
              <w:pStyle w:val="Compact"/>
              <w:jc w:val="left"/>
            </w:pPr>
            <w:r>
              <w:rPr>
                <w:bCs/>
                <w:b/>
              </w:rPr>
              <w:t xml:space="preserve">Full</w:t>
            </w:r>
            <w:r>
              <w:t xml:space="preserve"> </w:t>
            </w:r>
            <w:r>
              <w:t xml:space="preserve">— manage agent</w:t>
            </w:r>
          </w:p>
        </w:tc>
        <w:tc>
          <w:tcPr/>
          <w:p>
            <w:pPr>
              <w:pStyle w:val="Compact"/>
              <w:jc w:val="left"/>
            </w:pPr>
            <w:r>
              <w:rPr>
                <w:rStyle w:val="VerbatimChar"/>
              </w:rPr>
              <w:t xml:space="preserve">stats</w:t>
            </w:r>
            <w:r>
              <w:t xml:space="preserve"> </w:t>
            </w:r>
            <w:r>
              <w:t xml:space="preserve">tool provides registry metrics</w:t>
            </w:r>
          </w:p>
        </w:tc>
        <w:tc>
          <w:tcPr/>
          <w:p>
            <w:pPr>
              <w:pStyle w:val="Compact"/>
              <w:jc w:val="left"/>
            </w:pPr>
            <w:r>
              <w:t xml:space="preserve">Unified portfolio view spanning applications and disclosures</w:t>
            </w:r>
          </w:p>
        </w:tc>
      </w:tr>
      <w:tr>
        <w:tc>
          <w:tcPr/>
          <w:p>
            <w:pPr>
              <w:pStyle w:val="Compact"/>
              <w:jc w:val="left"/>
            </w:pPr>
            <w:r>
              <w:t xml:space="preserve">Claim integrity audit</w:t>
            </w:r>
          </w:p>
        </w:tc>
        <w:tc>
          <w:tcPr/>
          <w:p>
            <w:pPr>
              <w:pStyle w:val="Compact"/>
              <w:jc w:val="left"/>
            </w:pPr>
            <w:r>
              <w:t xml:space="preserve">None</w:t>
            </w:r>
          </w:p>
        </w:tc>
        <w:tc>
          <w:tcPr/>
          <w:p>
            <w:pPr>
              <w:pStyle w:val="Compact"/>
              <w:jc w:val="left"/>
            </w:pPr>
            <w:r>
              <w:t xml:space="preserve">Hash-chain audit[^14^]</w:t>
            </w:r>
          </w:p>
        </w:tc>
        <w:tc>
          <w:tcPr/>
          <w:p>
            <w:pPr>
              <w:pStyle w:val="Compact"/>
              <w:jc w:val="left"/>
            </w:pPr>
            <w:r>
              <w:t xml:space="preserve">Full provenance tracking from disclosure through granted claim</w:t>
            </w:r>
          </w:p>
        </w:tc>
      </w:tr>
    </w:tbl>
    <w:p>
      <w:pPr>
        <w:pStyle w:val="BodyText"/>
      </w:pPr>
      <w:r>
        <w:rPr>
          <w:iCs/>
          <w:i/>
        </w:rPr>
        <w:t xml:space="preserve">Table 2: Capability matrix comparing OpenPatent and PatentMCP functional coverage. Gaps in each project are filled by the other, yielding complementary full-lifecycle coverage.</w:t>
      </w:r>
    </w:p>
    <w:p>
      <w:pPr>
        <w:pStyle w:val="BodyText"/>
      </w:pPr>
      <w:r>
        <w:t xml:space="preserve">The combined architecture creates a defensible moat: competitors offering drafting-only or protection-only solutions would need to replicate both codebases to match the integrated offering. Given OpenPatent’s MIT license (see §1.3.1), this integration can proceed without legal encumbrance — a structural advantage unavailable with copyleft-licensed alternatives.</w:t>
      </w:r>
    </w:p>
    <w:bookmarkEnd w:id="29"/>
    <w:bookmarkEnd w:id="30"/>
    <w:bookmarkStart w:id="34" w:name="forkextend-strategy"/>
    <w:p>
      <w:pPr>
        <w:pStyle w:val="Heading3"/>
      </w:pPr>
      <w:r>
        <w:t xml:space="preserve">1.3 Fork/Extend Strategy</w:t>
      </w:r>
    </w:p>
    <w:bookmarkStart w:id="31" w:name="license-and-legal-risk-assessment"/>
    <w:p>
      <w:pPr>
        <w:pStyle w:val="Heading4"/>
      </w:pPr>
      <w:r>
        <w:t xml:space="preserve">1.3.1 License and Legal Risk Assessment</w:t>
      </w:r>
    </w:p>
    <w:p>
      <w:pPr>
        <w:pStyle w:val="FirstParagraph"/>
      </w:pPr>
      <w:r>
        <w:t xml:space="preserve">The MIT license governing OpenPatent permits unrestricted use, modification, distribution, and sublicensing — including commercial use — provided that the original copyright notice and license terms are included in all copies[^1^]. For the OpenPatent.ai platform, this translates to zero legal risk for forking the repository, modifying the codebase, integrating PatentMCP as a backend service, and distributing the combined system under a commercial SaaS model. The only obligation is attribution to the original authors (Erdal Bektaş and Tech Tank), a requirement that imposes negligible business friction.</w:t>
      </w:r>
    </w:p>
    <w:p>
      <w:pPr>
        <w:pStyle w:val="BodyText"/>
      </w:pPr>
      <w:r>
        <w:t xml:space="preserve">This permissive licensing stands in contrast to the AGPL and GPL licenses that govern several competing open-source legal AI projects. The</w:t>
      </w:r>
      <w:r>
        <w:t xml:space="preserve"> </w:t>
      </w:r>
      <w:r>
        <w:rPr>
          <w:rStyle w:val="VerbatimChar"/>
        </w:rPr>
        <w:t xml:space="preserve">Legal-LLM</w:t>
      </w:r>
      <w:r>
        <w:t xml:space="preserve"> </w:t>
      </w:r>
      <w:r>
        <w:t xml:space="preserve">project, for instance, carries an AGPL-3.0 license that would require SaaS providers to release their entire application source code[^15^]. OpenPatent’s MIT licensing eliminates this viral clause risk, enabling proprietary extension without contamination concerns.</w:t>
      </w:r>
    </w:p>
    <w:bookmarkEnd w:id="31"/>
    <w:bookmarkStart w:id="32" w:name="proposed-integration-architecture"/>
    <w:p>
      <w:pPr>
        <w:pStyle w:val="Heading4"/>
      </w:pPr>
      <w:r>
        <w:t xml:space="preserve">1.3.2 Proposed Integration Architecture</w:t>
      </w:r>
    </w:p>
    <w:p>
      <w:pPr>
        <w:pStyle w:val="FirstParagraph"/>
      </w:pPr>
      <w:r>
        <w:t xml:space="preserve">The recommended integration model positions PatentMCP as the cryptographic disclosure and verification backend, with OpenPatent serving as the frontend drafting and workflow UI. In this architecture:</w:t>
      </w:r>
    </w:p>
    <w:p>
      <w:pPr>
        <w:numPr>
          <w:ilvl w:val="0"/>
          <w:numId w:val="1002"/>
        </w:numPr>
        <w:pStyle w:val="Compact"/>
      </w:pPr>
      <w:r>
        <w:t xml:space="preserve">An inventor submits a disclosure through PatentMCP’s</w:t>
      </w:r>
      <w:r>
        <w:t xml:space="preserve"> </w:t>
      </w:r>
      <w:r>
        <w:rPr>
          <w:rStyle w:val="VerbatimChar"/>
        </w:rPr>
        <w:t xml:space="preserve">disclose</w:t>
      </w:r>
      <w:r>
        <w:t xml:space="preserve"> </w:t>
      </w:r>
      <w:r>
        <w:t xml:space="preserve">tool, receiving back a SHA-3/512 hash and blockchain anchor transaction ID</w:t>
      </w:r>
    </w:p>
    <w:p>
      <w:pPr>
        <w:numPr>
          <w:ilvl w:val="0"/>
          <w:numId w:val="1002"/>
        </w:numPr>
        <w:pStyle w:val="Compact"/>
      </w:pPr>
      <w:r>
        <w:t xml:space="preserve">The verified disclosure — now cryptographically timestamped and tamper-proof — is passed as structured input to OpenPatent’s</w:t>
      </w:r>
      <w:r>
        <w:t xml:space="preserve"> </w:t>
      </w:r>
      <w:r>
        <w:rPr>
          <w:bCs/>
          <w:b/>
        </w:rPr>
        <w:t xml:space="preserve">draft</w:t>
      </w:r>
      <w:r>
        <w:t xml:space="preserve"> </w:t>
      </w:r>
      <w:r>
        <w:t xml:space="preserve">agent</w:t>
      </w:r>
    </w:p>
    <w:p>
      <w:pPr>
        <w:numPr>
          <w:ilvl w:val="0"/>
          <w:numId w:val="1002"/>
        </w:numPr>
        <w:pStyle w:val="Compact"/>
      </w:pPr>
      <w:r>
        <w:t xml:space="preserve">The</w:t>
      </w:r>
      <w:r>
        <w:t xml:space="preserve"> </w:t>
      </w:r>
      <w:r>
        <w:rPr>
          <w:bCs/>
          <w:b/>
        </w:rPr>
        <w:t xml:space="preserve">draft</w:t>
      </w:r>
      <w:r>
        <w:t xml:space="preserve"> </w:t>
      </w:r>
      <w:r>
        <w:t xml:space="preserve">agent generates claims, specifications, and abstracts with full provenance linkage to the original disclosure hash</w:t>
      </w:r>
    </w:p>
    <w:p>
      <w:pPr>
        <w:numPr>
          <w:ilvl w:val="0"/>
          <w:numId w:val="1002"/>
        </w:numPr>
        <w:pStyle w:val="Compact"/>
      </w:pPr>
      <w:r>
        <w:t xml:space="preserve">Throughout prosecution, PatentMCP’s</w:t>
      </w:r>
      <w:r>
        <w:t xml:space="preserve"> </w:t>
      </w:r>
      <w:r>
        <w:rPr>
          <w:rStyle w:val="VerbatimChar"/>
        </w:rPr>
        <w:t xml:space="preserve">verify</w:t>
      </w:r>
      <w:r>
        <w:t xml:space="preserve"> </w:t>
      </w:r>
      <w:r>
        <w:t xml:space="preserve">tool can validate that drafted documents have not been altered from their cryptographically signed originals</w:t>
      </w:r>
    </w:p>
    <w:p>
      <w:pPr>
        <w:numPr>
          <w:ilvl w:val="0"/>
          <w:numId w:val="1002"/>
        </w:numPr>
        <w:pStyle w:val="Compact"/>
      </w:pPr>
      <w:r>
        <w:t xml:space="preserve">Defensive publications registered through PatentMCP populate a prior art corpus that the</w:t>
      </w:r>
      <w:r>
        <w:t xml:space="preserve"> </w:t>
      </w:r>
      <w:r>
        <w:rPr>
          <w:bCs/>
          <w:b/>
        </w:rPr>
        <w:t xml:space="preserve">consult</w:t>
      </w:r>
      <w:r>
        <w:t xml:space="preserve"> </w:t>
      </w:r>
      <w:r>
        <w:t xml:space="preserve">and</w:t>
      </w:r>
      <w:r>
        <w:t xml:space="preserve"> </w:t>
      </w:r>
      <w:r>
        <w:rPr>
          <w:bCs/>
          <w:b/>
        </w:rPr>
        <w:t xml:space="preserve">strategy</w:t>
      </w:r>
      <w:r>
        <w:t xml:space="preserve"> </w:t>
      </w:r>
      <w:r>
        <w:t xml:space="preserve">agents query during FTO and landscape analysis</w:t>
      </w:r>
    </w:p>
    <w:p>
      <w:pPr>
        <w:pStyle w:val="FirstParagraph"/>
      </w:pPr>
      <w:r>
        <w:t xml:space="preserve">This integration preserves the modular boundaries of both projects while creating data flows that enhance each system’s utility. The OpenCode framework’s agent architecture should accommodate custom tool integrations — adding PatentMCP’s four tools (</w:t>
      </w:r>
      <w:r>
        <w:rPr>
          <w:rStyle w:val="VerbatimChar"/>
        </w:rPr>
        <w:t xml:space="preserve">disclose</w:t>
      </w:r>
      <w:r>
        <w:t xml:space="preserve">,</w:t>
      </w:r>
      <w:r>
        <w:t xml:space="preserve"> </w:t>
      </w:r>
      <w:r>
        <w:rPr>
          <w:rStyle w:val="VerbatimChar"/>
        </w:rPr>
        <w:t xml:space="preserve">verify</w:t>
      </w:r>
      <w:r>
        <w:t xml:space="preserve">,</w:t>
      </w:r>
      <w:r>
        <w:t xml:space="preserve"> </w:t>
      </w:r>
      <w:r>
        <w:rPr>
          <w:rStyle w:val="VerbatimChar"/>
        </w:rPr>
        <w:t xml:space="preserve">search</w:t>
      </w:r>
      <w:r>
        <w:t xml:space="preserve">,</w:t>
      </w:r>
      <w:r>
        <w:t xml:space="preserve"> </w:t>
      </w:r>
      <w:r>
        <w:rPr>
          <w:rStyle w:val="VerbatimChar"/>
        </w:rPr>
        <w:t xml:space="preserve">stats</w:t>
      </w:r>
      <w:r>
        <w:t xml:space="preserve">) as additional patent-primitive operations alongside the existing seven-tool suite.</w:t>
      </w:r>
    </w:p>
    <w:bookmarkEnd w:id="32"/>
    <w:bookmarkStart w:id="33" w:name="Xf50cd50fb1d35ec4469a04497516e4becae482e"/>
    <w:p>
      <w:pPr>
        <w:pStyle w:val="Heading4"/>
      </w:pPr>
      <w:r>
        <w:t xml:space="preserve">1.3.3 Competitive Position and Market Entry Timing</w:t>
      </w:r>
    </w:p>
    <w:p>
      <w:pPr>
        <w:pStyle w:val="FirstParagraph"/>
      </w:pPr>
      <w:r>
        <w:t xml:space="preserve">The current OpenPatent website (</w:t>
      </w:r>
      <w:r>
        <w:rPr>
          <w:rStyle w:val="VerbatimChar"/>
        </w:rPr>
        <w:t xml:space="preserve">openpatent.techtank.com.tr</w:t>
      </w:r>
      <w:r>
        <w:t xml:space="preserve">) generates minimal competitive SEO presence in English-language patent tool searches. Domain authority metrics for Turkish</w:t>
      </w:r>
      <w:r>
        <w:t xml:space="preserve"> </w:t>
      </w:r>
      <w:r>
        <w:rPr>
          <w:rStyle w:val="VerbatimChar"/>
        </w:rPr>
        <w:t xml:space="preserve">.com.tr</w:t>
      </w:r>
      <w:r>
        <w:t xml:space="preserve"> </w:t>
      </w:r>
      <w:r>
        <w:t xml:space="preserve">subdomains targeting English keywords are typically suppressed in Google U.S. and European search rankings[^16^]. This SEO vacuum creates a first-mover opportunity for a properly capitalized fork targeting English-speaking patent practitioners — the largest addressable market for patent tools, representing approximately 45% of global patent filings[^17^].</w:t>
      </w:r>
    </w:p>
    <w:p>
      <w:pPr>
        <w:pStyle w:val="BodyText"/>
      </w:pPr>
      <w:r>
        <w:t xml:space="preserve">The Tech Tank team’s Turkey-based operation likely imposes timezone and language constraints on support and community engagement. A fork operated by a U.S.- or EU-based entity with native English documentation, responsive support channels, and targeted content marketing could capture the market segment that the original project structurally cannot reach. The 25-star repository, while early-stage, has validated product-market fit within a niche technical audience — the strategic imperative is now scaling that validation to a global practitioner base through the PatentMCP integration and professionalized distribution.</w:t>
      </w:r>
    </w:p>
    <w:p>
      <w:r>
        <w:pict>
          <v:rect style="width:0;height:1.5pt" o:hralign="center" o:hrstd="t" o:hr="t"/>
        </w:pict>
      </w:r>
    </w:p>
    <w:bookmarkEnd w:id="33"/>
    <w:bookmarkEnd w:id="34"/>
    <w:bookmarkEnd w:id="35"/>
    <w:bookmarkStart w:id="53" w:name="competitive-landscape-market-opportunity"/>
    <w:p>
      <w:pPr>
        <w:pStyle w:val="Heading2"/>
      </w:pPr>
      <w:r>
        <w:t xml:space="preserve">2. Competitive Landscape &amp; Market Opportunity</w:t>
      </w:r>
    </w:p>
    <w:bookmarkStart w:id="39" w:name="direct-competitors"/>
    <w:p>
      <w:pPr>
        <w:pStyle w:val="Heading3"/>
      </w:pPr>
      <w:r>
        <w:t xml:space="preserve">2.1 Direct Competitors</w:t>
      </w:r>
    </w:p>
    <w:p>
      <w:pPr>
        <w:pStyle w:val="FirstParagraph"/>
      </w:pPr>
      <w:r>
        <w:t xml:space="preserve">The defensive publication and prior-art disclosure space is sparsely populated, but three incumbents directly address the problem of proving existence and priority of intellectual property without filing full patent applications. Each occupies a distinct position on the pricing–accessibility spectrum, and none combines AI-assisted drafting with open-source distribution.</w:t>
      </w:r>
    </w:p>
    <w:bookmarkStart w:id="36" w:name="bernstein.io"/>
    <w:p>
      <w:pPr>
        <w:pStyle w:val="Heading4"/>
      </w:pPr>
      <w:r>
        <w:t xml:space="preserve">2.1.1 Bernstein.io</w:t>
      </w:r>
    </w:p>
    <w:p>
      <w:pPr>
        <w:pStyle w:val="FirstParagraph"/>
      </w:pPr>
      <w:r>
        <w:t xml:space="preserve">Bernstein, operated by IP Leveraged SAS and headquartered in Strasbourg, France, has anchored blockchain-based IP protection since its founding in Munich in 2016[^662^]. The platform implements a zero-knowledge architecture in which files are encrypted client-side before upload; only SHA-256 cryptographic fingerprints reach the Bitcoin blockchain, ensuring that neither Bernstein nor any third party can access the underlying content[^663^]. Bernstein’s evidentiary stack employs triple-layer anchoring: Bitcoin blockchain timestamps, EU Qualified Timestamp Authority certificates under the eIDAS regulation, and China Timestamp Authority recognition[^662^]. This multi-jurisdictional coverage produces court-ready certificates designed for admissibility across civil-law and common-law jurisdictions.</w:t>
      </w:r>
    </w:p>
    <w:p>
      <w:pPr>
        <w:pStyle w:val="BodyText"/>
      </w:pPr>
      <w:r>
        <w:t xml:space="preserve">Bernstein’s target market spans creators, law firms, accelerators, and enterprises across more than 50 countries[^667^]. The company also offers a white-label edition for accelerators and incubators, providing custom-branded IP certification dashboards with portfolio-level analytics[^672^]. However, Bernstein does not publish pricing, and its onboarding complexity—requiring users to understand encryption key management and blockchain verification workflows—positions it as an enterprise-grade solution rather than a tool accessible to individual developers or small open-source teams[^663^]. The platform focuses on</w:t>
      </w:r>
      <w:r>
        <w:t xml:space="preserve"> </w:t>
      </w:r>
      <w:r>
        <w:rPr>
          <w:iCs/>
          <w:i/>
        </w:rPr>
        <w:t xml:space="preserve">certification and timestamping</w:t>
      </w:r>
      <w:r>
        <w:t xml:space="preserve"> </w:t>
      </w:r>
      <w:r>
        <w:t xml:space="preserve">of existing files; it does not offer AI-assisted drafting of defensive publications or prior-art disclosures, nor is any component of its stack open source.</w:t>
      </w:r>
    </w:p>
    <w:bookmarkEnd w:id="36"/>
    <w:bookmarkStart w:id="37" w:name="timeproof"/>
    <w:p>
      <w:pPr>
        <w:pStyle w:val="Heading4"/>
      </w:pPr>
      <w:r>
        <w:t xml:space="preserve">2.1.2 TimeProof</w:t>
      </w:r>
    </w:p>
    <w:p>
      <w:pPr>
        <w:pStyle w:val="FirstParagraph"/>
      </w:pPr>
      <w:r>
        <w:t xml:space="preserve">TimeProof operates on the Polygon blockchain, delivering approximately two-second confirmation times for timestamp transactions[^660^]. Like Bernstein, TimeProof uses client-side SHA-256 hashing so that files never leave the user’s device; only the 64-character hash string is anchored to the public Polygon blockchain, where it can be independently verified on Polygonscan without requiring a TimeProof account[^660^].</w:t>
      </w:r>
    </w:p>
    <w:p>
      <w:pPr>
        <w:pStyle w:val="BodyText"/>
      </w:pPr>
      <w:r>
        <w:t xml:space="preserve">TimeProof’s pricing model departs meaningfully from Bernstein’s opaque enterprise structure. The service offers both one-time credit packs and monthly subscription plans, with two timestamp tiers: scheduled timestamps at one credit per file and verified instant timestamps at two credits per file[^660^]. Its Legal-Grade upgrade adds a Courtroom-Ready PDF presentation, JSON metadata for machine-readable verification, JWS (JSON Web Signature) identity attestation through a public JWKS endpoint, and a complete Evidence ZIP bundle containing Merkle proofs and verification guides[^660^]. The absence of gas fees—Polygon’s low-cost infrastructure absorbs transaction costs—removes a friction point that has limited Ethereum-based timestamping adoption.</w:t>
      </w:r>
    </w:p>
    <w:p>
      <w:pPr>
        <w:pStyle w:val="BodyText"/>
      </w:pPr>
      <w:r>
        <w:t xml:space="preserve">Despite these accessibility advantages, TimeProof remains a timestamping-only service. It does not draft defensive publications, does not integrate with patent search workflows, and offers no open-source components that developers can embed into CI/CD pipelines or legal automation systems[^660^].</w:t>
      </w:r>
    </w:p>
    <w:bookmarkEnd w:id="37"/>
    <w:bookmarkStart w:id="38" w:name="ip.com-prior-art-database"/>
    <w:p>
      <w:pPr>
        <w:pStyle w:val="Heading4"/>
      </w:pPr>
      <w:r>
        <w:t xml:space="preserve">2.1.3 IP.com Prior Art Database</w:t>
      </w:r>
    </w:p>
    <w:p>
      <w:pPr>
        <w:pStyle w:val="FirstParagraph"/>
      </w:pPr>
      <w:r>
        <w:t xml:space="preserve">IP.com’s Prior Art Database represents the dominant commercial venue for defensive publications, with more than 200,000 defensive publications on record. The platform serves corporations and research institutions seeking to publish prior art that can be discovered by patent examiners during prosecution, thereby blocking competitors from obtaining overlapping patents. IP.com’s offering is entirely proprietary, priced at enterprise levels, and provides no open-source alternative for teams seeking to publish defensive prior art without vendor lock-in or recurring licensing fees.</w:t>
      </w:r>
    </w:p>
    <w:p>
      <w:pPr>
        <w:pStyle w:val="BodyText"/>
      </w:pPr>
      <w:r>
        <w:t xml:space="preserve">The defensive publication workflow on IP.com is disconnected from the drafting process: inventors typically write disclosures in word processors or documentation systems, then upload finished documents to the database. There is no integrated AI drafting assistant, no blockchain-based timestamping layer, and no API designed for integration with modern development toolchains. For open-source projects and indie developers, this model is economically inaccessible and technically incompatible with automated governance workflows.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Bernstein.io</w:t>
            </w:r>
          </w:p>
        </w:tc>
        <w:tc>
          <w:tcPr/>
          <w:p>
            <w:pPr>
              <w:pStyle w:val="Compact"/>
              <w:jc w:val="left"/>
            </w:pPr>
            <w:r>
              <w:t xml:space="preserve">TimeProof</w:t>
            </w:r>
          </w:p>
        </w:tc>
        <w:tc>
          <w:tcPr/>
          <w:p>
            <w:pPr>
              <w:pStyle w:val="Compact"/>
              <w:jc w:val="left"/>
            </w:pPr>
            <w:r>
              <w:t xml:space="preserve">IP.com Prior Art Database</w:t>
            </w:r>
          </w:p>
        </w:tc>
      </w:tr>
      <w:tr>
        <w:tc>
          <w:tcPr/>
          <w:p>
            <w:pPr>
              <w:pStyle w:val="Compact"/>
              <w:jc w:val="left"/>
            </w:pPr>
            <w:r>
              <w:t xml:space="preserve">Blockchain Layer</w:t>
            </w:r>
          </w:p>
        </w:tc>
        <w:tc>
          <w:tcPr/>
          <w:p>
            <w:pPr>
              <w:pStyle w:val="Compact"/>
              <w:jc w:val="left"/>
            </w:pPr>
            <w:r>
              <w:t xml:space="preserve">Bitcoin[^662^]</w:t>
            </w:r>
          </w:p>
        </w:tc>
        <w:tc>
          <w:tcPr/>
          <w:p>
            <w:pPr>
              <w:pStyle w:val="Compact"/>
              <w:jc w:val="left"/>
            </w:pPr>
            <w:r>
              <w:t xml:space="preserve">Polygon[^660^]</w:t>
            </w:r>
          </w:p>
        </w:tc>
        <w:tc>
          <w:tcPr/>
          <w:p>
            <w:pPr>
              <w:pStyle w:val="Compact"/>
              <w:jc w:val="left"/>
            </w:pPr>
            <w:r>
              <w:t xml:space="preserve">None</w:t>
            </w:r>
          </w:p>
        </w:tc>
      </w:tr>
      <w:tr>
        <w:tc>
          <w:tcPr/>
          <w:p>
            <w:pPr>
              <w:pStyle w:val="Compact"/>
              <w:jc w:val="left"/>
            </w:pPr>
            <w:r>
              <w:t xml:space="preserve">Timestamp Speed</w:t>
            </w:r>
          </w:p>
        </w:tc>
        <w:tc>
          <w:tcPr/>
          <w:p>
            <w:pPr>
              <w:pStyle w:val="Compact"/>
              <w:jc w:val="left"/>
            </w:pPr>
            <w:r>
              <w:t xml:space="preserve">Minutes (Bitcoin block time)</w:t>
            </w:r>
          </w:p>
        </w:tc>
        <w:tc>
          <w:tcPr/>
          <w:p>
            <w:pPr>
              <w:pStyle w:val="Compact"/>
              <w:jc w:val="left"/>
            </w:pPr>
            <w:r>
              <w:t xml:space="preserve">~2 seconds[^660^]</w:t>
            </w:r>
          </w:p>
        </w:tc>
        <w:tc>
          <w:tcPr/>
          <w:p>
            <w:pPr>
              <w:pStyle w:val="Compact"/>
              <w:jc w:val="left"/>
            </w:pPr>
            <w:r>
              <w:t xml:space="preserve">N/A</w:t>
            </w:r>
          </w:p>
        </w:tc>
      </w:tr>
      <w:tr>
        <w:tc>
          <w:tcPr/>
          <w:p>
            <w:pPr>
              <w:pStyle w:val="Compact"/>
              <w:jc w:val="left"/>
            </w:pPr>
            <w:r>
              <w:t xml:space="preserve">Legal Recognition</w:t>
            </w:r>
          </w:p>
        </w:tc>
        <w:tc>
          <w:tcPr/>
          <w:p>
            <w:pPr>
              <w:pStyle w:val="Compact"/>
              <w:jc w:val="left"/>
            </w:pPr>
            <w:r>
              <w:t xml:space="preserve">EU eIDAS + China TSA[^662^]</w:t>
            </w:r>
          </w:p>
        </w:tc>
        <w:tc>
          <w:tcPr/>
          <w:p>
            <w:pPr>
              <w:pStyle w:val="Compact"/>
              <w:jc w:val="left"/>
            </w:pPr>
            <w:r>
              <w:t xml:space="preserve">Courtroom-Ready PDF + JWS[^660^]</w:t>
            </w:r>
          </w:p>
        </w:tc>
        <w:tc>
          <w:tcPr/>
          <w:p>
            <w:pPr>
              <w:pStyle w:val="Compact"/>
              <w:jc w:val="left"/>
            </w:pPr>
            <w:r>
              <w:t xml:space="preserve">USPTO-recognized prior art</w:t>
            </w:r>
          </w:p>
        </w:tc>
      </w:tr>
      <w:tr>
        <w:tc>
          <w:tcPr/>
          <w:p>
            <w:pPr>
              <w:pStyle w:val="Compact"/>
              <w:jc w:val="left"/>
            </w:pPr>
            <w:r>
              <w:t xml:space="preserve">AI Drafting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Open Source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Pricing Model</w:t>
            </w:r>
          </w:p>
        </w:tc>
        <w:tc>
          <w:tcPr/>
          <w:p>
            <w:pPr>
              <w:pStyle w:val="Compact"/>
              <w:jc w:val="left"/>
            </w:pPr>
            <w:r>
              <w:t xml:space="preserve">Enterprise (opaque)</w:t>
            </w:r>
          </w:p>
        </w:tc>
        <w:tc>
          <w:tcPr/>
          <w:p>
            <w:pPr>
              <w:pStyle w:val="Compact"/>
              <w:jc w:val="left"/>
            </w:pPr>
            <w:r>
              <w:t xml:space="preserve">PAYG packs + monthly[^660^]</w:t>
            </w:r>
          </w:p>
        </w:tc>
        <w:tc>
          <w:tcPr/>
          <w:p>
            <w:pPr>
              <w:pStyle w:val="Compact"/>
              <w:jc w:val="left"/>
            </w:pPr>
            <w:r>
              <w:t xml:space="preserve">Enterprise only</w:t>
            </w:r>
          </w:p>
        </w:tc>
      </w:tr>
      <w:tr>
        <w:tc>
          <w:tcPr/>
          <w:p>
            <w:pPr>
              <w:pStyle w:val="Compact"/>
              <w:jc w:val="left"/>
            </w:pPr>
            <w:r>
              <w:t xml:space="preserve">File Privacy</w:t>
            </w:r>
          </w:p>
        </w:tc>
        <w:tc>
          <w:tcPr/>
          <w:p>
            <w:pPr>
              <w:pStyle w:val="Compact"/>
              <w:jc w:val="left"/>
            </w:pPr>
            <w:r>
              <w:t xml:space="preserve">Client-side encryption[^663^]</w:t>
            </w:r>
          </w:p>
        </w:tc>
        <w:tc>
          <w:tcPr/>
          <w:p>
            <w:pPr>
              <w:pStyle w:val="Compact"/>
              <w:jc w:val="left"/>
            </w:pPr>
            <w:r>
              <w:t xml:space="preserve">Client-side hashing[^660^]</w:t>
            </w:r>
          </w:p>
        </w:tc>
        <w:tc>
          <w:tcPr/>
          <w:p>
            <w:pPr>
              <w:pStyle w:val="Compact"/>
              <w:jc w:val="left"/>
            </w:pPr>
            <w:r>
              <w:t xml:space="preserve">Document upload</w:t>
            </w:r>
          </w:p>
        </w:tc>
      </w:tr>
      <w:tr>
        <w:tc>
          <w:tcPr/>
          <w:p>
            <w:pPr>
              <w:pStyle w:val="Compact"/>
              <w:jc w:val="left"/>
            </w:pPr>
            <w:r>
              <w:t xml:space="preserve">Defensive Publication</w:t>
            </w:r>
          </w:p>
        </w:tc>
        <w:tc>
          <w:tcPr/>
          <w:p>
            <w:pPr>
              <w:pStyle w:val="Compact"/>
              <w:jc w:val="left"/>
            </w:pPr>
            <w:r>
              <w:t xml:space="preserve">Timestamp only</w:t>
            </w:r>
          </w:p>
        </w:tc>
        <w:tc>
          <w:tcPr/>
          <w:p>
            <w:pPr>
              <w:pStyle w:val="Compact"/>
              <w:jc w:val="left"/>
            </w:pPr>
            <w:r>
              <w:t xml:space="preserve">Timestamp only</w:t>
            </w:r>
          </w:p>
        </w:tc>
        <w:tc>
          <w:tcPr/>
          <w:p>
            <w:pPr>
              <w:pStyle w:val="Compact"/>
              <w:jc w:val="left"/>
            </w:pPr>
            <w:r>
              <w:t xml:space="preserve">Full publication</w:t>
            </w:r>
          </w:p>
        </w:tc>
      </w:tr>
    </w:tbl>
    <w:p>
      <w:pPr>
        <w:pStyle w:val="BodyText"/>
      </w:pPr>
      <w:r>
        <w:t xml:space="preserve">The table above clarifies the competitive geometry: Bernstein maximizes legal robustness through multi-jurisdictional anchoring at the cost of accessibility; TimeProof maximizes speed and pricing flexibility at the cost of jurisdictional breadth; IP.com maximizes integration with the patent examination process at the cost of openness and affordability. None of the three addresses the full workflow from AI-assisted drafting through cryptographic disclosure to open-source distribution.</w:t>
      </w:r>
    </w:p>
    <w:bookmarkEnd w:id="38"/>
    <w:bookmarkEnd w:id="39"/>
    <w:bookmarkStart w:id="43" w:name="adjacent-players"/>
    <w:p>
      <w:pPr>
        <w:pStyle w:val="Heading3"/>
      </w:pPr>
      <w:r>
        <w:t xml:space="preserve">2.2 Adjacent Players</w:t>
      </w:r>
    </w:p>
    <w:p>
      <w:pPr>
        <w:pStyle w:val="FirstParagraph"/>
      </w:pPr>
      <w:r>
        <w:t xml:space="preserve">Beyond direct competitors, three categories of adjacent organizations shape the opportunity context for OpenPatent.ai: defensive patent pools that reduce litigation risk, IPR-based troll defense services that challenge invalid patents, and enterprise analytics platforms that dominate the closed-source patent intelligence market.</w:t>
      </w:r>
    </w:p>
    <w:bookmarkStart w:id="40" w:name="oinlinux-defenders"/>
    <w:p>
      <w:pPr>
        <w:pStyle w:val="Heading4"/>
      </w:pPr>
      <w:r>
        <w:t xml:space="preserve">2.2.1 OIN/Linux Defenders</w:t>
      </w:r>
    </w:p>
    <w:p>
      <w:pPr>
        <w:pStyle w:val="FirstParagraph"/>
      </w:pPr>
      <w:r>
        <w:t xml:space="preserve">The Open Invention Network (OIN) operates the world’s largest patent cross-license, with more than 4,000 community members holding over 3 million patents and applications globally, representing combined revenues exceeding $10 trillion[^640^]. OIN’s license agreement, recently updated to version 2.0, grants members royalty-free access to patents covering the Linux System definition—now encompassing more than 4,500 open-source packages across automotive, fintech, mobile communications, cloud, IoT, and embedded systems[^640^].</w:t>
      </w:r>
    </w:p>
    <w:p>
      <w:pPr>
        <w:pStyle w:val="BodyText"/>
      </w:pPr>
      <w:r>
        <w:t xml:space="preserve">OIN’s defensive toolkit extends beyond cross-licensing to include prior art sharing, inter partes review (IPR) proceedings, defensive patent purchases, and preissuance submissions to patent offices. Its LinuxDefenders911 program provides 24/7 assistance to open-source developers facing patent threats. Funded by Google, IBM/Red Hat, NEC, Philips, Sony, SUSE, and Toyota, OIN represents a potent institutional force for open-source patent defense[^640^]. However, OIN does not provide individual developers with tools to draft defensive publications or timestamp disclosures; its interventions are reactive and organizational rather than proactive and self-service.</w:t>
      </w:r>
    </w:p>
    <w:bookmarkEnd w:id="40"/>
    <w:bookmarkStart w:id="41" w:name="unified-patents"/>
    <w:p>
      <w:pPr>
        <w:pStyle w:val="Heading4"/>
      </w:pPr>
      <w:r>
        <w:t xml:space="preserve">2.2.2 Unified Patents</w:t>
      </w:r>
    </w:p>
    <w:p>
      <w:pPr>
        <w:pStyle w:val="FirstParagraph"/>
      </w:pPr>
      <w:r>
        <w:t xml:space="preserve">Unified Patents operates a subscription-based model through which technology companies and, increasingly, healthcare firms receive defense against non-practicing entity (NPE) patent assertions. The service conducts inter partes review proceedings, challenges patents in PTAB trials, and maintains an open-source prior art search platform (PQAI) that uses AI trained on patent citation data to identify relevant prior art[^665^].</w:t>
      </w:r>
    </w:p>
    <w:p>
      <w:pPr>
        <w:pStyle w:val="BodyText"/>
      </w:pPr>
      <w:r>
        <w:t xml:space="preserve">Unified Patents’ data illustrates the escalating NPE threat: patent trolls filed 370 cases against medical device companies in the first nine months of 2025, on pace to exceed the 512 cases filed in 2024 and the 385 filed in 2023[^643^]. Overall NPE case filings increased 15–20% between Q1 and Q2 of 2025 relative to the same period in 2024[^647^]. While Unified Patents provides defensive legal infrastructure, its subscription model targets mid-to-large technology companies, and its PQAI tool—though open source—addresses prior art</w:t>
      </w:r>
      <w:r>
        <w:t xml:space="preserve"> </w:t>
      </w:r>
      <w:r>
        <w:rPr>
          <w:iCs/>
          <w:i/>
        </w:rPr>
        <w:t xml:space="preserve">search</w:t>
      </w:r>
      <w:r>
        <w:t xml:space="preserve"> </w:t>
      </w:r>
      <w:r>
        <w:t xml:space="preserve">rather than prior art</w:t>
      </w:r>
      <w:r>
        <w:t xml:space="preserve"> </w:t>
      </w:r>
      <w:r>
        <w:rPr>
          <w:iCs/>
          <w:i/>
        </w:rPr>
        <w:t xml:space="preserve">publication</w:t>
      </w:r>
      <w:r>
        <w:t xml:space="preserve"> </w:t>
      </w:r>
      <w:r>
        <w:t xml:space="preserve">or</w:t>
      </w:r>
      <w:r>
        <w:t xml:space="preserve"> </w:t>
      </w:r>
      <w:r>
        <w:rPr>
          <w:iCs/>
          <w:i/>
        </w:rPr>
        <w:t xml:space="preserve">disclosure</w:t>
      </w:r>
      <w:r>
        <w:t xml:space="preserve"> </w:t>
      </w:r>
      <w:r>
        <w:t xml:space="preserve">workflows.</w:t>
      </w:r>
    </w:p>
    <w:bookmarkEnd w:id="41"/>
    <w:bookmarkStart w:id="42" w:name="enterprise-analytics-platforms"/>
    <w:p>
      <w:pPr>
        <w:pStyle w:val="Heading4"/>
      </w:pPr>
      <w:r>
        <w:t xml:space="preserve">2.2.3 Enterprise Analytics Platforms</w:t>
      </w:r>
    </w:p>
    <w:p>
      <w:pPr>
        <w:pStyle w:val="FirstParagraph"/>
      </w:pPr>
      <w:r>
        <w:t xml:space="preserve">The patent analytics market is dominated by closed-source, enterprise-only platforms. PatSnap, which has raised over $300 million in funding, indexes more than 180 million patent documents across 170 jurisdictions and offers LLM-powered semantic search; its pricing starts at approximately $15,000 per year for single-seat licenses and scales to $80,000+ for enterprise tiers with API access[^650^]. Questel, Clarivate (Derwent, Cortellis), LexisNexis, Innography, and other incumbents occupy comparable positions, with average platform costs of $48,000 per year across the category[^650^].</w:t>
      </w:r>
    </w:p>
    <w:p>
      <w:pPr>
        <w:pStyle w:val="BodyText"/>
      </w:pPr>
      <w:r>
        <w:t xml:space="preserve">These platforms are designed for patent professionals conducting landscape analysis, portfolio management, and competitive intelligence—not for developers seeking to document and disclose prior art defensively. Their closed-source architecture, complex interfaces, and enterprise pricing create a structural barrier to adoption by open-source teams, indie developers, and early-stage startups.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Organization</w:t>
            </w:r>
          </w:p>
        </w:tc>
        <w:tc>
          <w:tcPr/>
          <w:p>
            <w:pPr>
              <w:pStyle w:val="Compact"/>
              <w:jc w:val="left"/>
            </w:pPr>
            <w:r>
              <w:t xml:space="preserve">Model</w:t>
            </w:r>
          </w:p>
        </w:tc>
        <w:tc>
          <w:tcPr/>
          <w:p>
            <w:pPr>
              <w:pStyle w:val="Compact"/>
              <w:jc w:val="left"/>
            </w:pPr>
            <w:r>
              <w:t xml:space="preserve">Scale</w:t>
            </w:r>
          </w:p>
        </w:tc>
        <w:tc>
          <w:tcPr/>
          <w:p>
            <w:pPr>
              <w:pStyle w:val="Compact"/>
              <w:jc w:val="left"/>
            </w:pPr>
            <w:r>
              <w:t xml:space="preserve">Open Source</w:t>
            </w:r>
          </w:p>
        </w:tc>
        <w:tc>
          <w:tcPr/>
          <w:p>
            <w:pPr>
              <w:pStyle w:val="Compact"/>
              <w:jc w:val="left"/>
            </w:pPr>
            <w:r>
              <w:t xml:space="preserve">Target User</w:t>
            </w:r>
          </w:p>
        </w:tc>
      </w:tr>
      <w:tr>
        <w:tc>
          <w:tcPr/>
          <w:p>
            <w:pPr>
              <w:pStyle w:val="Compact"/>
              <w:jc w:val="left"/>
            </w:pPr>
            <w:r>
              <w:t xml:space="preserve">OIN</w:t>
            </w:r>
          </w:p>
        </w:tc>
        <w:tc>
          <w:tcPr/>
          <w:p>
            <w:pPr>
              <w:pStyle w:val="Compact"/>
              <w:jc w:val="left"/>
            </w:pPr>
            <w:r>
              <w:t xml:space="preserve">Defensive patent pool</w:t>
            </w:r>
          </w:p>
        </w:tc>
        <w:tc>
          <w:tcPr/>
          <w:p>
            <w:pPr>
              <w:pStyle w:val="Compact"/>
              <w:jc w:val="left"/>
            </w:pPr>
            <w:r>
              <w:t xml:space="preserve">4,000+ members; 3M+ patents[^640^]</w:t>
            </w:r>
          </w:p>
        </w:tc>
        <w:tc>
          <w:tcPr/>
          <w:p>
            <w:pPr>
              <w:pStyle w:val="Compact"/>
              <w:jc w:val="left"/>
            </w:pPr>
            <w:r>
              <w:t xml:space="preserve">No (membership-based)</w:t>
            </w:r>
          </w:p>
        </w:tc>
        <w:tc>
          <w:tcPr/>
          <w:p>
            <w:pPr>
              <w:pStyle w:val="Compact"/>
              <w:jc w:val="left"/>
            </w:pPr>
            <w:r>
              <w:t xml:space="preserve">Open-source projects &amp; corporations</w:t>
            </w:r>
          </w:p>
        </w:tc>
      </w:tr>
      <w:tr>
        <w:tc>
          <w:tcPr/>
          <w:p>
            <w:pPr>
              <w:pStyle w:val="Compact"/>
              <w:jc w:val="left"/>
            </w:pPr>
            <w:r>
              <w:t xml:space="preserve">Unified Patents</w:t>
            </w:r>
          </w:p>
        </w:tc>
        <w:tc>
          <w:tcPr/>
          <w:p>
            <w:pPr>
              <w:pStyle w:val="Compact"/>
              <w:jc w:val="left"/>
            </w:pPr>
            <w:r>
              <w:t xml:space="preserve">Subscription NPE defense</w:t>
            </w:r>
          </w:p>
        </w:tc>
        <w:tc>
          <w:tcPr/>
          <w:p>
            <w:pPr>
              <w:pStyle w:val="Compact"/>
              <w:jc w:val="left"/>
            </w:pPr>
            <w:r>
              <w:t xml:space="preserve">15–20% increase in NPE cases in 2025[^647^]</w:t>
            </w:r>
          </w:p>
        </w:tc>
        <w:tc>
          <w:tcPr/>
          <w:p>
            <w:pPr>
              <w:pStyle w:val="Compact"/>
              <w:jc w:val="left"/>
            </w:pPr>
            <w:r>
              <w:t xml:space="preserve">Partial (PQAI search)</w:t>
            </w:r>
          </w:p>
        </w:tc>
        <w:tc>
          <w:tcPr/>
          <w:p>
            <w:pPr>
              <w:pStyle w:val="Compact"/>
              <w:jc w:val="left"/>
            </w:pPr>
            <w:r>
              <w:t xml:space="preserve">Tech companies, healthcare firms</w:t>
            </w:r>
          </w:p>
        </w:tc>
      </w:tr>
      <w:tr>
        <w:tc>
          <w:tcPr/>
          <w:p>
            <w:pPr>
              <w:pStyle w:val="Compact"/>
              <w:jc w:val="left"/>
            </w:pPr>
            <w:r>
              <w:t xml:space="preserve">PatSnap</w:t>
            </w:r>
          </w:p>
        </w:tc>
        <w:tc>
          <w:tcPr/>
          <w:p>
            <w:pPr>
              <w:pStyle w:val="Compact"/>
              <w:jc w:val="left"/>
            </w:pPr>
            <w:r>
              <w:t xml:space="preserve">Enterprise analytics</w:t>
            </w:r>
          </w:p>
        </w:tc>
        <w:tc>
          <w:tcPr/>
          <w:p>
            <w:pPr>
              <w:pStyle w:val="Compact"/>
              <w:jc w:val="left"/>
            </w:pPr>
            <w:r>
              <w:t xml:space="preserve">$300M+ funding; 180M+ patents[^650^]</w:t>
            </w:r>
          </w:p>
        </w:tc>
        <w:tc>
          <w:tcPr/>
          <w:p>
            <w:pPr>
              <w:pStyle w:val="Compact"/>
              <w:jc w:val="left"/>
            </w:pPr>
            <w:r>
              <w:t xml:space="preserve">No</w:t>
            </w:r>
          </w:p>
        </w:tc>
        <w:tc>
          <w:tcPr/>
          <w:p>
            <w:pPr>
              <w:pStyle w:val="Compact"/>
              <w:jc w:val="left"/>
            </w:pPr>
            <w:r>
              <w:t xml:space="preserve">Large enterprises, law firms</w:t>
            </w:r>
          </w:p>
        </w:tc>
      </w:tr>
      <w:tr>
        <w:tc>
          <w:tcPr/>
          <w:p>
            <w:pPr>
              <w:pStyle w:val="Compact"/>
              <w:jc w:val="left"/>
            </w:pPr>
            <w:r>
              <w:t xml:space="preserve">Questel/Clarivate</w:t>
            </w:r>
          </w:p>
        </w:tc>
        <w:tc>
          <w:tcPr/>
          <w:p>
            <w:pPr>
              <w:pStyle w:val="Compact"/>
              <w:jc w:val="left"/>
            </w:pPr>
            <w:r>
              <w:t xml:space="preserve">Enterprise analytics</w:t>
            </w:r>
          </w:p>
        </w:tc>
        <w:tc>
          <w:tcPr/>
          <w:p>
            <w:pPr>
              <w:pStyle w:val="Compact"/>
              <w:jc w:val="left"/>
            </w:pPr>
            <w:r>
              <w:t xml:space="preserve">Market incumbents</w:t>
            </w:r>
          </w:p>
        </w:tc>
        <w:tc>
          <w:tcPr/>
          <w:p>
            <w:pPr>
              <w:pStyle w:val="Compact"/>
              <w:jc w:val="left"/>
            </w:pPr>
            <w:r>
              <w:t xml:space="preserve">No</w:t>
            </w:r>
          </w:p>
        </w:tc>
        <w:tc>
          <w:tcPr/>
          <w:p>
            <w:pPr>
              <w:pStyle w:val="Compact"/>
              <w:jc w:val="left"/>
            </w:pPr>
            <w:r>
              <w:t xml:space="preserve">Large enterprises</w:t>
            </w:r>
          </w:p>
        </w:tc>
      </w:tr>
    </w:tbl>
    <w:p>
      <w:pPr>
        <w:pStyle w:val="BodyText"/>
      </w:pPr>
      <w:r>
        <w:t xml:space="preserve">This table reveals a consistent pattern: adjacent players provide valuable defensive infrastructure, but none offers an accessible, open-source, pay-as-you-go solution for the complete defensive publication workflow—from AI-assisted drafting through cryptographic disclosure to verifiable prior-art publication.</w:t>
      </w:r>
    </w:p>
    <w:bookmarkEnd w:id="42"/>
    <w:bookmarkEnd w:id="43"/>
    <w:bookmarkStart w:id="48" w:name="market-sizing"/>
    <w:p>
      <w:pPr>
        <w:pStyle w:val="Heading3"/>
      </w:pPr>
      <w:r>
        <w:t xml:space="preserve">2.3 Market Sizing</w:t>
      </w:r>
    </w:p>
    <w:bookmarkStart w:id="44" w:name="ip-software-market"/>
    <w:p>
      <w:pPr>
        <w:pStyle w:val="Heading4"/>
      </w:pPr>
      <w:r>
        <w:t xml:space="preserve">2.3.1 IP Software Market</w:t>
      </w:r>
    </w:p>
    <w:p>
      <w:pPr>
        <w:pStyle w:val="FirstParagraph"/>
      </w:pPr>
      <w:r>
        <w:t xml:space="preserve">The intellectual property software market is expanding across multiple independent estimates, all indicating sustained double-digit growth. Technavio projects $9.33 billion in incremental growth between 2025 and 2030 at a 19.7% CAGR, with North America contributing 38.2% of total growth[^636^]. Market Research Future (MRFR) estimates the market at $11.98 billion in 2024, reaching $32.94 billion by 2035 at a 9.63% CAGR[^644^]. Fortune Business Insights places the 2025 market at $14.06 billion and projects $42.53 billion by 2034 at a 13.09% CAGR[^648^]. Grand View Research estimates $12.30 billion in 2024 growing to $24.82 billion by 2030 at 12.9% CAGR[^646^].</w:t>
      </w:r>
    </w:p>
    <w:p>
      <w:pPr>
        <w:pStyle w:val="BodyText"/>
      </w:pPr>
      <w:r>
        <w:t xml:space="preserve">The on-premises segment alone was valued at $3.09 billion in 2024, while cloud deployment represents the fastest-growing segment[^636^]. Software-as-a-Service delivery models are capturing share from traditional on-premise installations, creating openings for new entrants with cloud-native architectures.</w:t>
      </w:r>
    </w:p>
    <w:bookmarkEnd w:id="44"/>
    <w:bookmarkStart w:id="45" w:name="patent-analytics-market"/>
    <w:p>
      <w:pPr>
        <w:pStyle w:val="Heading4"/>
      </w:pPr>
      <w:r>
        <w:t xml:space="preserve">2.3.2 Patent Analytics Market</w:t>
      </w:r>
    </w:p>
    <w:p>
      <w:pPr>
        <w:pStyle w:val="FirstParagraph"/>
      </w:pPr>
      <w:r>
        <w:t xml:space="preserve">Patent analytics—a subsegment directly relevant to OpenPatent.ai’s disclosure and search capabilities—shows similarly robust growth. IMARC Group values the market at $1.4 billion in 2025, projecting $3.6 billion by 2034 at a 10.51% CAGR[^633^]. North America held a 40.6% share in 2025, worth approximately $512.6 million[^634^]. MRFR offers a substantially larger estimate—$6.688 billion in 2024 growing to $15.69 billion by 2035 at 8.06% CAGR[^632^]—reflecting a broader definition of the category that includes full-service IP platforms. SkyQuest provides a mid-range estimate of $1.27 billion (2024) growing to $3.84 billion by 2033 at 13.1% CAGR[^642^].</w:t>
      </w:r>
    </w:p>
    <w:p>
      <w:pPr>
        <w:pStyle w:val="BodyText"/>
      </w:pPr>
      <w:r>
        <w:t xml:space="preserve">The variance in market size estimates—ranging from roughly $1.3 billion to $6.7 billion for 2024—reflects definitional differences: IMARC and SkyQuest focus narrowly on analytics software and services, while MRFR encompasses integrated IP management platforms with embedded analytics. For OpenPatent.ai, the relevant implication is that the analytics subsegment is large enough to support multiple entrants and growing fast enough to reward early positioning.</w:t>
      </w:r>
    </w:p>
    <w:bookmarkEnd w:id="45"/>
    <w:bookmarkStart w:id="46" w:name="defensive-publication-niche"/>
    <w:p>
      <w:pPr>
        <w:pStyle w:val="Heading4"/>
      </w:pPr>
      <w:r>
        <w:t xml:space="preserve">2.3.3 Defensive Publication Niche</w:t>
      </w:r>
    </w:p>
    <w:p>
      <w:pPr>
        <w:pStyle w:val="FirstParagraph"/>
      </w:pPr>
      <w:r>
        <w:t xml:space="preserve">Within the broader IP software market, the defensive publication niche—comprising tools for publishing prior art, timestamping disclosures, and managing defensive disclosure workflows—represents an estimated $200–500 million addressable segment. This estimate derives from the intersection of patent analytics spend allocated to invalidity search and freedom-to-operate analysis (approximately 15–20% of total analytics expenditure) with the subset of organizations actively publishing defensive prior art. No open-source, pay-as-you-go player currently competes in this space. IP.com’s proprietary database dominates the traditional defensive publication channel, while Bernstein and TimeProof address the adjacent timestamping use case without integrating drafting, disclosure, and publication into a unified workflow.</w:t>
      </w:r>
    </w:p>
    <w:p>
      <w:pPr>
        <w:pStyle w:val="BodyText"/>
      </w:pPr>
      <w:r>
        <w:t xml:space="preserve">The opportunity is amplified by structural growth in the underlying activity base. Global patent applications reached a record 3.7 million filings in 2024, a 4.9% increase from 2023 and the fifth consecutive year of expansion[^651^]. China accounted for 1.8 million applications (48.2% of the global total), the United States for 501,831 (13.5%), and Japan for 419,132 (11.3%)[^653^]. India posted the fastest growth among major origins at 19.1%[^656^]. Patent families in force worldwide grew 6% in 2024 to reach an estimated 19.7 million, with China holding 5.7 million, the United States 3.5 million, and Japan 2.1 million[^651^]. Each additional patent filing expands the universe of potential defensive publications and prior-art disclosures.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Market Segment</w:t>
            </w:r>
          </w:p>
        </w:tc>
        <w:tc>
          <w:tcPr/>
          <w:p>
            <w:pPr>
              <w:pStyle w:val="Compact"/>
              <w:jc w:val="left"/>
            </w:pPr>
            <w:r>
              <w:t xml:space="preserve">2024/2025 Value</w:t>
            </w:r>
          </w:p>
        </w:tc>
        <w:tc>
          <w:tcPr/>
          <w:p>
            <w:pPr>
              <w:pStyle w:val="Compact"/>
              <w:jc w:val="left"/>
            </w:pPr>
            <w:r>
              <w:t xml:space="preserve">2030/2034/2035 Projection</w:t>
            </w:r>
          </w:p>
        </w:tc>
        <w:tc>
          <w:tcPr/>
          <w:p>
            <w:pPr>
              <w:pStyle w:val="Compact"/>
              <w:jc w:val="left"/>
            </w:pPr>
            <w:r>
              <w:t xml:space="preserve">CAGR</w:t>
            </w:r>
          </w:p>
        </w:tc>
        <w:tc>
          <w:tcPr/>
          <w:p>
            <w:pPr>
              <w:pStyle w:val="Compact"/>
              <w:jc w:val="left"/>
            </w:pPr>
            <w:r>
              <w:t xml:space="preserve">Source</w:t>
            </w:r>
          </w:p>
        </w:tc>
      </w:tr>
      <w:tr>
        <w:tc>
          <w:tcPr/>
          <w:p>
            <w:pPr>
              <w:pStyle w:val="Compact"/>
              <w:jc w:val="left"/>
            </w:pPr>
            <w:r>
              <w:t xml:space="preserve">IP Software (Technavio)</w:t>
            </w:r>
          </w:p>
        </w:tc>
        <w:tc>
          <w:tcPr/>
          <w:p>
            <w:pPr>
              <w:pStyle w:val="Compact"/>
              <w:jc w:val="left"/>
            </w:pPr>
            <w:r>
              <w:t xml:space="preserve">$9.33B incremental growth 2025–2030</w:t>
            </w:r>
          </w:p>
        </w:tc>
        <w:tc>
          <w:tcPr/>
          <w:p>
            <w:pPr>
              <w:pStyle w:val="Compact"/>
              <w:jc w:val="left"/>
            </w:pPr>
            <w:r>
              <w:t xml:space="preserve">—</w:t>
            </w:r>
          </w:p>
        </w:tc>
        <w:tc>
          <w:tcPr/>
          <w:p>
            <w:pPr>
              <w:pStyle w:val="Compact"/>
              <w:jc w:val="left"/>
            </w:pPr>
            <w:r>
              <w:t xml:space="preserve">19.7%</w:t>
            </w:r>
          </w:p>
        </w:tc>
        <w:tc>
          <w:tcPr/>
          <w:p>
            <w:pPr>
              <w:pStyle w:val="Compact"/>
              <w:jc w:val="left"/>
            </w:pPr>
            <w:r>
              <w:t xml:space="preserve">Technavio[^636^]</w:t>
            </w:r>
          </w:p>
        </w:tc>
      </w:tr>
      <w:tr>
        <w:tc>
          <w:tcPr/>
          <w:p>
            <w:pPr>
              <w:pStyle w:val="Compact"/>
              <w:jc w:val="left"/>
            </w:pPr>
            <w:r>
              <w:t xml:space="preserve">IP Software (MRFR)</w:t>
            </w:r>
          </w:p>
        </w:tc>
        <w:tc>
          <w:tcPr/>
          <w:p>
            <w:pPr>
              <w:pStyle w:val="Compact"/>
              <w:jc w:val="left"/>
            </w:pPr>
            <w:r>
              <w:t xml:space="preserve">$11.98B (2024)</w:t>
            </w:r>
          </w:p>
        </w:tc>
        <w:tc>
          <w:tcPr/>
          <w:p>
            <w:pPr>
              <w:pStyle w:val="Compact"/>
              <w:jc w:val="left"/>
            </w:pPr>
            <w:r>
              <w:t xml:space="preserve">$32.94B (2035)</w:t>
            </w:r>
          </w:p>
        </w:tc>
        <w:tc>
          <w:tcPr/>
          <w:p>
            <w:pPr>
              <w:pStyle w:val="Compact"/>
              <w:jc w:val="left"/>
            </w:pPr>
            <w:r>
              <w:t xml:space="preserve">9.63%</w:t>
            </w:r>
          </w:p>
        </w:tc>
        <w:tc>
          <w:tcPr/>
          <w:p>
            <w:pPr>
              <w:pStyle w:val="Compact"/>
              <w:jc w:val="left"/>
            </w:pPr>
            <w:r>
              <w:t xml:space="preserve">MRFR[^644^]</w:t>
            </w:r>
          </w:p>
        </w:tc>
      </w:tr>
      <w:tr>
        <w:tc>
          <w:tcPr/>
          <w:p>
            <w:pPr>
              <w:pStyle w:val="Compact"/>
              <w:jc w:val="left"/>
            </w:pPr>
            <w:r>
              <w:t xml:space="preserve">IP Software (Fortune BI)</w:t>
            </w:r>
          </w:p>
        </w:tc>
        <w:tc>
          <w:tcPr/>
          <w:p>
            <w:pPr>
              <w:pStyle w:val="Compact"/>
              <w:jc w:val="left"/>
            </w:pPr>
            <w:r>
              <w:t xml:space="preserve">$14.06B (2025)</w:t>
            </w:r>
          </w:p>
        </w:tc>
        <w:tc>
          <w:tcPr/>
          <w:p>
            <w:pPr>
              <w:pStyle w:val="Compact"/>
              <w:jc w:val="left"/>
            </w:pPr>
            <w:r>
              <w:t xml:space="preserve">$42.53B (2034)</w:t>
            </w:r>
          </w:p>
        </w:tc>
        <w:tc>
          <w:tcPr/>
          <w:p>
            <w:pPr>
              <w:pStyle w:val="Compact"/>
              <w:jc w:val="left"/>
            </w:pPr>
            <w:r>
              <w:t xml:space="preserve">13.09%</w:t>
            </w:r>
          </w:p>
        </w:tc>
        <w:tc>
          <w:tcPr/>
          <w:p>
            <w:pPr>
              <w:pStyle w:val="Compact"/>
              <w:jc w:val="left"/>
            </w:pPr>
            <w:r>
              <w:t xml:space="preserve">Fortune BI[^648^]</w:t>
            </w:r>
          </w:p>
        </w:tc>
      </w:tr>
      <w:tr>
        <w:tc>
          <w:tcPr/>
          <w:p>
            <w:pPr>
              <w:pStyle w:val="Compact"/>
              <w:jc w:val="left"/>
            </w:pPr>
            <w:r>
              <w:t xml:space="preserve">Patent Analytics (IMARC)</w:t>
            </w:r>
          </w:p>
        </w:tc>
        <w:tc>
          <w:tcPr/>
          <w:p>
            <w:pPr>
              <w:pStyle w:val="Compact"/>
              <w:jc w:val="left"/>
            </w:pPr>
            <w:r>
              <w:t xml:space="preserve">$1.4B (2025)</w:t>
            </w:r>
          </w:p>
        </w:tc>
        <w:tc>
          <w:tcPr/>
          <w:p>
            <w:pPr>
              <w:pStyle w:val="Compact"/>
              <w:jc w:val="left"/>
            </w:pPr>
            <w:r>
              <w:t xml:space="preserve">$3.6B (2034)</w:t>
            </w:r>
          </w:p>
        </w:tc>
        <w:tc>
          <w:tcPr/>
          <w:p>
            <w:pPr>
              <w:pStyle w:val="Compact"/>
              <w:jc w:val="left"/>
            </w:pPr>
            <w:r>
              <w:t xml:space="preserve">10.51%</w:t>
            </w:r>
          </w:p>
        </w:tc>
        <w:tc>
          <w:tcPr/>
          <w:p>
            <w:pPr>
              <w:pStyle w:val="Compact"/>
              <w:jc w:val="left"/>
            </w:pPr>
            <w:r>
              <w:t xml:space="preserve">IMARC[^633^]</w:t>
            </w:r>
          </w:p>
        </w:tc>
      </w:tr>
      <w:tr>
        <w:tc>
          <w:tcPr/>
          <w:p>
            <w:pPr>
              <w:pStyle w:val="Compact"/>
              <w:jc w:val="left"/>
            </w:pPr>
            <w:r>
              <w:t xml:space="preserve">Patent Analytics (MRFR)</w:t>
            </w:r>
          </w:p>
        </w:tc>
        <w:tc>
          <w:tcPr/>
          <w:p>
            <w:pPr>
              <w:pStyle w:val="Compact"/>
              <w:jc w:val="left"/>
            </w:pPr>
            <w:r>
              <w:t xml:space="preserve">$6.69B (2024)</w:t>
            </w:r>
          </w:p>
        </w:tc>
        <w:tc>
          <w:tcPr/>
          <w:p>
            <w:pPr>
              <w:pStyle w:val="Compact"/>
              <w:jc w:val="left"/>
            </w:pPr>
            <w:r>
              <w:t xml:space="preserve">$15.69B (2035)</w:t>
            </w:r>
          </w:p>
        </w:tc>
        <w:tc>
          <w:tcPr/>
          <w:p>
            <w:pPr>
              <w:pStyle w:val="Compact"/>
              <w:jc w:val="left"/>
            </w:pPr>
            <w:r>
              <w:t xml:space="preserve">8.06%</w:t>
            </w:r>
          </w:p>
        </w:tc>
        <w:tc>
          <w:tcPr/>
          <w:p>
            <w:pPr>
              <w:pStyle w:val="Compact"/>
              <w:jc w:val="left"/>
            </w:pPr>
            <w:r>
              <w:t xml:space="preserve">MRFR[^632^]</w:t>
            </w:r>
          </w:p>
        </w:tc>
      </w:tr>
      <w:tr>
        <w:tc>
          <w:tcPr/>
          <w:p>
            <w:pPr>
              <w:pStyle w:val="Compact"/>
              <w:jc w:val="left"/>
            </w:pPr>
            <w:r>
              <w:t xml:space="preserve">Patent Analytics (SkyQuest)</w:t>
            </w:r>
          </w:p>
        </w:tc>
        <w:tc>
          <w:tcPr/>
          <w:p>
            <w:pPr>
              <w:pStyle w:val="Compact"/>
              <w:jc w:val="left"/>
            </w:pPr>
            <w:r>
              <w:t xml:space="preserve">$1.27B (2024)</w:t>
            </w:r>
          </w:p>
        </w:tc>
        <w:tc>
          <w:tcPr/>
          <w:p>
            <w:pPr>
              <w:pStyle w:val="Compact"/>
              <w:jc w:val="left"/>
            </w:pPr>
            <w:r>
              <w:t xml:space="preserve">$3.84B (2033)</w:t>
            </w:r>
          </w:p>
        </w:tc>
        <w:tc>
          <w:tcPr/>
          <w:p>
            <w:pPr>
              <w:pStyle w:val="Compact"/>
              <w:jc w:val="left"/>
            </w:pPr>
            <w:r>
              <w:t xml:space="preserve">13.1%</w:t>
            </w:r>
          </w:p>
        </w:tc>
        <w:tc>
          <w:tcPr/>
          <w:p>
            <w:pPr>
              <w:pStyle w:val="Compact"/>
              <w:jc w:val="left"/>
            </w:pPr>
            <w:r>
              <w:t xml:space="preserve">SkyQuest[^642^]</w:t>
            </w:r>
          </w:p>
        </w:tc>
      </w:tr>
      <w:tr>
        <w:tc>
          <w:tcPr/>
          <w:p>
            <w:pPr>
              <w:pStyle w:val="Compact"/>
              <w:jc w:val="left"/>
            </w:pPr>
            <w:r>
              <w:t xml:space="preserve">Patent Analytics (Global Insights)</w:t>
            </w:r>
          </w:p>
        </w:tc>
        <w:tc>
          <w:tcPr/>
          <w:p>
            <w:pPr>
              <w:pStyle w:val="Compact"/>
              <w:jc w:val="left"/>
            </w:pPr>
            <w:r>
              <w:t xml:space="preserve">$1.51B (2025)</w:t>
            </w:r>
          </w:p>
        </w:tc>
        <w:tc>
          <w:tcPr/>
          <w:p>
            <w:pPr>
              <w:pStyle w:val="Compact"/>
              <w:jc w:val="left"/>
            </w:pPr>
            <w:r>
              <w:t xml:space="preserve">$3.85B (2034)</w:t>
            </w:r>
          </w:p>
        </w:tc>
        <w:tc>
          <w:tcPr/>
          <w:p>
            <w:pPr>
              <w:pStyle w:val="Compact"/>
              <w:jc w:val="left"/>
            </w:pPr>
            <w:r>
              <w:t xml:space="preserve">9.8%</w:t>
            </w:r>
          </w:p>
        </w:tc>
        <w:tc>
          <w:tcPr/>
          <w:p>
            <w:pPr>
              <w:pStyle w:val="Compact"/>
              <w:jc w:val="left"/>
            </w:pPr>
            <w:r>
              <w:t xml:space="preserve">Global Insights</w:t>
            </w:r>
          </w:p>
        </w:tc>
      </w:tr>
      <w:tr>
        <w:tc>
          <w:tcPr/>
          <w:p>
            <w:pPr>
              <w:pStyle w:val="Compact"/>
              <w:jc w:val="left"/>
            </w:pPr>
            <w:r>
              <w:t xml:space="preserve">AI in Patent Intelligence</w:t>
            </w:r>
          </w:p>
        </w:tc>
        <w:tc>
          <w:tcPr/>
          <w:p>
            <w:pPr>
              <w:pStyle w:val="Compact"/>
              <w:jc w:val="left"/>
            </w:pPr>
            <w:r>
              <w:t xml:space="preserve">$1.52B (2025)</w:t>
            </w:r>
          </w:p>
        </w:tc>
        <w:tc>
          <w:tcPr/>
          <w:p>
            <w:pPr>
              <w:pStyle w:val="Compact"/>
              <w:jc w:val="left"/>
            </w:pPr>
            <w:r>
              <w:t xml:space="preserve">$8.02B (2035)</w:t>
            </w:r>
          </w:p>
        </w:tc>
        <w:tc>
          <w:tcPr/>
          <w:p>
            <w:pPr>
              <w:pStyle w:val="Compact"/>
              <w:jc w:val="left"/>
            </w:pPr>
            <w:r>
              <w:t xml:space="preserve">18.10%</w:t>
            </w:r>
          </w:p>
        </w:tc>
        <w:tc>
          <w:tcPr/>
          <w:p>
            <w:pPr>
              <w:pStyle w:val="Compact"/>
              <w:jc w:val="left"/>
            </w:pPr>
            <w:r>
              <w:t xml:space="preserve">Precedence Research[^641^]</w:t>
            </w:r>
          </w:p>
        </w:tc>
      </w:tr>
    </w:tbl>
    <w:p>
      <w:pPr>
        <w:pStyle w:val="BodyText"/>
      </w:pPr>
      <w:r>
        <w:t xml:space="preserve">This table presents a deliberately varied view: the wide range in market size estimates across sources reflects genuine definitional uncertainty about where</w:t>
      </w:r>
      <w:r>
        <w:t xml:space="preserve"> </w:t>
      </w:r>
      <w:r>
        <w:t xml:space="preserve">“</w:t>
      </w:r>
      <w:r>
        <w:t xml:space="preserve">patent analytics</w:t>
      </w:r>
      <w:r>
        <w:t xml:space="preserve">”</w:t>
      </w:r>
      <w:r>
        <w:t xml:space="preserve"> </w:t>
      </w:r>
      <w:r>
        <w:t xml:space="preserve">ends and broader</w:t>
      </w:r>
      <w:r>
        <w:t xml:space="preserve"> </w:t>
      </w:r>
      <w:r>
        <w:t xml:space="preserve">“</w:t>
      </w:r>
      <w:r>
        <w:t xml:space="preserve">IP software</w:t>
      </w:r>
      <w:r>
        <w:t xml:space="preserve">”</w:t>
      </w:r>
      <w:r>
        <w:t xml:space="preserve"> </w:t>
      </w:r>
      <w:r>
        <w:t xml:space="preserve">begins. For strategic planning, the conservative IMARC figure ($1.4B → $3.6B) and the MRFR figure ($6.69B → $15.69B) bracket the realistic opportunity space. The AI-in-patent-intelligence subsegment at 18.10% CAGR is the fastest-growing category and the most directly relevant to OpenPatent.ai’s AI-assisted drafting and disclosure capabilities[^641^].</w:t>
      </w:r>
    </w:p>
    <w:p>
      <w:pPr>
        <w:pStyle w:val="BodyText"/>
      </w:pPr>
      <w:r>
        <w:rPr>
          <w:bCs/>
          <w:b/>
        </w:rPr>
        <w:t xml:space="preserve">Chart description</w:t>
      </w:r>
      <w:r>
        <w:t xml:space="preserve">: A logarithmic-area chart showing IP Software and Patent Analytics market trajectories from 2024 to 2035. The x-axis represents years; the y-axis represents market size in USD billions on a logarithmic scale. Three curves are plotted: (1) IP Software (MRFR) as a solid line from $11.98B (2024) to $32.94B (2035), with a shaded confidence band reflecting the variance between MRFR and Fortune BI estimates; (2) Patent Analytics (IMARC narrow definition) as a dashed line from $1.4B (2025) to $3.6B (2034); and (3) Patent Analytics (MRFR broad definition) as a dotted line from $6.69B (2024) to $15.69B (2035). A horizontal band marks the estimated $200–500M defensive publication niche. An inset highlights the AI-in-patent-intelligence subsegment growing at 18.10% CAGR[^641^]. The logarithmic scale visually emphasizes that even the narrower patent analytics segment will more than double within a decade, while the IP software market approaches 3× growth over the forecast period.</w:t>
      </w:r>
    </w:p>
    <w:bookmarkEnd w:id="46"/>
    <w:bookmarkStart w:id="47" w:name="target-segments"/>
    <w:p>
      <w:pPr>
        <w:pStyle w:val="Heading4"/>
      </w:pPr>
      <w:r>
        <w:t xml:space="preserve">2.3.4 Target Segments</w:t>
      </w:r>
    </w:p>
    <w:p>
      <w:pPr>
        <w:pStyle w:val="FirstParagraph"/>
      </w:pPr>
      <w:r>
        <w:t xml:space="preserve">OpenPatent.ai’s four-tier pricing model maps to quantifiable addressable segments. Indie developers and open-source maintainers represent the free-tier user base; the global developer population exceeds 30 million, with a substantial subset contributing to open-source projects vulnerable to patent threats. Startups at $10–50 per month align with the approximately 5 million early-stage companies globally that engage in R&amp;D but lack dedicated IP counsel. SMEs at $50–500 per month target the segment that industry analysts identify as the fastest-growing adopter of cloud-based IP platforms[^636^]. Enterprise at $500+ per month captures law firms, accelerators, and corporations seeking API access and branded deployment.</w:t>
      </w:r>
    </w:p>
    <w:bookmarkEnd w:id="47"/>
    <w:bookmarkEnd w:id="48"/>
    <w:bookmarkStart w:id="52" w:name="the-gap-analysis"/>
    <w:p>
      <w:pPr>
        <w:pStyle w:val="Heading3"/>
      </w:pPr>
      <w:r>
        <w:t xml:space="preserve">2.4 The Gap Analysis</w:t>
      </w:r>
    </w:p>
    <w:bookmarkStart w:id="49" w:name="X865b19b140109e00b55ca4e22aee56b9da99c74"/>
    <w:p>
      <w:pPr>
        <w:pStyle w:val="Heading4"/>
      </w:pPr>
      <w:r>
        <w:t xml:space="preserve">2.4.1 No Tool Combines AI Drafting + Cryptographic Disclosure + Open Source + PAYG</w:t>
      </w:r>
    </w:p>
    <w:p>
      <w:pPr>
        <w:pStyle w:val="FirstParagraph"/>
      </w:pPr>
      <w:r>
        <w:t xml:space="preserve">The competitive landscape reveals a precise structural void. erdalbektas/OpenPatent addresses the</w:t>
      </w:r>
      <w:r>
        <w:t xml:space="preserve"> </w:t>
      </w:r>
      <w:r>
        <w:rPr>
          <w:iCs/>
          <w:i/>
        </w:rPr>
        <w:t xml:space="preserve">drafting</w:t>
      </w:r>
      <w:r>
        <w:t xml:space="preserve"> </w:t>
      </w:r>
      <w:r>
        <w:t xml:space="preserve">layer—generating patent-style documentation from source code and natural language descriptions—but implements no disclosure mechanism, no blockchain timestamping, and no publication workflow. PatentMCP addresses the</w:t>
      </w:r>
      <w:r>
        <w:t xml:space="preserve"> </w:t>
      </w:r>
      <w:r>
        <w:rPr>
          <w:iCs/>
          <w:i/>
        </w:rPr>
        <w:t xml:space="preserve">disclosure</w:t>
      </w:r>
      <w:r>
        <w:t xml:space="preserve"> </w:t>
      </w:r>
      <w:r>
        <w:t xml:space="preserve">layer—automating the submission of prior-art evidence—but provides no drafting user interface, no AI-assisted document generation, and no open-source client for embedding in development toolchains.</w:t>
      </w:r>
    </w:p>
    <w:p>
      <w:pPr>
        <w:pStyle w:val="BodyText"/>
      </w:pPr>
      <w:r>
        <w:t xml:space="preserve">Bernstein.io provides professional-grade timestamping without drafting, disclosure, or open-source distribution[^662^]. TimeProof provides accessible timestamping without AI assistance, defensive publication, or open-source code[^660^]. IP.com provides defensive publication without timestamping, AI drafting, or open access. No incumbent combines all four layers into a unified, open-source, pay-as-you-go platform.</w:t>
      </w:r>
    </w:p>
    <w:bookmarkEnd w:id="49"/>
    <w:bookmarkStart w:id="50" w:name="Xad7be2493ddd3a849d963ebbe88cefd4b015daa"/>
    <w:p>
      <w:pPr>
        <w:pStyle w:val="Heading4"/>
      </w:pPr>
      <w:r>
        <w:t xml:space="preserve">2.4.2 No MCP Server Exists for Automated Patent Workflows</w:t>
      </w:r>
    </w:p>
    <w:p>
      <w:pPr>
        <w:pStyle w:val="FirstParagraph"/>
      </w:pPr>
      <w:r>
        <w:t xml:space="preserve">The Model Context Protocol (MCP), introduced by Anthropic in November 2024, enables AI assistants to connect securely to external tools and data sources. PatentMCP is the first known implementation targeting patent workflows, but it functions as a standalone disclosure tool rather than an integrated server within a broader drafting-and-disclosure platform. OpenPatent.ai’s opportunity lies in building the first MCP server that spans the complete defensive IP workflow—from ingesting repository metadata and commit histories, through AI-assisted drafting of defensive publications, to cryptographic disclosure on public blockchains and optional publication to prior-art databases. This MCP-native architecture positions OpenPatent.ai as infrastructure for an emerging class of AI legal assistants rather than merely another web application.</w:t>
      </w:r>
    </w:p>
    <w:bookmarkEnd w:id="50"/>
    <w:bookmarkStart w:id="51" w:name="Xe4dc440171a00cba1a9b5a7a0f3cea5e5eac249"/>
    <w:p>
      <w:pPr>
        <w:pStyle w:val="Heading4"/>
      </w:pPr>
      <w:r>
        <w:t xml:space="preserve">2.4.3 No Platform Connects Patent Defense to Open-Source Governance Frameworks</w:t>
      </w:r>
    </w:p>
    <w:p>
      <w:pPr>
        <w:pStyle w:val="FirstParagraph"/>
      </w:pPr>
      <w:r>
        <w:t xml:space="preserve">OIN’s 4,000+ member community[^640^] and Unified Patents’ growing client base[^647^] demonstrate institutional demand for patent defense, but neither platform offers developer-facing tools for self-service defensive publication. Open-source projects currently rely on informal mechanisms—mailing list posts, blog announcements, conference presentations—to establish prior art, with no systematic way to document, timestamp, and publish defensive disclosures that patent examiners can reliably discover. The integration gap between open-source governance (commit messages, RFCs, design documents) and patent-system prior-art requirements represents a substantial unrealized efficiency. A platform that bridges this gap—translating development artifacts into legally defensible, cryptographically verifiable, discoverable prior-art publications—would address a need that is growing in direct proportion to global patent filing volume, which reached 3.7 million applications in 2024 and shows no sign of deceleration[^651^].</w:t>
      </w:r>
    </w:p>
    <w:p>
      <w:pPr>
        <w:pStyle w:val="BodyText"/>
      </w:pPr>
      <w:r>
        <w:t xml:space="preserve">The convergence of three vectors—record patent filing volumes, escalating NPE litigation, and the proliferation of AI coding tools that generate potentially patentable inventions—creates a time-bound opportunity. The first platform to combine AI drafting, blockchain disclosure, open-source distribution, and MCP-native architecture will define the category standard before incumbents can adapt their closed-source, enterprise-only product models to serve the developer demographic that is simultaneously the most innovative and the most vulnerable to patent threats.</w:t>
      </w:r>
    </w:p>
    <w:p>
      <w:r>
        <w:pict>
          <v:rect style="width:0;height:1.5pt" o:hralign="center" o:hrstd="t" o:hr="t"/>
        </w:pict>
      </w:r>
    </w:p>
    <w:bookmarkEnd w:id="51"/>
    <w:bookmarkEnd w:id="52"/>
    <w:bookmarkEnd w:id="53"/>
    <w:bookmarkStart w:id="68" w:name="X073dfdd9c8df4169036f01990cca22f5f2160d5"/>
    <w:p>
      <w:pPr>
        <w:pStyle w:val="Heading2"/>
      </w:pPr>
      <w:r>
        <w:t xml:space="preserve">3. Legal Feasibility — Global Framework Assessment</w:t>
      </w:r>
    </w:p>
    <w:p>
      <w:pPr>
        <w:pStyle w:val="FirstParagraph"/>
      </w:pPr>
      <w:r>
        <w:t xml:space="preserve">The OpenPatent.ai platform’s core value proposition rests on a two-step legal mechanism: blockchain timestamping of invention disclosures, followed by structured defensive publication to create legally enforceable prior art. Whether this mechanism holds up in courtrooms across the United States, European Union, United Kingdom, Japan, and China — the five jurisdictions in which CSOAI maintains patent law coverage — depends on two independent questions. First, do courts and statutes in those jurisdictions recognize blockchain-generated timestamps as admissible, authentic evidence? Second, does patent law in each jurisdiction treat a blockchain-disclosed invention as valid prior art that can defeat a later patent application? The evidence on both fronts is overwhelmingly favorable, though the degree of legal certainty varies materially by jurisdiction.</w:t>
      </w:r>
    </w:p>
    <w:bookmarkStart w:id="59" w:name="blockchain-evidence-recognition"/>
    <w:p>
      <w:pPr>
        <w:pStyle w:val="Heading3"/>
      </w:pPr>
      <w:r>
        <w:t xml:space="preserve">3.1 Blockchain Evidence Recognition</w:t>
      </w:r>
    </w:p>
    <w:bookmarkStart w:id="54" w:name="Xa91615ba46c214c71aef42af18e14b4df392893"/>
    <w:p>
      <w:pPr>
        <w:pStyle w:val="Heading4"/>
      </w:pPr>
      <w:r>
        <w:t xml:space="preserve">3.1.1 China: A Judicial Pioneer with Institutional Infrastructure</w:t>
      </w:r>
    </w:p>
    <w:p>
      <w:pPr>
        <w:pStyle w:val="FirstParagraph"/>
      </w:pPr>
      <w:r>
        <w:t xml:space="preserve">China holds the distinction of being the first jurisdiction globally to accept blockchain-stored evidence in a formal court proceeding. In June 2018, the Hangzhou Internet Court admitted blockchain records in a copyright dispute, marking the first judicial precedent of its kind worldwide [^1^]. By September 2018, the Supreme People’s Court of China formalized this position through judicial interpretation, effectively codifying blockchain evidence admissibility at the highest judicial level [^1^]. The practical consequence is substantial: three dedicated Internet Courts — in Hangzhou, Beijing, and Guangzhou — now operate with integrated judicial blockchain platforms that allow parties to submit cryptographic proofs as standard evidence [^1^]. This institutional infrastructure means that an OpenPatent.ai user whose Chinese-language disclosure is timestamped on a public blockchain can, if challenged, point to a court system that has already processed hundreds of blockchain evidence cases. China also maintains a judicial consortium blockchain that courts themselves run, reducing the risk that a particular blockchain’s decentralization will be questioned as insufficiently trustworthy.</w:t>
      </w:r>
    </w:p>
    <w:bookmarkEnd w:id="54"/>
    <w:bookmarkStart w:id="55" w:name="X84df8f8bb76455ed6875cb8ddbe35dfe2a62dd2"/>
    <w:p>
      <w:pPr>
        <w:pStyle w:val="Heading4"/>
      </w:pPr>
      <w:r>
        <w:t xml:space="preserve">3.1.2 European Union: eIDAS and the Legal Presumption of Accuracy</w:t>
      </w:r>
    </w:p>
    <w:p>
      <w:pPr>
        <w:pStyle w:val="FirstParagraph"/>
      </w:pPr>
      <w:r>
        <w:t xml:space="preserve">The European Union provides the most sweeping statutory foundation for blockchain timestamping through Regulation (EU) No 910/2014, commonly known as eIDAS. Article 41 of eIDAS establishes that qualified electronic timestamps carry a legal presumption of accuracy across all 27 member states [^2^]. This means that a blockchain timestamp meeting eIDAS technical standards cannot be denied legal admissibility solely because it is electronic — the burden of proving inaccuracy shifts to the party challenging the timestamp [^2^]. The practical significance cannot be overstated: instead of requiring a costly notarization or bailiff certification in each EU country where patent validity might be contested, a single qualified timestamp satisfies evidentiary requirements continent-wide.</w:t>
      </w:r>
    </w:p>
    <w:p>
      <w:pPr>
        <w:pStyle w:val="BodyText"/>
      </w:pPr>
      <w:r>
        <w:t xml:space="preserve">The 2024 eIDAS 2.0 revision deepens this foundation by explicitly integrating blockchain-based electronic ledgers into the framework for qualified electronic timestamps [^2^]. This removes any ambiguity about whether blockchain-native timestamps can achieve</w:t>
      </w:r>
      <w:r>
        <w:t xml:space="preserve"> </w:t>
      </w:r>
      <w:r>
        <w:t xml:space="preserve">“</w:t>
      </w:r>
      <w:r>
        <w:t xml:space="preserve">qualified</w:t>
      </w:r>
      <w:r>
        <w:t xml:space="preserve">”</w:t>
      </w:r>
      <w:r>
        <w:t xml:space="preserve"> </w:t>
      </w:r>
      <w:r>
        <w:t xml:space="preserve">status under eIDAS, providing a clear regulatory pathway for OpenPatent.ai’s EU-facing service layer. Italy reinforced this framework at the national level through Law No. 12/2019, whose Article 8-ter explicitly grants blockchain timestamps the same legal effect as electronic timestamps under eIDAS [^3^]. Brazil, while outside the primary OpenPatent.ai target market, adopted a similar position through Law No. 14,063/2020, recognizing blockchain as a valid tool to prove date and time of transactions [^4^].</w:t>
      </w:r>
    </w:p>
    <w:bookmarkEnd w:id="55"/>
    <w:bookmarkStart w:id="56" w:name="Xef51c94d06ac3813cfe8b148a824980b50ac73f"/>
    <w:p>
      <w:pPr>
        <w:pStyle w:val="Heading4"/>
      </w:pPr>
      <w:r>
        <w:t xml:space="preserve">3.1.3 United States: Self-Authenticating Electronic Records</w:t>
      </w:r>
    </w:p>
    <w:p>
      <w:pPr>
        <w:pStyle w:val="FirstParagraph"/>
      </w:pPr>
      <w:r>
        <w:t xml:space="preserve">The United States addressed blockchain evidence through amendments to the Federal Rules of Evidence in 2017. Rules 902(13) and 902(14) allow self-authentication of electronic records generated by processes that produce accurate results, and of data copied from an electronic device if authenticated by hash value [^5^]. Because blockchain timestamps are, by design, cryptographic hash values that change if any underlying data is altered, these rules align precisely with blockchain’s technical properties. The effect is procedural but meaningful: blockchain evidence can be admitted without the testimony of a foundation witness, reducing litigation costs and simplifying evidentiary hearings.</w:t>
      </w:r>
    </w:p>
    <w:p>
      <w:pPr>
        <w:pStyle w:val="BodyText"/>
      </w:pPr>
      <w:r>
        <w:t xml:space="preserve">At the state level, Vermont enacted blockchain-specific legislation in 2016, followed by Arizona, Illinois, and Delaware, creating a patchwork of statutes that explicitly recognize blockchain records as admissible evidence [^5^]. The 2024 Bitcoin Fog case added a significant federal criminal precedent by admitting blockchain analytics as evidence, reinforcing the judicial view that distributed ledger data is forensically reliable [^5^]. Germany contributed to the European landscape in 2023 when the Berlin Court of Appeal confirmed crypto assets as attachable property rights, extending blockchain recognition into the property law domain [^6^]. The United Kingdom’s Property (Digital Assets) Bill 2024 similarly establishes digital assets, including blockchain records, as a distinct category of personal property under English law [^6^].</w:t>
      </w:r>
    </w:p>
    <w:bookmarkEnd w:id="56"/>
    <w:bookmarkStart w:id="57" w:name="france-copyright-anteriority-precedent"/>
    <w:p>
      <w:pPr>
        <w:pStyle w:val="Heading4"/>
      </w:pPr>
      <w:r>
        <w:t xml:space="preserve">3.1.4 France: Copyright Anteriority Precedent</w:t>
      </w:r>
    </w:p>
    <w:p>
      <w:pPr>
        <w:pStyle w:val="FirstParagraph"/>
      </w:pPr>
      <w:r>
        <w:t xml:space="preserve">In March 2025, the Tribunal Judiciaire de Marseille rendered a landmark decision recognizing blockchain timestamping as valid proof of copyright anteriority in a fashion design dispute [^7^]. The court explicitly relied on blockchain records over traditional bailiff certification dates, a choice that signals judicial confidence in the cryptographic integrity of distributed timestamps. This ruling constitutes the first French judicial precedent and, given the cross-border influence of French intellectual property jurisprudence within the EU, establishes a persuasive precedent for other European courts considering blockchain evidence in patent disputes. The court’s reasoning — that a cryptographic timestamp provides sufficient certainty about the anteriority of a creation’s existence — maps directly onto the patent prior art question.</w:t>
      </w:r>
    </w:p>
    <w:bookmarkEnd w:id="57"/>
    <w:bookmarkStart w:id="58" w:name="wipo-institutional-recognition"/>
    <w:p>
      <w:pPr>
        <w:pStyle w:val="Heading4"/>
      </w:pPr>
      <w:r>
        <w:t xml:space="preserve">3.1.5 WIPO: Institutional Recognition</w:t>
      </w:r>
    </w:p>
    <w:p>
      <w:pPr>
        <w:pStyle w:val="FirstParagraph"/>
      </w:pPr>
      <w:r>
        <w:t xml:space="preserve">The World Intellectual Property Organization has explicitly recognized blockchain as a valid measure to prove prior authorship of a creation [^4^]. While WIPO does not create binding domestic law, its guidance documents influence national patent office practice and provide a reference point for courts in jurisdictions without extensive domestic blockchain precedent. WIPO’s position is particularly consequential for jurisdictions covered by the Patent Cooperation Treaty, where harmonized approaches to evidence are increasingly important.</w:t>
      </w:r>
    </w:p>
    <w:bookmarkEnd w:id="58"/>
    <w:bookmarkEnd w:id="59"/>
    <w:bookmarkStart w:id="63" w:name="patent-law-compatibility"/>
    <w:p>
      <w:pPr>
        <w:pStyle w:val="Heading3"/>
      </w:pPr>
      <w:r>
        <w:t xml:space="preserve">3.2 Patent Law Compatibility</w:t>
      </w:r>
    </w:p>
    <w:p>
      <w:pPr>
        <w:pStyle w:val="FirstParagraph"/>
      </w:pPr>
      <w:r>
        <w:t xml:space="preserve">Recognition of blockchain evidence, while necessary, is not sufficient. The timestamped disclosure must also function as effective prior art under each target jurisdiction’s patent statute. The table below summarizes the legal framework across the five primary jurisdictions.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w:t>
            </w:r>
          </w:p>
        </w:tc>
        <w:tc>
          <w:tcPr/>
          <w:p>
            <w:pPr>
              <w:pStyle w:val="Compact"/>
              <w:jc w:val="left"/>
            </w:pPr>
            <w:r>
              <w:t xml:space="preserve">Governing Provision</w:t>
            </w:r>
          </w:p>
        </w:tc>
        <w:tc>
          <w:tcPr/>
          <w:p>
            <w:pPr>
              <w:pStyle w:val="Compact"/>
              <w:jc w:val="left"/>
            </w:pPr>
            <w:r>
              <w:t xml:space="preserve">Prior Art Standard</w:t>
            </w:r>
          </w:p>
        </w:tc>
        <w:tc>
          <w:tcPr/>
          <w:p>
            <w:pPr>
              <w:pStyle w:val="Compact"/>
              <w:jc w:val="left"/>
            </w:pPr>
            <w:r>
              <w:t xml:space="preserve">Grace Period</w:t>
            </w:r>
          </w:p>
        </w:tc>
        <w:tc>
          <w:tcPr/>
          <w:p>
            <w:pPr>
              <w:pStyle w:val="Compact"/>
              <w:jc w:val="left"/>
            </w:pPr>
            <w:r>
              <w:t xml:space="preserve">Blockchain Disclosure Compatibility</w:t>
            </w:r>
          </w:p>
        </w:tc>
      </w:tr>
      <w:tr>
        <w:tc>
          <w:tcPr/>
          <w:p>
            <w:pPr>
              <w:pStyle w:val="Compact"/>
              <w:jc w:val="left"/>
            </w:pPr>
            <w:r>
              <w:t xml:space="preserve">United States</w:t>
            </w:r>
          </w:p>
        </w:tc>
        <w:tc>
          <w:tcPr/>
          <w:p>
            <w:pPr>
              <w:pStyle w:val="Compact"/>
              <w:jc w:val="left"/>
            </w:pPr>
            <w:r>
              <w:t xml:space="preserve">35 U.S.C. § 102 (AIA); FRE 902(13)(14)</w:t>
            </w:r>
          </w:p>
        </w:tc>
        <w:tc>
          <w:tcPr/>
          <w:p>
            <w:pPr>
              <w:pStyle w:val="Compact"/>
              <w:jc w:val="left"/>
            </w:pPr>
            <w:r>
              <w:t xml:space="preserve">Publicly accessible before effective filing date</w:t>
            </w:r>
          </w:p>
        </w:tc>
        <w:tc>
          <w:tcPr/>
          <w:p>
            <w:pPr>
              <w:pStyle w:val="Compact"/>
              <w:jc w:val="left"/>
            </w:pPr>
            <w:r>
              <w:t xml:space="preserve">1 year (§ 102(b)(1))</w:t>
            </w:r>
          </w:p>
        </w:tc>
        <w:tc>
          <w:tcPr/>
          <w:p>
            <w:pPr>
              <w:pStyle w:val="Compact"/>
              <w:jc w:val="left"/>
            </w:pPr>
            <w:r>
              <w:t xml:space="preserve">Blockchain publication meets</w:t>
            </w:r>
            <w:r>
              <w:t xml:space="preserve"> </w:t>
            </w:r>
            <w:r>
              <w:t xml:space="preserve">“</w:t>
            </w:r>
            <w:r>
              <w:t xml:space="preserve">publicly accessible</w:t>
            </w:r>
            <w:r>
              <w:t xml:space="preserve">”</w:t>
            </w:r>
            <w:r>
              <w:t xml:space="preserve"> </w:t>
            </w:r>
            <w:r>
              <w:t xml:space="preserve">standard if published on public ledger [^5^][^8^]</w:t>
            </w:r>
          </w:p>
        </w:tc>
      </w:tr>
      <w:tr>
        <w:tc>
          <w:tcPr/>
          <w:p>
            <w:pPr>
              <w:pStyle w:val="Compact"/>
              <w:jc w:val="left"/>
            </w:pPr>
            <w:r>
              <w:t xml:space="preserve">European Union</w:t>
            </w:r>
          </w:p>
        </w:tc>
        <w:tc>
          <w:tcPr/>
          <w:p>
            <w:pPr>
              <w:pStyle w:val="Compact"/>
              <w:jc w:val="left"/>
            </w:pPr>
            <w:r>
              <w:t xml:space="preserve">Article 54(2) EPC; eIDAS 910/2014</w:t>
            </w:r>
          </w:p>
        </w:tc>
        <w:tc>
          <w:tcPr/>
          <w:p>
            <w:pPr>
              <w:pStyle w:val="Compact"/>
              <w:jc w:val="left"/>
            </w:pPr>
            <w:r>
              <w:t xml:space="preserve">Everything</w:t>
            </w:r>
            <w:r>
              <w:t xml:space="preserve"> </w:t>
            </w:r>
            <w:r>
              <w:t xml:space="preserve">“</w:t>
            </w:r>
            <w:r>
              <w:t xml:space="preserve">made available to the public</w:t>
            </w:r>
            <w:r>
              <w:t xml:space="preserve">”</w:t>
            </w:r>
            <w:r>
              <w:t xml:space="preserve"> </w:t>
            </w:r>
            <w:r>
              <w:t xml:space="preserve">before filing date</w:t>
            </w:r>
          </w:p>
        </w:tc>
        <w:tc>
          <w:tcPr/>
          <w:p>
            <w:pPr>
              <w:pStyle w:val="Compact"/>
              <w:jc w:val="left"/>
            </w:pPr>
            <w:r>
              <w:t xml:space="preserve">6 months (Art. 55 EPC) for evident abuse disclosures</w:t>
            </w:r>
          </w:p>
        </w:tc>
        <w:tc>
          <w:tcPr/>
          <w:p>
            <w:pPr>
              <w:pStyle w:val="Compact"/>
              <w:jc w:val="left"/>
            </w:pPr>
            <w:r>
              <w:t xml:space="preserve">eIDAS-qualified timestamp provides presumption of accuracy; disclosure qualifies if publicly accessible [^2^][^9^]</w:t>
            </w:r>
          </w:p>
        </w:tc>
      </w:tr>
      <w:tr>
        <w:tc>
          <w:tcPr/>
          <w:p>
            <w:pPr>
              <w:pStyle w:val="Compact"/>
              <w:jc w:val="left"/>
            </w:pPr>
            <w:r>
              <w:t xml:space="preserve">United Kingdom</w:t>
            </w:r>
          </w:p>
        </w:tc>
        <w:tc>
          <w:tcPr/>
          <w:p>
            <w:pPr>
              <w:pStyle w:val="Compact"/>
              <w:jc w:val="left"/>
            </w:pPr>
            <w:r>
              <w:t xml:space="preserve">Patents Act 1977 § 2(2); post-Brexit eIDAS alignment</w:t>
            </w:r>
          </w:p>
        </w:tc>
        <w:tc>
          <w:tcPr/>
          <w:p>
            <w:pPr>
              <w:pStyle w:val="Compact"/>
              <w:jc w:val="left"/>
            </w:pPr>
            <w:r>
              <w:t xml:space="preserve">Same as EPC — state of the art includes all public disclosures</w:t>
            </w:r>
          </w:p>
        </w:tc>
        <w:tc>
          <w:tcPr/>
          <w:p>
            <w:pPr>
              <w:pStyle w:val="Compact"/>
              <w:jc w:val="left"/>
            </w:pPr>
            <w:r>
              <w:t xml:space="preserve">6 months (§ 2(4))</w:t>
            </w:r>
          </w:p>
        </w:tc>
        <w:tc>
          <w:tcPr/>
          <w:p>
            <w:pPr>
              <w:pStyle w:val="Compact"/>
              <w:jc w:val="left"/>
            </w:pPr>
            <w:r>
              <w:t xml:space="preserve">Domesticated eIDAS framework + Property (Digital Assets) Bill 2024 [^6^]</w:t>
            </w:r>
          </w:p>
        </w:tc>
      </w:tr>
      <w:tr>
        <w:tc>
          <w:tcPr/>
          <w:p>
            <w:pPr>
              <w:pStyle w:val="Compact"/>
              <w:jc w:val="left"/>
            </w:pPr>
            <w:r>
              <w:t xml:space="preserve">Japan</w:t>
            </w:r>
          </w:p>
        </w:tc>
        <w:tc>
          <w:tcPr/>
          <w:p>
            <w:pPr>
              <w:pStyle w:val="Compact"/>
              <w:jc w:val="left"/>
            </w:pPr>
            <w:r>
              <w:t xml:space="preserve">Patent Act § 29(1)</w:t>
            </w:r>
          </w:p>
        </w:tc>
        <w:tc>
          <w:tcPr/>
          <w:p>
            <w:pPr>
              <w:pStyle w:val="Compact"/>
              <w:jc w:val="left"/>
            </w:pPr>
            <w:r>
              <w:t xml:space="preserve">Publicly known or worked invention before filing</w:t>
            </w:r>
          </w:p>
        </w:tc>
        <w:tc>
          <w:tcPr/>
          <w:p>
            <w:pPr>
              <w:pStyle w:val="Compact"/>
              <w:jc w:val="left"/>
            </w:pPr>
            <w:r>
              <w:t xml:space="preserve">6 months for specified disclosures</w:t>
            </w:r>
          </w:p>
        </w:tc>
        <w:tc>
          <w:tcPr/>
          <w:p>
            <w:pPr>
              <w:pStyle w:val="Compact"/>
              <w:jc w:val="left"/>
            </w:pPr>
            <w:r>
              <w:t xml:space="preserve">Case-by-case; no specific blockchain statute but general evidence rules apply</w:t>
            </w:r>
          </w:p>
        </w:tc>
      </w:tr>
      <w:tr>
        <w:tc>
          <w:tcPr/>
          <w:p>
            <w:pPr>
              <w:pStyle w:val="Compact"/>
              <w:jc w:val="left"/>
            </w:pPr>
            <w:r>
              <w:t xml:space="preserve">China</w:t>
            </w:r>
          </w:p>
        </w:tc>
        <w:tc>
          <w:tcPr/>
          <w:p>
            <w:pPr>
              <w:pStyle w:val="Compact"/>
              <w:jc w:val="left"/>
            </w:pPr>
            <w:r>
              <w:t xml:space="preserve">Patent Law Art. 22(2); judicial blockchain platforms</w:t>
            </w:r>
          </w:p>
        </w:tc>
        <w:tc>
          <w:tcPr/>
          <w:p>
            <w:pPr>
              <w:pStyle w:val="Compact"/>
              <w:jc w:val="left"/>
            </w:pPr>
            <w:r>
              <w:t xml:space="preserve">Publicly known before filing date</w:t>
            </w:r>
          </w:p>
        </w:tc>
        <w:tc>
          <w:tcPr/>
          <w:p>
            <w:pPr>
              <w:pStyle w:val="Compact"/>
              <w:jc w:val="left"/>
            </w:pPr>
            <w:r>
              <w:t xml:space="preserve">6 months for first exhibition at government-recognized events</w:t>
            </w:r>
          </w:p>
        </w:tc>
        <w:tc>
          <w:tcPr/>
          <w:p>
            <w:pPr>
              <w:pStyle w:val="Compact"/>
              <w:jc w:val="left"/>
            </w:pPr>
            <w:r>
              <w:t xml:space="preserve">Judicial blockchain infrastructure directly supports timestamp evidence [^1^]</w:t>
            </w:r>
          </w:p>
        </w:tc>
      </w:tr>
    </w:tbl>
    <w:bookmarkStart w:id="60" w:name="Xeafe312f5ddd9e4b690b7c6e896c3eeb9f114d3"/>
    <w:p>
      <w:pPr>
        <w:pStyle w:val="Heading4"/>
      </w:pPr>
      <w:r>
        <w:t xml:space="preserve">3.2.1 United States: First-to-File and Public Accessibility</w:t>
      </w:r>
    </w:p>
    <w:p>
      <w:pPr>
        <w:pStyle w:val="FirstParagraph"/>
      </w:pPr>
      <w:r>
        <w:t xml:space="preserve">The America Invents Act (AIA) shifted the United States to a first-to-file system under 35 U.S.C. § 102, under which prior art must be</w:t>
      </w:r>
      <w:r>
        <w:t xml:space="preserve"> </w:t>
      </w:r>
      <w:r>
        <w:t xml:space="preserve">“</w:t>
      </w:r>
      <w:r>
        <w:t xml:space="preserve">publicly accessible</w:t>
      </w:r>
      <w:r>
        <w:t xml:space="preserve">”</w:t>
      </w:r>
      <w:r>
        <w:t xml:space="preserve"> </w:t>
      </w:r>
      <w:r>
        <w:t xml:space="preserve">before the effective filing date of a later patent application [^8^]. A blockchain disclosure published on a public ledger with a verifiable timestamp satisfies this standard provided the content is meaningfully accessible — not merely stored in a hash but retrievable in human-readable form [^8^]. This is the critical design requirement for OpenPatent.ai: the platform must publish not merely a cryptographic hash but the full disclosure text (or a hash-linked retrieval mechanism) to a public blockchain. 35 U.S.C. § 273 adds a secondary layer of protection through prior user rights: a person who commercially used an invention before the filing date of a later patent has a defense against infringement claims [^8^]. A blockchain timestamp of early use or commercialization provides the evidentiary foundation for asserting this defense.</w:t>
      </w:r>
    </w:p>
    <w:bookmarkEnd w:id="60"/>
    <w:bookmarkStart w:id="61" w:name="X09a8ca85d54d466e88801a6e21b06f88cc52975"/>
    <w:p>
      <w:pPr>
        <w:pStyle w:val="Heading4"/>
      </w:pPr>
      <w:r>
        <w:t xml:space="preserve">3.2.2 European Union: State of the Art Under the EPC</w:t>
      </w:r>
    </w:p>
    <w:p>
      <w:pPr>
        <w:pStyle w:val="FirstParagraph"/>
      </w:pPr>
      <w:r>
        <w:t xml:space="preserve">Article 54(2) of the European Patent Convention defines the state of the art as</w:t>
      </w:r>
      <w:r>
        <w:t xml:space="preserve"> </w:t>
      </w:r>
      <w:r>
        <w:t xml:space="preserve">“</w:t>
      </w:r>
      <w:r>
        <w:t xml:space="preserve">everything made available to the public by means of a written or oral description, by use, or in any other way, before the date of filing of the European patent application</w:t>
      </w:r>
      <w:r>
        <w:t xml:space="preserve">”</w:t>
      </w:r>
      <w:r>
        <w:t xml:space="preserve"> </w:t>
      </w:r>
      <w:r>
        <w:t xml:space="preserve">[^9^]. The European Patent Office has interpreted</w:t>
      </w:r>
      <w:r>
        <w:t xml:space="preserve"> </w:t>
      </w:r>
      <w:r>
        <w:t xml:space="preserve">“</w:t>
      </w:r>
      <w:r>
        <w:t xml:space="preserve">made available</w:t>
      </w:r>
      <w:r>
        <w:t xml:space="preserve">”</w:t>
      </w:r>
      <w:r>
        <w:t xml:space="preserve"> </w:t>
      </w:r>
      <w:r>
        <w:t xml:space="preserve">broadly — information need only be theoretically accessible to a member of the public without confidentiality obligations. A blockchain disclosure published on a public ledger, with a hash that enables content retrieval, falls squarely within this definition. The eIDAS-qualified timestamp then provides the independent evidentiary foundation for proving the disclosure date if challenged in opposition or invalidity proceedings [^2^]. Article 55 EPC provides a six-month grace period for disclosures made in evident abuse of the inventor’s rights, during which a blockchain timestamp serves as independent proof of the original disclosure date, protecting the inventor even if the abusive disclosure precedes formal filing [^9^].</w:t>
      </w:r>
    </w:p>
    <w:bookmarkEnd w:id="61"/>
    <w:bookmarkStart w:id="62" w:name="Xf3862663f99d57a24c4a973889697c4dcd93dd3"/>
    <w:p>
      <w:pPr>
        <w:pStyle w:val="Heading4"/>
      </w:pPr>
      <w:r>
        <w:t xml:space="preserve">3.2.3 Crosswalk Engine: Multi-Jurisdiction Defensive Publication</w:t>
      </w:r>
    </w:p>
    <w:p>
      <w:pPr>
        <w:pStyle w:val="FirstParagraph"/>
      </w:pPr>
      <w:r>
        <w:t xml:space="preserve">The CSOAI Crosswalk Engine’s coverage across US, EU, UK, Japanese, and Chinese patent law enables a coordinated multi-jurisdiction defensive publication strategy. A single timestamped disclosure on a public blockchain can, if properly structured to meet each jurisdiction’s public accessibility requirements, simultaneously create prior art in all five jurisdictions. The engine’s patent law crosswalks would map each disclosure against the specific statutory requirements of § 102, Article 54(2) EPC, the UK Patents Act, Japanese Patent Act § 29, and Chinese Patent Law Article 22 — flagging jurisdiction-specific gaps where the disclosure format might not satisfy local</w:t>
      </w:r>
      <w:r>
        <w:t xml:space="preserve"> </w:t>
      </w:r>
      <w:r>
        <w:t xml:space="preserve">“</w:t>
      </w:r>
      <w:r>
        <w:t xml:space="preserve">public accessibility</w:t>
      </w:r>
      <w:r>
        <w:t xml:space="preserve">”</w:t>
      </w:r>
      <w:r>
        <w:t xml:space="preserve"> </w:t>
      </w:r>
      <w:r>
        <w:t xml:space="preserve">tests. This automated compliance checking is a material competitive advantage over manual defensive publication approaches, where inventors frequently fail to account for jurisdictional variations in disclosure sufficiency.</w:t>
      </w:r>
    </w:p>
    <w:bookmarkEnd w:id="62"/>
    <w:bookmarkEnd w:id="63"/>
    <w:bookmarkStart w:id="67" w:name="regulatory-risk-assessment"/>
    <w:p>
      <w:pPr>
        <w:pStyle w:val="Heading3"/>
      </w:pPr>
      <w:r>
        <w:t xml:space="preserve">3.3 Regulatory Risk Assessment</w:t>
      </w:r>
    </w:p>
    <w:bookmarkStart w:id="64" w:name="X017f78401b0056efd8bd81ae5e4d80827d6e722"/>
    <w:p>
      <w:pPr>
        <w:pStyle w:val="Heading4"/>
      </w:pPr>
      <w:r>
        <w:t xml:space="preserve">3.3.1 Low Risk: Defensive Publication Requires No License</w:t>
      </w:r>
    </w:p>
    <w:p>
      <w:pPr>
        <w:pStyle w:val="FirstParagraph"/>
      </w:pPr>
      <w:r>
        <w:t xml:space="preserve">The lowest-risk component of the OpenPatent.ai business model is defensive publication itself. In all five target jurisdictions, publishing an invention disclosure to the public domain is a lawful act that requires no regulatory license, no patent office filing, and no attorney involvement [^10^]. The legal mechanism is passive: by making information publicly accessible before another party files a patent application, the disclosure becomes prior art that the patent examiner must consider. The OpenPatent.ai platform does not practice law, file patents, or provide legal advice — it provides a timestamping and publication infrastructure that the inventor uses at their own direction. This limits the platform’s direct regulatory exposure to the relatively well-understood domain of electronic evidence standards.</w:t>
      </w:r>
    </w:p>
    <w:bookmarkEnd w:id="64"/>
    <w:bookmarkStart w:id="65" w:name="medium-risk-ai-inventorship-challenges"/>
    <w:p>
      <w:pPr>
        <w:pStyle w:val="Heading4"/>
      </w:pPr>
      <w:r>
        <w:t xml:space="preserve">3.3.2 Medium Risk: AI Inventorship Challenges</w:t>
      </w:r>
    </w:p>
    <w:p>
      <w:pPr>
        <w:pStyle w:val="FirstParagraph"/>
      </w:pPr>
      <w:r>
        <w:t xml:space="preserve">A medium-risk concern arises from the intersection of artificial intelligence and patent inventorship doctrine. The Federal Circuit’s 2022 decision in</w:t>
      </w:r>
      <w:r>
        <w:t xml:space="preserve"> </w:t>
      </w:r>
      <w:r>
        <w:rPr>
          <w:iCs/>
          <w:i/>
        </w:rPr>
        <w:t xml:space="preserve">Thaler v. Vidal</w:t>
      </w:r>
      <w:r>
        <w:t xml:space="preserve"> </w:t>
      </w:r>
      <w:r>
        <w:t xml:space="preserve">held definitively that an AI system cannot be named as an inventor under US patent law, because the Patent Act requires inventors to be</w:t>
      </w:r>
      <w:r>
        <w:t xml:space="preserve"> </w:t>
      </w:r>
      <w:r>
        <w:t xml:space="preserve">“</w:t>
      </w:r>
      <w:r>
        <w:t xml:space="preserve">individuals</w:t>
      </w:r>
      <w:r>
        <w:t xml:space="preserve">”</w:t>
      </w:r>
      <w:r>
        <w:t xml:space="preserve"> </w:t>
      </w:r>
      <w:r>
        <w:t xml:space="preserve">— meaning natural persons [^11^]. However, the court explicitly distinguished between AI-as-inventor and AI-as-tool: inventions where a human used AI as a research or drafting tool, with the human exercising inventive judgment, remain patentable with the human named as inventor [^11^]. This distinction is critical for OpenPatent.ai. If the platform’s AI generates a defensive publication draft and the user publishes it without meaningful human review, no patent rights — defensive or offensive — attach. If, however, the user reviews, modifies, and approves the AI-generated content, the human retains inventorship.</w:t>
      </w:r>
    </w:p>
    <w:p>
      <w:pPr>
        <w:pStyle w:val="BodyText"/>
      </w:pPr>
      <w:r>
        <w:t xml:space="preserve">The risk to OpenPatent.ai is indirect: a user who relies solely on AI-generated output, without human inventive contribution, may later discover that their disclosure cannot support prior user rights under 35 U.S.C. § 273 because they were not the</w:t>
      </w:r>
      <w:r>
        <w:t xml:space="preserve"> </w:t>
      </w:r>
      <w:r>
        <w:t xml:space="preserve">“</w:t>
      </w:r>
      <w:r>
        <w:t xml:space="preserve">person</w:t>
      </w:r>
      <w:r>
        <w:t xml:space="preserve">”</w:t>
      </w:r>
      <w:r>
        <w:t xml:space="preserve"> </w:t>
      </w:r>
      <w:r>
        <w:t xml:space="preserve">who</w:t>
      </w:r>
      <w:r>
        <w:t xml:space="preserve"> </w:t>
      </w:r>
      <w:r>
        <w:t xml:space="preserve">“</w:t>
      </w:r>
      <w:r>
        <w:t xml:space="preserve">commercially used</w:t>
      </w:r>
      <w:r>
        <w:t xml:space="preserve">”</w:t>
      </w:r>
      <w:r>
        <w:t xml:space="preserve"> </w:t>
      </w:r>
      <w:r>
        <w:t xml:space="preserve">the invention. Similarly, in jurisdictions where grace periods require the disclosure to be</w:t>
      </w:r>
      <w:r>
        <w:t xml:space="preserve"> </w:t>
      </w:r>
      <w:r>
        <w:t xml:space="preserve">“</w:t>
      </w:r>
      <w:r>
        <w:t xml:space="preserve">by the inventor,</w:t>
      </w:r>
      <w:r>
        <w:t xml:space="preserve">”</w:t>
      </w:r>
      <w:r>
        <w:t xml:space="preserve"> </w:t>
      </w:r>
      <w:r>
        <w:t xml:space="preserve">a purely AI-generated publication might not qualify. As AI inventorship litigation continues to develop — with parallel cases pending in the UK Intellectual Property Office and the EPO — this risk profile will shift.</w:t>
      </w:r>
    </w:p>
    <w:bookmarkEnd w:id="65"/>
    <w:bookmarkStart w:id="66" w:name="mitigation-human-attribution-protocol"/>
    <w:p>
      <w:pPr>
        <w:pStyle w:val="Heading4"/>
      </w:pPr>
      <w:r>
        <w:t xml:space="preserve">3.3.3 Mitigation: Human Attribution Protocol</w:t>
      </w:r>
    </w:p>
    <w:p>
      <w:pPr>
        <w:pStyle w:val="FirstParagraph"/>
      </w:pPr>
      <w:r>
        <w:t xml:space="preserve">The recommended mitigation is straightforward: the platform’s terms of service and disclosure workflow should require explicit human attribution for every defensive publication. The inventor must confirm, through a digital signature or equivalent mechanism, that they have reviewed the disclosure, contributed inventive subject matter, and take responsibility for its accuracy. The AI is positioned as a drafting and structuring tool, not a creative agent. This human-in-the-loop design aligns with the</w:t>
      </w:r>
      <w:r>
        <w:t xml:space="preserve"> </w:t>
      </w:r>
      <w:r>
        <w:rPr>
          <w:iCs/>
          <w:i/>
        </w:rPr>
        <w:t xml:space="preserve">Thaler</w:t>
      </w:r>
      <w:r>
        <w:t xml:space="preserve"> </w:t>
      </w:r>
      <w:r>
        <w:t xml:space="preserve">court’s reasoning and reduces the risk that a blockchain-disclosed invention would fail an inventorship challenge in opposition or litigation. The platform should maintain an audit trail of the human confirmation alongside the blockchain timestamp, creating a dual-evidence structure that addresses both the</w:t>
      </w:r>
      <w:r>
        <w:t xml:space="preserve"> </w:t>
      </w:r>
      <w:r>
        <w:t xml:space="preserve">“</w:t>
      </w:r>
      <w:r>
        <w:t xml:space="preserve">when</w:t>
      </w:r>
      <w:r>
        <w:t xml:space="preserve">”</w:t>
      </w:r>
      <w:r>
        <w:t xml:space="preserve"> </w:t>
      </w:r>
      <w:r>
        <w:t xml:space="preserve">(blockchain) and the</w:t>
      </w:r>
      <w:r>
        <w:t xml:space="preserve"> </w:t>
      </w:r>
      <w:r>
        <w:t xml:space="preserve">“</w:t>
      </w:r>
      <w:r>
        <w:t xml:space="preserve">who</w:t>
      </w:r>
      <w:r>
        <w:t xml:space="preserve">”</w:t>
      </w:r>
      <w:r>
        <w:t xml:space="preserve"> </w:t>
      </w:r>
      <w:r>
        <w:t xml:space="preserve">(attestation) questions that patent challengers typically raise.</w:t>
      </w:r>
    </w:p>
    <w:p>
      <w:pPr>
        <w:pStyle w:val="BodyText"/>
      </w:pPr>
      <w:r>
        <w:t xml:space="preserve">A final caveat warrants emphasis: blockchain timestamping does not confer patent title. It proves prior possession and supports defensive prior art, preventing others from patenting the same invention and suing the original inventor for infringement [^10^]. It does not create offensive patent rights — the inventor cannot use a blockchain disclosure to sue others for infringement. This limitation must be clearly communicated to users. Inventors seeking offensive patent protection must still file formal patent applications within the relevant statutory deadlines, using the blockchain timestamp as supporting evidence of priority rather than as a substitute for filing.</w:t>
      </w:r>
    </w:p>
    <w:p>
      <w:r>
        <w:pict>
          <v:rect style="width:0;height:1.5pt" o:hralign="center" o:hrstd="t" o:hr="t"/>
        </w:pict>
      </w:r>
    </w:p>
    <w:bookmarkEnd w:id="66"/>
    <w:bookmarkEnd w:id="67"/>
    <w:bookmarkEnd w:id="68"/>
    <w:bookmarkStart w:id="72" w:name="branding-strategy-ecosystem-integration"/>
    <w:p>
      <w:pPr>
        <w:pStyle w:val="Heading2"/>
      </w:pPr>
      <w:r>
        <w:t xml:space="preserve">4. Branding Strategy &amp; Ecosystem Integration</w:t>
      </w:r>
    </w:p>
    <w:bookmarkStart w:id="69" w:name="brand-architecture"/>
    <w:p>
      <w:pPr>
        <w:pStyle w:val="Heading3"/>
      </w:pPr>
      <w:r>
        <w:t xml:space="preserve">4.1 Brand Architecture</w:t>
      </w:r>
    </w:p>
    <w:p>
      <w:pPr>
        <w:pStyle w:val="FirstParagraph"/>
      </w:pPr>
      <w:r>
        <w:t xml:space="preserve">OpenPatent.ai deploys an</w:t>
      </w:r>
      <w:r>
        <w:t xml:space="preserve"> </w:t>
      </w:r>
      <w:r>
        <w:rPr>
          <w:bCs/>
          <w:b/>
        </w:rPr>
        <w:t xml:space="preserve">endorsed brand architecture</w:t>
      </w:r>
      <w:r>
        <w:t xml:space="preserve"> </w:t>
      </w:r>
      <w:r>
        <w:t xml:space="preserve">— positioning the product as</w:t>
      </w:r>
      <w:r>
        <w:t xml:space="preserve"> </w:t>
      </w:r>
      <w:r>
        <w:t xml:space="preserve">“</w:t>
      </w:r>
      <w:r>
        <w:t xml:space="preserve">OpenPatent by prooof</w:t>
      </w:r>
      <w:r>
        <w:t xml:space="preserve">”</w:t>
      </w:r>
      <w:r>
        <w:t xml:space="preserve"> </w:t>
      </w:r>
      <w:r>
        <w:t xml:space="preserve">— a deliberate structural choice that transfers credibility from an established parent while preserving distinct identity for the AI-native patent vertical. Endorsed architecture works best when the parent brand carries accumulated trust and the sub-brand targets an adjacent but distinct market segment[^681^]. For the CSOAI/MEOK ecosystem, this means prooof.ai’s existing identity verification and notarization infrastructure functions as a credibility signal without overpowering the technical specificity that patent practitioners demand.</w:t>
      </w:r>
    </w:p>
    <w:p>
      <w:pPr>
        <w:pStyle w:val="BodyText"/>
      </w:pPr>
      <w:r>
        <w:t xml:space="preserve">The tagline —</w:t>
      </w:r>
      <w:r>
        <w:t xml:space="preserve"> </w:t>
      </w:r>
      <w:r>
        <w:rPr>
          <w:bCs/>
          <w:b/>
        </w:rPr>
        <w:t xml:space="preserve">“</w:t>
      </w:r>
      <w:r>
        <w:rPr>
          <w:bCs/>
          <w:b/>
        </w:rPr>
        <w:t xml:space="preserve">Protect ideas. Open source. Permanently.</w:t>
      </w:r>
      <w:r>
        <w:rPr>
          <w:bCs/>
          <w:b/>
        </w:rPr>
        <w:t xml:space="preserve">”</w:t>
      </w:r>
      <w:r>
        <w:t xml:space="preserve"> </w:t>
      </w:r>
      <w:r>
        <w:t xml:space="preserve">— compresses the value proposition into three imperative statements that map directly to functional pillars.</w:t>
      </w:r>
      <w:r>
        <w:t xml:space="preserve"> </w:t>
      </w:r>
      <w:r>
        <w:t xml:space="preserve">“</w:t>
      </w:r>
      <w:r>
        <w:t xml:space="preserve">Protect ideas</w:t>
      </w:r>
      <w:r>
        <w:t xml:space="preserve">”</w:t>
      </w:r>
      <w:r>
        <w:t xml:space="preserve"> </w:t>
      </w:r>
      <w:r>
        <w:t xml:space="preserve">signals the drafting engine’s purpose.</w:t>
      </w:r>
      <w:r>
        <w:t xml:space="preserve"> </w:t>
      </w:r>
      <w:r>
        <w:t xml:space="preserve">“</w:t>
      </w:r>
      <w:r>
        <w:t xml:space="preserve">Open source</w:t>
      </w:r>
      <w:r>
        <w:t xml:space="preserve">”</w:t>
      </w:r>
      <w:r>
        <w:t xml:space="preserve"> </w:t>
      </w:r>
      <w:r>
        <w:t xml:space="preserve">differentiates against closed patent management incumbents whose licensing costs scale aggressively with seat count — a material advantage given that 96% of commercial codebases already contain open-source components and enterprises increasingly prioritize transparency in vendor selection[^680^].</w:t>
      </w:r>
      <w:r>
        <w:t xml:space="preserve"> </w:t>
      </w:r>
      <w:r>
        <w:t xml:space="preserve">“</w:t>
      </w:r>
      <w:r>
        <w:t xml:space="preserve">Permanently</w:t>
      </w:r>
      <w:r>
        <w:t xml:space="preserve">”</w:t>
      </w:r>
      <w:r>
        <w:t xml:space="preserve"> </w:t>
      </w:r>
      <w:r>
        <w:t xml:space="preserve">references the cryptographic disclosure layer: blockchain-stamped prior art that survives corporate dissolution, platform shutdowns, and database migrations. The tricolon structure aids memorability while each clause carries a defensible technical claim behind it.</w:t>
      </w:r>
    </w:p>
    <w:p>
      <w:pPr>
        <w:pStyle w:val="BodyText"/>
      </w:pPr>
      <w:r>
        <w:t xml:space="preserve">Visual identity must perform a three-way integration.</w:t>
      </w:r>
      <w:r>
        <w:t xml:space="preserve"> </w:t>
      </w:r>
      <w:r>
        <w:rPr>
          <w:bCs/>
          <w:b/>
        </w:rPr>
        <w:t xml:space="preserve">OpenMOE.ai</w:t>
      </w:r>
      <w:r>
        <w:t xml:space="preserve"> </w:t>
      </w:r>
      <w:r>
        <w:t xml:space="preserve">contributes the open-models ethos — weight-agnostic AI, local inference, user data sovereignty — that differentiates the drafting engine from cloud-locked competitors.</w:t>
      </w:r>
      <w:r>
        <w:t xml:space="preserve"> </w:t>
      </w:r>
      <w:r>
        <w:rPr>
          <w:bCs/>
          <w:b/>
        </w:rPr>
        <w:t xml:space="preserve">prooof.ai</w:t>
      </w:r>
      <w:r>
        <w:t xml:space="preserve"> </w:t>
      </w:r>
      <w:r>
        <w:t xml:space="preserve">contributes the proof/verification visual language — cryptographic seals, hash chains, timestamp authority — that transfers immediately to patent disclosure credibility.</w:t>
      </w:r>
      <w:r>
        <w:t xml:space="preserve"> </w:t>
      </w:r>
      <w:r>
        <w:rPr>
          <w:bCs/>
          <w:b/>
        </w:rPr>
        <w:t xml:space="preserve">PatentMCP</w:t>
      </w:r>
      <w:r>
        <w:t xml:space="preserve"> </w:t>
      </w:r>
      <w:r>
        <w:t xml:space="preserve">contributes technical credibility through its 6-layer disclosure architecture (SHA-256 hashing, IPFS anchoring, Ethereum notarization, zero-knowledge proof, temporal attestation, cross-chain verification), all expressed through the Model Context Protocol standard. The resulting identity should feel like a research tool built by engineers who understand both cryptographic guarantees and patent office workflows — neither purely consumer nor purely enterprise, but precisely the hybrid that open-source patent tooling requires.</w:t>
      </w:r>
    </w:p>
    <w:bookmarkEnd w:id="69"/>
    <w:bookmarkStart w:id="70" w:name="ecosystem-integration-map"/>
    <w:p>
      <w:pPr>
        <w:pStyle w:val="Heading3"/>
      </w:pPr>
      <w:r>
        <w:t xml:space="preserve">4.2 Ecosystem Integration Map</w:t>
      </w:r>
    </w:p>
    <w:p>
      <w:pPr>
        <w:pStyle w:val="FirstParagraph"/>
      </w:pPr>
      <w:r>
        <w:t xml:space="preserve">The ecosystem architecture follows a pipeline model with OpenPatent.ai at the center, drawing capabilities from upstream AI infrastructure, delivering verification and compliance services downstream, and extending horizontally through the MCP ecosystem’s standardized tool interface.</w:t>
      </w:r>
    </w:p>
    <w:p>
      <w:pPr>
        <w:pStyle w:val="BodyText"/>
      </w:pPr>
      <w:r>
        <w:rPr>
          <w:bCs/>
          <w:b/>
        </w:rPr>
        <w:t xml:space="preserve">Table 1: Ecosystem Integration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Function</w:t>
            </w:r>
          </w:p>
        </w:tc>
        <w:tc>
          <w:tcPr/>
          <w:p>
            <w:pPr>
              <w:pStyle w:val="Compact"/>
              <w:jc w:val="left"/>
            </w:pPr>
            <w:r>
              <w:t xml:space="preserve">Technical Interface</w:t>
            </w:r>
          </w:p>
        </w:tc>
        <w:tc>
          <w:tcPr/>
          <w:p>
            <w:pPr>
              <w:pStyle w:val="Compact"/>
              <w:jc w:val="left"/>
            </w:pPr>
            <w:r>
              <w:t xml:space="preserve">Contribution to OpenPatent.ai</w:t>
            </w:r>
          </w:p>
        </w:tc>
      </w:tr>
      <w:tr>
        <w:tc>
          <w:tcPr/>
          <w:p>
            <w:pPr>
              <w:pStyle w:val="Compact"/>
              <w:jc w:val="left"/>
            </w:pPr>
            <w:r>
              <w:rPr>
                <w:bCs/>
                <w:b/>
              </w:rPr>
              <w:t xml:space="preserve">Upstream</w:t>
            </w:r>
          </w:p>
        </w:tc>
        <w:tc>
          <w:tcPr/>
          <w:p>
            <w:pPr>
              <w:pStyle w:val="Compact"/>
              <w:jc w:val="left"/>
            </w:pPr>
            <w:r>
              <w:t xml:space="preserve">OpenMOE.ai</w:t>
            </w:r>
          </w:p>
        </w:tc>
        <w:tc>
          <w:tcPr/>
          <w:p>
            <w:pPr>
              <w:pStyle w:val="Compact"/>
              <w:jc w:val="left"/>
            </w:pPr>
            <w:r>
              <w:t xml:space="preserve">Open-source LLM hosting and local inference</w:t>
            </w:r>
          </w:p>
        </w:tc>
        <w:tc>
          <w:tcPr/>
          <w:p>
            <w:pPr>
              <w:pStyle w:val="Compact"/>
              <w:jc w:val="left"/>
            </w:pPr>
            <w:r>
              <w:t xml:space="preserve">API / model weights download</w:t>
            </w:r>
          </w:p>
        </w:tc>
        <w:tc>
          <w:tcPr/>
          <w:p>
            <w:pPr>
              <w:pStyle w:val="Compact"/>
              <w:jc w:val="left"/>
            </w:pPr>
            <w:r>
              <w:t xml:space="preserve">Eliminates cloud API costs ($0.06–$0.12 per 1K tokens for GPT-4-class models); ensures patent drafts never traverse third-party servers; enables air-gapped deployment for law firms with client confidentiality requirements[^644^]</w:t>
            </w:r>
          </w:p>
        </w:tc>
      </w:tr>
      <w:tr>
        <w:tc>
          <w:tcPr/>
          <w:p>
            <w:pPr>
              <w:pStyle w:val="Compact"/>
              <w:jc w:val="left"/>
            </w:pPr>
            <w:r>
              <w:rPr>
                <w:bCs/>
                <w:b/>
              </w:rPr>
              <w:t xml:space="preserve">Core</w:t>
            </w:r>
          </w:p>
        </w:tc>
        <w:tc>
          <w:tcPr/>
          <w:p>
            <w:pPr>
              <w:pStyle w:val="Compact"/>
              <w:jc w:val="left"/>
            </w:pPr>
            <w:r>
              <w:t xml:space="preserve">OpenPatent Drafting UI</w:t>
            </w:r>
          </w:p>
        </w:tc>
        <w:tc>
          <w:tcPr/>
          <w:p>
            <w:pPr>
              <w:pStyle w:val="Compact"/>
              <w:jc w:val="left"/>
            </w:pPr>
            <w:r>
              <w:t xml:space="preserve">Forked from erdalbektas/openpatent (MIT license); TypeScript/Bun stack with AI-assisted claim drafting</w:t>
            </w:r>
          </w:p>
        </w:tc>
        <w:tc>
          <w:tcPr/>
          <w:p>
            <w:pPr>
              <w:pStyle w:val="Compact"/>
              <w:jc w:val="left"/>
            </w:pPr>
            <w:r>
              <w:t xml:space="preserve">Web UI + local API</w:t>
            </w:r>
          </w:p>
        </w:tc>
        <w:tc>
          <w:tcPr/>
          <w:p>
            <w:pPr>
              <w:pStyle w:val="Compact"/>
              <w:jc w:val="left"/>
            </w:pPr>
            <w:r>
              <w:t xml:space="preserve">Primary user interface for independent inventors and SMEs; claim generation, prior art search integration, export to USPTO/EPO formats</w:t>
            </w:r>
          </w:p>
        </w:tc>
      </w:tr>
      <w:tr>
        <w:tc>
          <w:tcPr/>
          <w:p>
            <w:pPr>
              <w:pStyle w:val="Compact"/>
              <w:jc w:val="left"/>
            </w:pPr>
            <w:r>
              <w:rPr>
                <w:bCs/>
                <w:b/>
              </w:rPr>
              <w:t xml:space="preserve">Core</w:t>
            </w:r>
          </w:p>
        </w:tc>
        <w:tc>
          <w:tcPr/>
          <w:p>
            <w:pPr>
              <w:pStyle w:val="Compact"/>
              <w:jc w:val="left"/>
            </w:pPr>
            <w:r>
              <w:t xml:space="preserve">PatentMCP Disclosure Engine</w:t>
            </w:r>
          </w:p>
        </w:tc>
        <w:tc>
          <w:tcPr/>
          <w:p>
            <w:pPr>
              <w:pStyle w:val="Compact"/>
              <w:jc w:val="left"/>
            </w:pPr>
            <w:r>
              <w:t xml:space="preserve">2,400-line Python engine; 6-layer cryptographic disclosure (SHA-256, IPFS, Ethereum, ZKP, temporal attestation, cross-chain)</w:t>
            </w:r>
          </w:p>
        </w:tc>
        <w:tc>
          <w:tcPr/>
          <w:p>
            <w:pPr>
              <w:pStyle w:val="Compact"/>
              <w:jc w:val="left"/>
            </w:pPr>
            <w:r>
              <w:t xml:space="preserve">MCP server protocol</w:t>
            </w:r>
          </w:p>
        </w:tc>
        <w:tc>
          <w:tcPr/>
          <w:p>
            <w:pPr>
              <w:pStyle w:val="Compact"/>
              <w:jc w:val="left"/>
            </w:pPr>
            <w:r>
              <w:t xml:space="preserve">Produces tamper-evident disclosure records admissible as evidence of conception date in USPTO interference proceedings</w:t>
            </w:r>
          </w:p>
        </w:tc>
      </w:tr>
      <w:tr>
        <w:tc>
          <w:tcPr/>
          <w:p>
            <w:pPr>
              <w:pStyle w:val="Compact"/>
              <w:jc w:val="left"/>
            </w:pPr>
            <w:r>
              <w:rPr>
                <w:bCs/>
                <w:b/>
              </w:rPr>
              <w:t xml:space="preserve">Core</w:t>
            </w:r>
          </w:p>
        </w:tc>
        <w:tc>
          <w:tcPr/>
          <w:p>
            <w:pPr>
              <w:pStyle w:val="Compact"/>
              <w:jc w:val="left"/>
            </w:pPr>
            <w:r>
              <w:t xml:space="preserve">Verification Dashboard</w:t>
            </w:r>
          </w:p>
        </w:tc>
        <w:tc>
          <w:tcPr/>
          <w:p>
            <w:pPr>
              <w:pStyle w:val="Compact"/>
              <w:jc w:val="left"/>
            </w:pPr>
            <w:r>
              <w:t xml:space="preserve">Real-time disclosure status, hash verification, chain explorer</w:t>
            </w:r>
          </w:p>
        </w:tc>
        <w:tc>
          <w:tcPr/>
          <w:p>
            <w:pPr>
              <w:pStyle w:val="Compact"/>
              <w:jc w:val="left"/>
            </w:pPr>
            <w:r>
              <w:t xml:space="preserve">Web dashboard</w:t>
            </w:r>
          </w:p>
        </w:tc>
        <w:tc>
          <w:tcPr/>
          <w:p>
            <w:pPr>
              <w:pStyle w:val="Compact"/>
              <w:jc w:val="left"/>
            </w:pPr>
            <w:r>
              <w:t xml:space="preserve">User-facing confirmation that disclosures are anchored and retrievable</w:t>
            </w:r>
          </w:p>
        </w:tc>
      </w:tr>
      <w:tr>
        <w:tc>
          <w:tcPr/>
          <w:p>
            <w:pPr>
              <w:pStyle w:val="Compact"/>
              <w:jc w:val="left"/>
            </w:pPr>
            <w:r>
              <w:rPr>
                <w:bCs/>
                <w:b/>
              </w:rPr>
              <w:t xml:space="preserve">Downstream</w:t>
            </w:r>
          </w:p>
        </w:tc>
        <w:tc>
          <w:tcPr/>
          <w:p>
            <w:pPr>
              <w:pStyle w:val="Compact"/>
              <w:jc w:val="left"/>
            </w:pPr>
            <w:r>
              <w:t xml:space="preserve">prooof.ai</w:t>
            </w:r>
          </w:p>
        </w:tc>
        <w:tc>
          <w:tcPr/>
          <w:p>
            <w:pPr>
              <w:pStyle w:val="Compact"/>
              <w:jc w:val="left"/>
            </w:pPr>
            <w:r>
              <w:t xml:space="preserve">Identity verification, notarization, compliance layering</w:t>
            </w:r>
          </w:p>
        </w:tc>
        <w:tc>
          <w:tcPr/>
          <w:p>
            <w:pPr>
              <w:pStyle w:val="Compact"/>
              <w:jc w:val="left"/>
            </w:pPr>
            <w:r>
              <w:t xml:space="preserve">API integration</w:t>
            </w:r>
          </w:p>
        </w:tc>
        <w:tc>
          <w:tcPr/>
          <w:p>
            <w:pPr>
              <w:pStyle w:val="Compact"/>
              <w:jc w:val="left"/>
            </w:pPr>
            <w:r>
              <w:t xml:space="preserve">KYC for inventor identity binding; legally recognized notarization for jurisdictions requiring sworn inventor declarations</w:t>
            </w:r>
          </w:p>
        </w:tc>
      </w:tr>
      <w:tr>
        <w:tc>
          <w:tcPr/>
          <w:p>
            <w:pPr>
              <w:pStyle w:val="Compact"/>
              <w:jc w:val="left"/>
            </w:pPr>
            <w:r>
              <w:rPr>
                <w:bCs/>
                <w:b/>
              </w:rPr>
              <w:t xml:space="preserve">Horizontal</w:t>
            </w:r>
          </w:p>
        </w:tc>
        <w:tc>
          <w:tcPr/>
          <w:p>
            <w:pPr>
              <w:pStyle w:val="Compact"/>
              <w:jc w:val="left"/>
            </w:pPr>
            <w:r>
              <w:t xml:space="preserve">MCP Ecosystem (62+ servers)</w:t>
            </w:r>
          </w:p>
        </w:tc>
        <w:tc>
          <w:tcPr/>
          <w:p>
            <w:pPr>
              <w:pStyle w:val="Compact"/>
              <w:jc w:val="left"/>
            </w:pPr>
            <w:r>
              <w:t xml:space="preserve">Code analysis, documentation, research, citation management</w:t>
            </w:r>
          </w:p>
        </w:tc>
        <w:tc>
          <w:tcPr/>
          <w:p>
            <w:pPr>
              <w:pStyle w:val="Compact"/>
              <w:jc w:val="left"/>
            </w:pPr>
            <w:r>
              <w:t xml:space="preserve">MCP client/server protocol</w:t>
            </w:r>
          </w:p>
        </w:tc>
        <w:tc>
          <w:tcPr/>
          <w:p>
            <w:pPr>
              <w:pStyle w:val="Compact"/>
              <w:jc w:val="left"/>
            </w:pPr>
            <w:r>
              <w:t xml:space="preserve">Enables horizontal feature expansion without custom integration work; plug-in architecture for patent-specific tools (claim charting, family tree visualization, citation network analysis)[^678^]</w:t>
            </w:r>
          </w:p>
        </w:tc>
      </w:tr>
    </w:tbl>
    <w:p>
      <w:pPr>
        <w:pStyle w:val="BodyText"/>
      </w:pPr>
      <w:r>
        <w:t xml:space="preserve">The upstream relationship with OpenMOE.ai addresses a constraint that has historically limited AI adoption in legal services: data confidentiality. Cloud-based patent drafting tools expose client inventions to third-party API providers, creating conflicts with attorney-client privilege obligations. Local inference via OpenMOE.ai eliminates this exposure entirely — a competitive wedge against existing AI legal tools that default to remote model calls. The cost advantage compounds at scale: a mid-size patent practice generating 500 drafts monthly would spend $15,000–$30,000 on cloud LLM API fees alone, versus the marginal compute cost of local GPU inference that OpenMOE.ai amortizes across the ecosystem.</w:t>
      </w:r>
    </w:p>
    <w:p>
      <w:pPr>
        <w:pStyle w:val="BodyText"/>
      </w:pPr>
      <w:r>
        <w:t xml:space="preserve">PatentMCP functions as the technical moat. While patent drafting UIs are increasingly commoditized — evidenced by the proliferation of GPT-wrapper patent tools on GitHub — cryptographic disclosure infrastructure with legal-grade evidentiary standards remains rare. The 6-layer architecture produces records that satisfy the</w:t>
      </w:r>
      <w:r>
        <w:t xml:space="preserve"> </w:t>
      </w:r>
      <w:r>
        <w:t xml:space="preserve">“</w:t>
      </w:r>
      <w:r>
        <w:t xml:space="preserve">corroborating evidence</w:t>
      </w:r>
      <w:r>
        <w:t xml:space="preserve">”</w:t>
      </w:r>
      <w:r>
        <w:t xml:space="preserve"> </w:t>
      </w:r>
      <w:r>
        <w:t xml:space="preserve">standard under 37 CFR 1.131, potentially decisive in interference proceedings where conception date determines priority. This is not a marketing differentiator; it is a structural advantage that compounds with each disclosure anchored to the chain.</w:t>
      </w:r>
    </w:p>
    <w:p>
      <w:pPr>
        <w:pStyle w:val="BodyText"/>
      </w:pPr>
      <w:r>
        <w:t xml:space="preserve">The downstream prooof.ai integration extends OpenPatent.ai’s utility from prior art protection to full-spectrum IP compliance. Independent inventors filing provisional patents often lack access to notarization services that large firms take for granted. The prooof.ai integration binds verified identity to disclosure records, creating a legally defensible audit trail from conception through filing — a capability that currently requires manual coordination across three or more service providers.</w:t>
      </w:r>
    </w:p>
    <w:p>
      <w:pPr>
        <w:pStyle w:val="BodyText"/>
      </w:pPr>
      <w:r>
        <w:t xml:space="preserve">The horizontal MCP ecosystem represents the most underutilized growth vector. With 62+ existing MCP servers covering code analysis, documentation generation, and academic research, OpenPatent.ai gains integration capabilities without building them. A researcher analyzing patentable code can invoke code-analysis MCP servers directly from the drafting interface; a biotech inventor can trigger PubMed search servers to populate prior art citations. This architecture transforms OpenPatent.ai from a point solution into a composable platform — the difference between a word processor with legal templates and an integrated invention development environment.</w:t>
      </w:r>
    </w:p>
    <w:bookmarkEnd w:id="70"/>
    <w:bookmarkStart w:id="71" w:name="naming-domain-strategy"/>
    <w:p>
      <w:pPr>
        <w:pStyle w:val="Heading3"/>
      </w:pPr>
      <w:r>
        <w:t xml:space="preserve">4.3 Naming &amp; Domain Strategy</w:t>
      </w:r>
    </w:p>
    <w:p>
      <w:pPr>
        <w:pStyle w:val="FirstParagraph"/>
      </w:pPr>
      <w:r>
        <w:rPr>
          <w:bCs/>
          <w:b/>
        </w:rPr>
        <w:t xml:space="preserve">Table 2: Domain Portfolio Strategy &amp; Economics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Status</w:t>
            </w:r>
          </w:p>
        </w:tc>
        <w:tc>
          <w:tcPr/>
          <w:p>
            <w:pPr>
              <w:pStyle w:val="Compact"/>
              <w:jc w:val="left"/>
            </w:pPr>
            <w:r>
              <w:t xml:space="preserve">Cost</w:t>
            </w:r>
          </w:p>
        </w:tc>
        <w:tc>
          <w:tcPr/>
          <w:p>
            <w:pPr>
              <w:pStyle w:val="Compact"/>
              <w:jc w:val="left"/>
            </w:pPr>
            <w:r>
              <w:t xml:space="preserve">Timeline</w:t>
            </w:r>
          </w:p>
        </w:tc>
        <w:tc>
          <w:tcPr/>
          <w:p>
            <w:pPr>
              <w:pStyle w:val="Compact"/>
              <w:jc w:val="left"/>
            </w:pPr>
            <w:r>
              <w:t xml:space="preserve">Strategic Rationale</w:t>
            </w:r>
          </w:p>
        </w:tc>
      </w:tr>
      <w:tr>
        <w:tc>
          <w:tcPr/>
          <w:p>
            <w:pPr>
              <w:pStyle w:val="Compact"/>
              <w:jc w:val="left"/>
            </w:pPr>
            <w:r>
              <w:rPr>
                <w:bCs/>
                <w:b/>
              </w:rPr>
              <w:t xml:space="preserve">openpatent.ai</w:t>
            </w:r>
          </w:p>
        </w:tc>
        <w:tc>
          <w:tcPr/>
          <w:p>
            <w:pPr>
              <w:pStyle w:val="Compact"/>
              <w:jc w:val="left"/>
            </w:pPr>
            <w:r>
              <w:t xml:space="preserve">Primary; immediate acquisition</w:t>
            </w:r>
          </w:p>
        </w:tc>
        <w:tc>
          <w:tcPr/>
          <w:p>
            <w:pPr>
              <w:pStyle w:val="Compact"/>
              <w:jc w:val="left"/>
            </w:pPr>
            <w:r>
              <w:t xml:space="preserve">~$160 for 2-year registration (~$80/year)[^535^]</w:t>
            </w:r>
          </w:p>
        </w:tc>
        <w:tc>
          <w:tcPr/>
          <w:p>
            <w:pPr>
              <w:pStyle w:val="Compact"/>
              <w:jc w:val="left"/>
            </w:pPr>
            <w:r>
              <w:t xml:space="preserve">Q0 (immediate)</w:t>
            </w:r>
          </w:p>
        </w:tc>
        <w:tc>
          <w:tcPr/>
          <w:p>
            <w:pPr>
              <w:pStyle w:val="Compact"/>
              <w:jc w:val="left"/>
            </w:pPr>
            <w:r>
              <w:t xml:space="preserve">Two-word .ai domains trade at significant premiums in the aftermarket — comparable sales include stack.ai at $258,888 and npc.ai at $250,000[^535^]. At registration pricing, this is asymmetric risk: $160 downside versus five-figure replacement cost if lost to a speculator. The .ai extension has surged 375% in registrations since 2022–2023[^682^] and commands a 90% renewal rate, indicating registrant conviction[^535^].</w:t>
            </w:r>
          </w:p>
        </w:tc>
      </w:tr>
      <w:tr>
        <w:tc>
          <w:tcPr/>
          <w:p>
            <w:pPr>
              <w:pStyle w:val="Compact"/>
              <w:jc w:val="left"/>
            </w:pPr>
            <w:r>
              <w:rPr>
                <w:bCs/>
                <w:b/>
              </w:rPr>
              <w:t xml:space="preserve">openpatent.com</w:t>
            </w:r>
          </w:p>
        </w:tc>
        <w:tc>
          <w:tcPr/>
          <w:p>
            <w:pPr>
              <w:pStyle w:val="Compact"/>
              <w:jc w:val="left"/>
            </w:pPr>
            <w:r>
              <w:t xml:space="preserve">Secondary; deferred</w:t>
            </w:r>
          </w:p>
        </w:tc>
        <w:tc>
          <w:tcPr/>
          <w:p>
            <w:pPr>
              <w:pStyle w:val="Compact"/>
              <w:jc w:val="left"/>
            </w:pPr>
            <w:r>
              <w:t xml:space="preserve">~$15,000 (estimated aftermarket)</w:t>
            </w:r>
          </w:p>
        </w:tc>
        <w:tc>
          <w:tcPr/>
          <w:p>
            <w:pPr>
              <w:pStyle w:val="Compact"/>
              <w:jc w:val="left"/>
            </w:pPr>
            <w:r>
              <w:t xml:space="preserve">Q4+ (post-traction)</w:t>
            </w:r>
          </w:p>
        </w:tc>
        <w:tc>
          <w:tcPr/>
          <w:p>
            <w:pPr>
              <w:pStyle w:val="Compact"/>
              <w:jc w:val="left"/>
            </w:pPr>
            <w:r>
              <w:t xml:space="preserve">.com remains the default assumption for direct navigation, but for AI-native products, .ai increasingly outperforms on brand signal. DNSFilter data shows traffic to AI-related websites surged 786% between October 2023 and September 2024, far outpacing the growth in unique AI domains[^679^]. The implication: .ai domains concentrate attention. Deferring the .com purchase preserves capital for product development while the risk of price inflation is moderate — two-word .com domains in niche B2B verticals rarely appreciate faster than 8–12% annually[^674^].</w:t>
            </w:r>
          </w:p>
        </w:tc>
      </w:tr>
      <w:tr>
        <w:tc>
          <w:tcPr/>
          <w:p>
            <w:pPr>
              <w:pStyle w:val="Compact"/>
              <w:jc w:val="left"/>
            </w:pPr>
            <w:r>
              <w:rPr>
                <w:bCs/>
                <w:b/>
              </w:rPr>
              <w:t xml:space="preserve">draft.openpatent.ai</w:t>
            </w:r>
          </w:p>
        </w:tc>
        <w:tc>
          <w:tcPr/>
          <w:p>
            <w:pPr>
              <w:pStyle w:val="Compact"/>
              <w:jc w:val="left"/>
            </w:pPr>
            <w:r>
              <w:t xml:space="preserve">Subdomain; activate at launch</w:t>
            </w:r>
          </w:p>
        </w:tc>
        <w:tc>
          <w:tcPr/>
          <w:p>
            <w:pPr>
              <w:pStyle w:val="Compact"/>
              <w:jc w:val="left"/>
            </w:pPr>
            <w:r>
              <w:t xml:space="preserve">$0 (included with primary)</w:t>
            </w:r>
          </w:p>
        </w:tc>
        <w:tc>
          <w:tcPr/>
          <w:p>
            <w:pPr>
              <w:pStyle w:val="Compact"/>
              <w:jc w:val="left"/>
            </w:pPr>
            <w:r>
              <w:t xml:space="preserve">Q1 (launch)</w:t>
            </w:r>
          </w:p>
        </w:tc>
        <w:tc>
          <w:tcPr/>
          <w:p>
            <w:pPr>
              <w:pStyle w:val="Compact"/>
              <w:jc w:val="left"/>
            </w:pPr>
            <w:r>
              <w:t xml:space="preserve">Dedicated interface for the drafting engine; enables independent scaling of the UI service and cleaner API routing. Signals functional separation to users who may only need drafting, not disclosure.</w:t>
            </w:r>
          </w:p>
        </w:tc>
      </w:tr>
      <w:tr>
        <w:tc>
          <w:tcPr/>
          <w:p>
            <w:pPr>
              <w:pStyle w:val="Compact"/>
              <w:jc w:val="left"/>
            </w:pPr>
            <w:r>
              <w:rPr>
                <w:bCs/>
                <w:b/>
              </w:rPr>
              <w:t xml:space="preserve">verify.openpatent.ai</w:t>
            </w:r>
          </w:p>
        </w:tc>
        <w:tc>
          <w:tcPr/>
          <w:p>
            <w:pPr>
              <w:pStyle w:val="Compact"/>
              <w:jc w:val="left"/>
            </w:pPr>
            <w:r>
              <w:t xml:space="preserve">Subdomain; activate at launch</w:t>
            </w:r>
          </w:p>
        </w:tc>
        <w:tc>
          <w:tcPr/>
          <w:p>
            <w:pPr>
              <w:pStyle w:val="Compact"/>
              <w:jc w:val="left"/>
            </w:pPr>
            <w:r>
              <w:t xml:space="preserve">$0 (included with primary)</w:t>
            </w:r>
          </w:p>
        </w:tc>
        <w:tc>
          <w:tcPr/>
          <w:p>
            <w:pPr>
              <w:pStyle w:val="Compact"/>
              <w:jc w:val="left"/>
            </w:pPr>
            <w:r>
              <w:t xml:space="preserve">Q1 (launch)</w:t>
            </w:r>
          </w:p>
        </w:tc>
        <w:tc>
          <w:tcPr/>
          <w:p>
            <w:pPr>
              <w:pStyle w:val="Compact"/>
              <w:jc w:val="left"/>
            </w:pPr>
            <w:r>
              <w:t xml:space="preserve">Verification dashboard and disclosure explorer; public-facing proof-of-anchoring interface that third parties (patent examiners, opposing counsel) can access without registration. Critical for evidentiary credibility — the verification layer must be independently accessible.</w:t>
            </w:r>
          </w:p>
        </w:tc>
      </w:tr>
      <w:tr>
        <w:tc>
          <w:tcPr/>
          <w:p>
            <w:pPr>
              <w:pStyle w:val="Compact"/>
              <w:jc w:val="left"/>
            </w:pPr>
            <w:r>
              <w:rPr>
                <w:bCs/>
                <w:b/>
              </w:rPr>
              <w:t xml:space="preserve">mcp.openpatent.ai</w:t>
            </w:r>
          </w:p>
        </w:tc>
        <w:tc>
          <w:tcPr/>
          <w:p>
            <w:pPr>
              <w:pStyle w:val="Compact"/>
              <w:jc w:val="left"/>
            </w:pPr>
            <w:r>
              <w:t xml:space="preserve">Subdomain; activate at MCP server release</w:t>
            </w:r>
          </w:p>
        </w:tc>
        <w:tc>
          <w:tcPr/>
          <w:p>
            <w:pPr>
              <w:pStyle w:val="Compact"/>
              <w:jc w:val="left"/>
            </w:pPr>
            <w:r>
              <w:t xml:space="preserve">$0 (included with primary)</w:t>
            </w:r>
          </w:p>
        </w:tc>
        <w:tc>
          <w:tcPr/>
          <w:p>
            <w:pPr>
              <w:pStyle w:val="Compact"/>
              <w:jc w:val="left"/>
            </w:pPr>
            <w:r>
              <w:t xml:space="preserve">Q2</w:t>
            </w:r>
          </w:p>
        </w:tc>
        <w:tc>
          <w:tcPr/>
          <w:p>
            <w:pPr>
              <w:pStyle w:val="Compact"/>
              <w:jc w:val="left"/>
            </w:pPr>
            <w:r>
              <w:t xml:space="preserve">PatentMCP server endpoint and documentation hub; serves the MCP manifest JSON and tool definitions that enable auto-discovery by MCP clients. Central to horizontal ecosystem expansion.</w:t>
            </w:r>
          </w:p>
        </w:tc>
      </w:tr>
    </w:tbl>
    <w:p>
      <w:pPr>
        <w:pStyle w:val="BodyText"/>
      </w:pPr>
      <w:r>
        <w:t xml:space="preserve">The domain strategy balances capital efficiency against optionality. The openpatent.ai registration cost of approximately $160 for two years represents less than 0.05% of the estimated $300,000–$400,000 product development budget — a trivial insurance premium against replacement costs that could reach six figures if the domain enters the aftermarket[^676^]. The .ai extension carries additional signaling value: the global IP software market reached $11.98 billion in 2024 and is projected to grow at 9.63% CAGR through 2035[^644^], while the patent analytics sub-segment specifically grew from $961.3 million to $1.52 billion between 2019 and 2023 at 12.2% CAGR[^677^]. Positioning an AI-native patent tool on a .ai domain aligns brand with the growth vector that capital markets are funding.</w:t>
      </w:r>
    </w:p>
    <w:p>
      <w:pPr>
        <w:pStyle w:val="BodyText"/>
      </w:pPr>
      <w:r>
        <w:t xml:space="preserve">The deferral of openpatent.com reflects a calculated bet on TLD perception shift. Historically, .com dominated because users default to typing it — a first-mover habit formed in the 1990s[^682^]. But for AI-native products targeting technical users (developers, patent attorneys, research scientists), .ai increasingly signals legitimacy rather than novelty. With over 600,000 .ai registrations by early 2025 and premium sales including you.ai at $700,000[^535^], the extension has crossed from speculative to established in the technology sector. The subdomain architecture (draft, verify, mcp) further reinforces functional clarity without requiring additional domain purchases — each subdomain maps to a distinct user journey while maintaining the primary brand’s authority.</w:t>
      </w:r>
    </w:p>
    <w:p>
      <w:pPr>
        <w:pStyle w:val="BodyText"/>
      </w:pPr>
      <w:r>
        <w:t xml:space="preserve">The risk of delaying .com acquisition is manageable. Cybersquatting disputes under the ACPA or UDRP provide legal recourse if a bad-faith actor registers openpatent.com to exploit the brand, though the cost and timeline of arbitration ($1,500–$5,000, 2–6 months) still favor early acquisition if capital permits. The recommended sequence: secure .ai immediately, monitor .com availability via backorder services, and acquire only after demonstrating product-market traction through user activation metrics on the primary domain. This preserves optionality without committing $15,000 to a defensive asset before the core product validates demand.</w:t>
      </w:r>
    </w:p>
    <w:p>
      <w:r>
        <w:pict>
          <v:rect style="width:0;height:1.5pt" o:hralign="center" o:hrstd="t" o:hr="t"/>
        </w:pict>
      </w:r>
    </w:p>
    <w:bookmarkEnd w:id="71"/>
    <w:bookmarkEnd w:id="72"/>
    <w:bookmarkStart w:id="85" w:name="saas-architecture-payg-pricing-model"/>
    <w:p>
      <w:pPr>
        <w:pStyle w:val="Heading2"/>
      </w:pPr>
      <w:r>
        <w:t xml:space="preserve">5. SaaS Architecture &amp; PAYG Pricing Model</w:t>
      </w:r>
    </w:p>
    <w:bookmarkStart w:id="76" w:name="architecture-overview"/>
    <w:p>
      <w:pPr>
        <w:pStyle w:val="Heading3"/>
      </w:pPr>
      <w:r>
        <w:t xml:space="preserve">5.1 Architecture Overview</w:t>
      </w:r>
    </w:p>
    <w:bookmarkStart w:id="73" w:name="Xc33568cbaba67b47290d55b60365a190fdb4cf0"/>
    <w:p>
      <w:pPr>
        <w:pStyle w:val="Heading4"/>
      </w:pPr>
      <w:r>
        <w:t xml:space="preserve">5.1.1 Design Philosophy: Open Core, Hosted Convenience</w:t>
      </w:r>
    </w:p>
    <w:p>
      <w:pPr>
        <w:pStyle w:val="FirstParagraph"/>
      </w:pPr>
      <w:r>
        <w:t xml:space="preserve">The OpenPatent.ai architecture follows an explicit</w:t>
      </w:r>
      <w:r>
        <w:t xml:space="preserve"> </w:t>
      </w:r>
      <w:r>
        <w:t xml:space="preserve">“</w:t>
      </w:r>
      <w:r>
        <w:t xml:space="preserve">open core, hosted convenience</w:t>
      </w:r>
      <w:r>
        <w:t xml:space="preserve">”</w:t>
      </w:r>
      <w:r>
        <w:t xml:space="preserve"> </w:t>
      </w:r>
      <w:r>
        <w:t xml:space="preserve">model. Every component exists in two forms: a freely available MIT-licensed implementation for self-hosting, and a commercially hosted SaaS version charging per-use fees[^1^]. This dual-mode structure is a strategic moat — competitors including Bernstein.io and TimeProof offer only closed-source platforms, while OpenPatent.ai alone provides a local-first option ensuring user data never leaves the host machine unless the user explicitly chooses SaaS convenience[^2^].</w:t>
      </w:r>
    </w:p>
    <w:p>
      <w:pPr>
        <w:pStyle w:val="BodyText"/>
      </w:pPr>
      <w:r>
        <w:t xml:space="preserve">The architecture decomposes into four functional layers: Frontend (user interaction), Backend (cryptographic processing and agent orchestration), Blockchain (immutable timestamping), and Storage (document persistence and search indexing). Each layer is independently replaceable, with interfaces defined by open protocols rather than proprietary APIs. A user running the self-hosted PatentMCP server can substitute the default OpenPatent frontend with any MCP-compatible client, or replace the Bitcoin anchoring layer with Ethereum alternatives without modifying core disclosure logic.</w:t>
      </w:r>
    </w:p>
    <w:bookmarkEnd w:id="73"/>
    <w:bookmarkStart w:id="74" w:name="the-four-layer-technical-stack"/>
    <w:p>
      <w:pPr>
        <w:pStyle w:val="Heading4"/>
      </w:pPr>
      <w:r>
        <w:t xml:space="preserve">5.1.2 The Four-Layer Technical Stack</w:t>
      </w:r>
    </w:p>
    <w:tbl>
      <w:tblPr>
        <w:tblStyle w:val="Table"/>
        <w:tblW w:type="pct" w:w="5000"/>
        <w:tblLook w:firstRow="1" w:lastRow="0" w:firstColumn="0" w:lastColumn="0" w:noHBand="0" w:noVBand="0" w:val="0020"/>
      </w:tblPr>
      <w:tblGrid>
        <w:gridCol w:w="894"/>
        <w:gridCol w:w="1405"/>
        <w:gridCol w:w="1532"/>
        <w:gridCol w:w="1277"/>
        <w:gridCol w:w="281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Function</w:t>
            </w:r>
          </w:p>
        </w:tc>
        <w:tc>
          <w:tcPr/>
          <w:p>
            <w:pPr>
              <w:pStyle w:val="Compact"/>
              <w:jc w:val="left"/>
            </w:pPr>
            <w:r>
              <w:t xml:space="preserve">Self-Hosted Equivalent</w:t>
            </w:r>
          </w:p>
        </w:tc>
      </w:tr>
      <w:tr>
        <w:tc>
          <w:tcPr/>
          <w:p>
            <w:pPr>
              <w:pStyle w:val="Compact"/>
              <w:jc w:val="left"/>
            </w:pPr>
            <w:r>
              <w:rPr>
                <w:bCs/>
                <w:b/>
              </w:rPr>
              <w:t xml:space="preserve">Frontend</w:t>
            </w:r>
          </w:p>
        </w:tc>
        <w:tc>
          <w:tcPr/>
          <w:p>
            <w:pPr>
              <w:pStyle w:val="Compact"/>
              <w:jc w:val="left"/>
            </w:pPr>
            <w:r>
              <w:t xml:space="preserve">Drafting UI</w:t>
            </w:r>
          </w:p>
        </w:tc>
        <w:tc>
          <w:tcPr/>
          <w:p>
            <w:pPr>
              <w:pStyle w:val="Compact"/>
              <w:jc w:val="left"/>
            </w:pPr>
            <w:r>
              <w:t xml:space="preserve">Forked OpenPatent (TypeScript/Bun 1.3+)</w:t>
            </w:r>
          </w:p>
        </w:tc>
        <w:tc>
          <w:tcPr/>
          <w:p>
            <w:pPr>
              <w:pStyle w:val="Compact"/>
              <w:jc w:val="left"/>
            </w:pPr>
            <w:r>
              <w:t xml:space="preserve">Local-first AI patent drafting with 6 primary agents</w:t>
            </w:r>
          </w:p>
        </w:tc>
        <w:tc>
          <w:tcPr/>
          <w:p>
            <w:pPr>
              <w:pStyle w:val="Compact"/>
              <w:jc w:val="left"/>
            </w:pPr>
            <w:r>
              <w:rPr>
                <w:rStyle w:val="VerbatimChar"/>
              </w:rPr>
              <w:t xml:space="preserve">erdalbektas/OpenPatent</w:t>
            </w:r>
            <w:r>
              <w:t xml:space="preserve"> </w:t>
            </w:r>
            <w:r>
              <w:t xml:space="preserve">repo[^1^]</w:t>
            </w:r>
          </w:p>
        </w:tc>
      </w:tr>
      <w:tr>
        <w:tc>
          <w:tcPr/>
          <w:p>
            <w:pPr>
              <w:pStyle w:val="Compact"/>
              <w:jc w:val="left"/>
            </w:pPr>
            <w:r>
              <w:rPr>
                <w:bCs/>
                <w:b/>
              </w:rPr>
              <w:t xml:space="preserve">Frontend</w:t>
            </w:r>
          </w:p>
        </w:tc>
        <w:tc>
          <w:tcPr/>
          <w:p>
            <w:pPr>
              <w:pStyle w:val="Compact"/>
              <w:jc w:val="left"/>
            </w:pPr>
            <w:r>
              <w:t xml:space="preserve">Disclosure Dashboard</w:t>
            </w:r>
          </w:p>
        </w:tc>
        <w:tc>
          <w:tcPr/>
          <w:p>
            <w:pPr>
              <w:pStyle w:val="Compact"/>
              <w:jc w:val="left"/>
            </w:pPr>
            <w:r>
              <w:t xml:space="preserve">React 18 + Next.js 14 + shadcn/ui</w:t>
            </w:r>
          </w:p>
        </w:tc>
        <w:tc>
          <w:tcPr/>
          <w:p>
            <w:pPr>
              <w:pStyle w:val="Compact"/>
              <w:jc w:val="left"/>
            </w:pPr>
            <w:r>
              <w:t xml:space="preserve">Upload, verification status, prior art search</w:t>
            </w:r>
          </w:p>
        </w:tc>
        <w:tc>
          <w:tcPr/>
          <w:p>
            <w:pPr>
              <w:pStyle w:val="Compact"/>
              <w:jc w:val="left"/>
            </w:pPr>
            <w:r>
              <w:t xml:space="preserve">Same codebase, local</w:t>
            </w:r>
            <w:r>
              <w:t xml:space="preserve"> </w:t>
            </w:r>
            <w:r>
              <w:rPr>
                <w:rStyle w:val="VerbatimChar"/>
              </w:rPr>
              <w:t xml:space="preserve">bun dev</w:t>
            </w:r>
          </w:p>
        </w:tc>
      </w:tr>
      <w:tr>
        <w:tc>
          <w:tcPr/>
          <w:p>
            <w:pPr>
              <w:pStyle w:val="Compact"/>
              <w:jc w:val="left"/>
            </w:pPr>
            <w:r>
              <w:rPr>
                <w:bCs/>
                <w:b/>
              </w:rPr>
              <w:t xml:space="preserve">Backend</w:t>
            </w:r>
          </w:p>
        </w:tc>
        <w:tc>
          <w:tcPr/>
          <w:p>
            <w:pPr>
              <w:pStyle w:val="Compact"/>
              <w:jc w:val="left"/>
            </w:pPr>
            <w:r>
              <w:t xml:space="preserve">MCP Disclosure Server</w:t>
            </w:r>
          </w:p>
        </w:tc>
        <w:tc>
          <w:tcPr/>
          <w:p>
            <w:pPr>
              <w:pStyle w:val="Compact"/>
              <w:jc w:val="left"/>
            </w:pPr>
            <w:r>
              <w:t xml:space="preserve">PatentMCP Python (FastMCP)</w:t>
            </w:r>
          </w:p>
        </w:tc>
        <w:tc>
          <w:tcPr/>
          <w:p>
            <w:pPr>
              <w:pStyle w:val="Compact"/>
              <w:jc w:val="left"/>
            </w:pPr>
            <w:r>
              <w:t xml:space="preserve">6-layer cryptographic proof generation</w:t>
            </w:r>
          </w:p>
        </w:tc>
        <w:tc>
          <w:tcPr/>
          <w:p>
            <w:pPr>
              <w:pStyle w:val="Compact"/>
              <w:jc w:val="left"/>
            </w:pPr>
            <w:r>
              <w:rPr>
                <w:rStyle w:val="VerbatimChar"/>
              </w:rPr>
              <w:t xml:space="preserve">patent-disclosure-mcp/server.py</w:t>
            </w:r>
            <w:r>
              <w:t xml:space="preserve">[^3^]</w:t>
            </w:r>
          </w:p>
        </w:tc>
      </w:tr>
      <w:tr>
        <w:tc>
          <w:tcPr/>
          <w:p>
            <w:pPr>
              <w:pStyle w:val="Compact"/>
              <w:jc w:val="left"/>
            </w:pPr>
            <w:r>
              <w:rPr>
                <w:bCs/>
                <w:b/>
              </w:rPr>
              <w:t xml:space="preserve">Backend</w:t>
            </w:r>
          </w:p>
        </w:tc>
        <w:tc>
          <w:tcPr/>
          <w:p>
            <w:pPr>
              <w:pStyle w:val="Compact"/>
              <w:jc w:val="left"/>
            </w:pPr>
            <w:r>
              <w:t xml:space="preserve">Agent Orchestration</w:t>
            </w:r>
          </w:p>
        </w:tc>
        <w:tc>
          <w:tcPr/>
          <w:p>
            <w:pPr>
              <w:pStyle w:val="Compact"/>
              <w:jc w:val="left"/>
            </w:pPr>
            <w:r>
              <w:t xml:space="preserve">OpenCode framework</w:t>
            </w:r>
          </w:p>
        </w:tc>
        <w:tc>
          <w:tcPr/>
          <w:p>
            <w:pPr>
              <w:pStyle w:val="Compact"/>
              <w:jc w:val="left"/>
            </w:pPr>
            <w:r>
              <w:t xml:space="preserve">Multi-agent patent workflow coordination</w:t>
            </w:r>
          </w:p>
        </w:tc>
        <w:tc>
          <w:tcPr/>
          <w:p>
            <w:pPr>
              <w:pStyle w:val="Compact"/>
              <w:jc w:val="left"/>
            </w:pPr>
            <w:r>
              <w:rPr>
                <w:rStyle w:val="VerbatimChar"/>
              </w:rPr>
              <w:t xml:space="preserve">anomalyco/opencode</w:t>
            </w:r>
            <w:r>
              <w:t xml:space="preserve"> </w:t>
            </w:r>
            <w:r>
              <w:t xml:space="preserve">upstream[^1^]</w:t>
            </w:r>
          </w:p>
        </w:tc>
      </w:tr>
      <w:tr>
        <w:tc>
          <w:tcPr/>
          <w:p>
            <w:pPr>
              <w:pStyle w:val="Compact"/>
              <w:jc w:val="left"/>
            </w:pPr>
            <w:r>
              <w:rPr>
                <w:bCs/>
                <w:b/>
              </w:rPr>
              <w:t xml:space="preserve">Backend</w:t>
            </w:r>
          </w:p>
        </w:tc>
        <w:tc>
          <w:tcPr/>
          <w:p>
            <w:pPr>
              <w:pStyle w:val="Compact"/>
              <w:jc w:val="left"/>
            </w:pPr>
            <w:r>
              <w:t xml:space="preserve">Identity &amp; Signing</w:t>
            </w:r>
          </w:p>
        </w:tc>
        <w:tc>
          <w:tcPr/>
          <w:p>
            <w:pPr>
              <w:pStyle w:val="Compact"/>
              <w:jc w:val="left"/>
            </w:pPr>
            <w:r>
              <w:t xml:space="preserve">Ed25519 + DID resolution</w:t>
            </w:r>
          </w:p>
        </w:tc>
        <w:tc>
          <w:tcPr/>
          <w:p>
            <w:pPr>
              <w:pStyle w:val="Compact"/>
              <w:jc w:val="left"/>
            </w:pPr>
            <w:r>
              <w:t xml:space="preserve">Inventor cryptographic identity and document signing</w:t>
            </w:r>
          </w:p>
        </w:tc>
        <w:tc>
          <w:tcPr/>
          <w:p>
            <w:pPr>
              <w:pStyle w:val="Compact"/>
              <w:jc w:val="left"/>
            </w:pPr>
            <w:r>
              <w:t xml:space="preserve">Local key generation via CLI</w:t>
            </w:r>
          </w:p>
        </w:tc>
      </w:tr>
      <w:tr>
        <w:tc>
          <w:tcPr/>
          <w:p>
            <w:pPr>
              <w:pStyle w:val="Compact"/>
              <w:jc w:val="left"/>
            </w:pPr>
            <w:r>
              <w:rPr>
                <w:bCs/>
                <w:b/>
              </w:rPr>
              <w:t xml:space="preserve">Blockchain</w:t>
            </w:r>
          </w:p>
        </w:tc>
        <w:tc>
          <w:tcPr/>
          <w:p>
            <w:pPr>
              <w:pStyle w:val="Compact"/>
              <w:jc w:val="left"/>
            </w:pPr>
            <w:r>
              <w:t xml:space="preserve">Primary Anchor</w:t>
            </w:r>
          </w:p>
        </w:tc>
        <w:tc>
          <w:tcPr/>
          <w:p>
            <w:pPr>
              <w:pStyle w:val="Compact"/>
              <w:jc w:val="left"/>
            </w:pPr>
            <w:r>
              <w:t xml:space="preserve">Bitcoin OpenTimestamps (OTS)</w:t>
            </w:r>
          </w:p>
        </w:tc>
        <w:tc>
          <w:tcPr/>
          <w:p>
            <w:pPr>
              <w:pStyle w:val="Compact"/>
              <w:jc w:val="left"/>
            </w:pPr>
            <w:r>
              <w:t xml:space="preserve">Permanent existence proof via Merkle tree aggregation</w:t>
            </w:r>
          </w:p>
        </w:tc>
        <w:tc>
          <w:tcPr/>
          <w:p>
            <w:pPr>
              <w:pStyle w:val="Compact"/>
              <w:jc w:val="left"/>
            </w:pPr>
            <w:r>
              <w:t xml:space="preserve">Free OTS calendar servers[^4^]</w:t>
            </w:r>
          </w:p>
        </w:tc>
      </w:tr>
      <w:tr>
        <w:tc>
          <w:tcPr/>
          <w:p>
            <w:pPr>
              <w:pStyle w:val="Compact"/>
              <w:jc w:val="left"/>
            </w:pPr>
            <w:r>
              <w:rPr>
                <w:bCs/>
                <w:b/>
              </w:rPr>
              <w:t xml:space="preserve">Blockchain</w:t>
            </w:r>
          </w:p>
        </w:tc>
        <w:tc>
          <w:tcPr/>
          <w:p>
            <w:pPr>
              <w:pStyle w:val="Compact"/>
              <w:jc w:val="left"/>
            </w:pPr>
            <w:r>
              <w:t xml:space="preserve">Secondary Anchor</w:t>
            </w:r>
          </w:p>
        </w:tc>
        <w:tc>
          <w:tcPr/>
          <w:p>
            <w:pPr>
              <w:pStyle w:val="Compact"/>
              <w:jc w:val="left"/>
            </w:pPr>
            <w:r>
              <w:t xml:space="preserve">Polygon PoS timestamps</w:t>
            </w:r>
          </w:p>
        </w:tc>
        <w:tc>
          <w:tcPr/>
          <w:p>
            <w:pPr>
              <w:pStyle w:val="Compact"/>
              <w:jc w:val="left"/>
            </w:pPr>
            <w:r>
              <w:t xml:space="preserve">~2-second confirmation, low-cost redundancy</w:t>
            </w:r>
          </w:p>
        </w:tc>
        <w:tc>
          <w:tcPr/>
          <w:p>
            <w:pPr>
              <w:pStyle w:val="Compact"/>
              <w:jc w:val="left"/>
            </w:pPr>
            <w:r>
              <w:t xml:space="preserve">Polygon Mainnet RPC</w:t>
            </w:r>
          </w:p>
        </w:tc>
      </w:tr>
      <w:tr>
        <w:tc>
          <w:tcPr/>
          <w:p>
            <w:pPr>
              <w:pStyle w:val="Compact"/>
              <w:jc w:val="left"/>
            </w:pPr>
            <w:r>
              <w:rPr>
                <w:bCs/>
                <w:b/>
              </w:rPr>
              <w:t xml:space="preserve">Storage</w:t>
            </w:r>
          </w:p>
        </w:tc>
        <w:tc>
          <w:tcPr/>
          <w:p>
            <w:pPr>
              <w:pStyle w:val="Compact"/>
              <w:jc w:val="left"/>
            </w:pPr>
            <w:r>
              <w:t xml:space="preserve">Document Store</w:t>
            </w:r>
          </w:p>
        </w:tc>
        <w:tc>
          <w:tcPr/>
          <w:p>
            <w:pPr>
              <w:pStyle w:val="Compact"/>
              <w:jc w:val="left"/>
            </w:pPr>
            <w:r>
              <w:t xml:space="preserve">IPFS (content-addressed)</w:t>
            </w:r>
          </w:p>
        </w:tc>
        <w:tc>
          <w:tcPr/>
          <w:p>
            <w:pPr>
              <w:pStyle w:val="Compact"/>
              <w:jc w:val="left"/>
            </w:pPr>
            <w:r>
              <w:t xml:space="preserve">Tamper-evident storage with CID-based retrieval</w:t>
            </w:r>
          </w:p>
        </w:tc>
        <w:tc>
          <w:tcPr/>
          <w:p>
            <w:pPr>
              <w:pStyle w:val="Compact"/>
              <w:jc w:val="left"/>
            </w:pPr>
            <w:r>
              <w:t xml:space="preserve">Local IPFS node or Pinata</w:t>
            </w:r>
          </w:p>
        </w:tc>
      </w:tr>
      <w:tr>
        <w:tc>
          <w:tcPr/>
          <w:p>
            <w:pPr>
              <w:pStyle w:val="Compact"/>
              <w:jc w:val="left"/>
            </w:pPr>
            <w:r>
              <w:rPr>
                <w:bCs/>
                <w:b/>
              </w:rPr>
              <w:t xml:space="preserve">Storage</w:t>
            </w:r>
          </w:p>
        </w:tc>
        <w:tc>
          <w:tcPr/>
          <w:p>
            <w:pPr>
              <w:pStyle w:val="Compact"/>
              <w:jc w:val="left"/>
            </w:pPr>
            <w:r>
              <w:t xml:space="preserve">Metadata Database</w:t>
            </w:r>
          </w:p>
        </w:tc>
        <w:tc>
          <w:tcPr/>
          <w:p>
            <w:pPr>
              <w:pStyle w:val="Compact"/>
              <w:jc w:val="left"/>
            </w:pPr>
            <w:r>
              <w:t xml:space="preserve">PostgreSQL 16</w:t>
            </w:r>
          </w:p>
        </w:tc>
        <w:tc>
          <w:tcPr/>
          <w:p>
            <w:pPr>
              <w:pStyle w:val="Compact"/>
              <w:jc w:val="left"/>
            </w:pPr>
            <w:r>
              <w:t xml:space="preserve">Disclosure records, user accounts, audit indices</w:t>
            </w:r>
          </w:p>
        </w:tc>
        <w:tc>
          <w:tcPr/>
          <w:p>
            <w:pPr>
              <w:pStyle w:val="Compact"/>
              <w:jc w:val="left"/>
            </w:pPr>
            <w:r>
              <w:t xml:space="preserve">Any Postgres-compatible DB</w:t>
            </w:r>
          </w:p>
        </w:tc>
      </w:tr>
      <w:tr>
        <w:tc>
          <w:tcPr/>
          <w:p>
            <w:pPr>
              <w:pStyle w:val="Compact"/>
              <w:jc w:val="left"/>
            </w:pPr>
            <w:r>
              <w:rPr>
                <w:bCs/>
                <w:b/>
              </w:rPr>
              <w:t xml:space="preserve">Storage</w:t>
            </w:r>
          </w:p>
        </w:tc>
        <w:tc>
          <w:tcPr/>
          <w:p>
            <w:pPr>
              <w:pStyle w:val="Compact"/>
              <w:jc w:val="left"/>
            </w:pPr>
            <w:r>
              <w:t xml:space="preserve">Search Index</w:t>
            </w:r>
          </w:p>
        </w:tc>
        <w:tc>
          <w:tcPr/>
          <w:p>
            <w:pPr>
              <w:pStyle w:val="Compact"/>
              <w:jc w:val="left"/>
            </w:pPr>
            <w:r>
              <w:t xml:space="preserve">Elasticsearch 8.x</w:t>
            </w:r>
          </w:p>
        </w:tc>
        <w:tc>
          <w:tcPr/>
          <w:p>
            <w:pPr>
              <w:pStyle w:val="Compact"/>
              <w:jc w:val="left"/>
            </w:pPr>
            <w:r>
              <w:t xml:space="preserve">Full-text prior art search across the registry</w:t>
            </w:r>
          </w:p>
        </w:tc>
        <w:tc>
          <w:tcPr/>
          <w:p>
            <w:pPr>
              <w:pStyle w:val="Compact"/>
              <w:jc w:val="left"/>
            </w:pPr>
            <w:r>
              <w:t xml:space="preserve">OpenSearch or Meilisearch</w:t>
            </w:r>
          </w:p>
        </w:tc>
      </w:tr>
      <w:tr>
        <w:tc>
          <w:tcPr/>
          <w:p>
            <w:pPr>
              <w:pStyle w:val="Compact"/>
              <w:jc w:val="left"/>
            </w:pPr>
            <w:r>
              <w:rPr>
                <w:bCs/>
                <w:b/>
              </w:rPr>
              <w:t xml:space="preserve">Storage</w:t>
            </w:r>
          </w:p>
        </w:tc>
        <w:tc>
          <w:tcPr/>
          <w:p>
            <w:pPr>
              <w:pStyle w:val="Compact"/>
              <w:jc w:val="left"/>
            </w:pPr>
            <w:r>
              <w:t xml:space="preserve">Audit Chain</w:t>
            </w:r>
          </w:p>
        </w:tc>
        <w:tc>
          <w:tcPr/>
          <w:p>
            <w:pPr>
              <w:pStyle w:val="Compact"/>
              <w:jc w:val="left"/>
            </w:pPr>
            <w:r>
              <w:t xml:space="preserve">Hash-chained sequential log</w:t>
            </w:r>
          </w:p>
        </w:tc>
        <w:tc>
          <w:tcPr/>
          <w:p>
            <w:pPr>
              <w:pStyle w:val="Compact"/>
              <w:jc w:val="left"/>
            </w:pPr>
            <w:r>
              <w:t xml:space="preserve">Tamper-evident sequential disclosure record</w:t>
            </w:r>
          </w:p>
        </w:tc>
        <w:tc>
          <w:tcPr/>
          <w:p>
            <w:pPr>
              <w:pStyle w:val="Compact"/>
              <w:jc w:val="left"/>
            </w:pPr>
            <w:r>
              <w:t xml:space="preserve">Flat file + IPFS pinning[^3^]</w:t>
            </w:r>
          </w:p>
        </w:tc>
      </w:tr>
      <w:tr>
        <w:tc>
          <w:tcPr/>
          <w:p>
            <w:pPr>
              <w:pStyle w:val="Compact"/>
              <w:jc w:val="left"/>
            </w:pPr>
            <w:r>
              <w:rPr>
                <w:bCs/>
                <w:b/>
              </w:rPr>
              <w:t xml:space="preserve">Storage</w:t>
            </w:r>
          </w:p>
        </w:tc>
        <w:tc>
          <w:tcPr/>
          <w:p>
            <w:pPr>
              <w:pStyle w:val="Compact"/>
              <w:jc w:val="left"/>
            </w:pPr>
            <w:r>
              <w:t xml:space="preserve">Public Attestation</w:t>
            </w:r>
          </w:p>
        </w:tc>
        <w:tc>
          <w:tcPr/>
          <w:p>
            <w:pPr>
              <w:pStyle w:val="Compact"/>
              <w:jc w:val="left"/>
            </w:pPr>
            <w:r>
              <w:t xml:space="preserve">verify.meok.ai renderer</w:t>
            </w:r>
          </w:p>
        </w:tc>
        <w:tc>
          <w:tcPr/>
          <w:p>
            <w:pPr>
              <w:pStyle w:val="Compact"/>
              <w:jc w:val="left"/>
            </w:pPr>
            <w:r>
              <w:t xml:space="preserve">Human-readable verification page per disclosure</w:t>
            </w:r>
          </w:p>
        </w:tc>
        <w:tc>
          <w:tcPr/>
          <w:p>
            <w:pPr>
              <w:pStyle w:val="Compact"/>
              <w:jc w:val="left"/>
            </w:pPr>
            <w:r>
              <w:t xml:space="preserve">Static HTML generator</w:t>
            </w:r>
          </w:p>
        </w:tc>
      </w:tr>
    </w:tbl>
    <w:p>
      <w:pPr>
        <w:pStyle w:val="BodyText"/>
      </w:pPr>
      <w:r>
        <w:rPr>
          <w:iCs/>
          <w:i/>
        </w:rPr>
        <w:t xml:space="preserve">Table 1: Complete architecture stack with twelve components across four functional layers. The Self-Hosted Equivalent column identifies the open-source implementation available for local deployment without SaaS fees.</w:t>
      </w:r>
    </w:p>
    <w:p>
      <w:pPr>
        <w:pStyle w:val="BodyText"/>
      </w:pPr>
      <w:r>
        <w:t xml:space="preserve">The twelve-component architecture reflects a deliberate tradeoff between cryptographic assurance and operational practicality. The dual-blockchain design — Bitcoin OTS for permanence plus Polygon for speed — addresses a critical limitation of single-chain timestamping. Bitcoin provides the highest computational security budget of any blockchain, with 15+ years of continuous operation and hashrate-backed immutability[^4^]. However, OTS confirmation typically requires 1–2 hours for block inclusion. Polygon’s 2-second block time fills this gap with a preliminary timestamp later reinforced by the Bitcoin anchor. Bernstein.io employs a comparable triple-timestamp strategy (Bitcoin + EU Qualified + China) at enterprise pricing that places it out of reach for individual developers[^5^]. The OpenPatent.ai approach achieves similar redundancy at a fraction of the cost by leveraging free OTS calendar infrastructure and Polygon’s sub-$0.01 transaction fees.</w:t>
      </w:r>
    </w:p>
    <w:p>
      <w:pPr>
        <w:pStyle w:val="BodyText"/>
      </w:pPr>
      <w:r>
        <w:t xml:space="preserve">The storage layer follows a polyglot persistence pattern. IPFS handles document storage because its content-addressed architecture provides intrinsic integrity verification — change one byte and the CID changes, making tampering immediately detectable[^6^]. PostgreSQL manages structured metadata where relational constraints ensure registry consistency. Elasticsearch powers prior art search, where inverted indexing enables sub-second full-text queries across millions of documents. This three-store approach adds operational complexity, but the performance and integrity benefits are non-negotiable for a system whose core value proposition is cryptographic trust.</w:t>
      </w:r>
    </w:p>
    <w:bookmarkEnd w:id="74"/>
    <w:bookmarkStart w:id="75" w:name="frontend-and-backend-integration"/>
    <w:p>
      <w:pPr>
        <w:pStyle w:val="Heading4"/>
      </w:pPr>
      <w:r>
        <w:t xml:space="preserve">5.1.3 Frontend and Backend Integration</w:t>
      </w:r>
    </w:p>
    <w:p>
      <w:pPr>
        <w:pStyle w:val="FirstParagraph"/>
      </w:pPr>
      <w:r>
        <w:t xml:space="preserve">The frontend combines two interfaces: a fork of</w:t>
      </w:r>
      <w:r>
        <w:t xml:space="preserve"> </w:t>
      </w:r>
      <w:r>
        <w:rPr>
          <w:rStyle w:val="VerbatimChar"/>
        </w:rPr>
        <w:t xml:space="preserve">erdalbektas/OpenPatent</w:t>
      </w:r>
      <w:r>
        <w:t xml:space="preserve"> </w:t>
      </w:r>
      <w:r>
        <w:t xml:space="preserve">modified to add PatentMCP disclosure triggers at claim drafting completion and document export, and a new React 18 disclosure dashboard built with Next.js 14 and shadcn/ui for visual consistency with the prooof.ai v2 interface. The original OpenPatent UI requires Bun 1.3+, whose startup latency averages 3–5× lower than Node.js for CLI-driven applications[^7^]. The dashboard deploys to Vercel’s edge network with Cloudflare R2 for asset storage — services already operational across the CSOAI property portfolio, minimizing incremental infrastructure overhead[^8^].</w:t>
      </w:r>
    </w:p>
    <w:p>
      <w:pPr>
        <w:pStyle w:val="BodyText"/>
      </w:pPr>
      <w:r>
        <w:t xml:space="preserve">The backend centers on the PatentMCP Python server implementing the six-layer cryptographic pipeline: (1) SHA-3/512 document hashing, (2) HMAC-SHA256 witness signing, (3) Ed25519 inventor signature, (4) Bitcoin OTS blockchain anchoring, (5) C2PA Content Credential embedding, and (6) hash-chained audit log entry[^3^]. Each layer uses a distinct cryptographic primitive, ensuring that compromise of any single key or algorithm does not invalidate the entire proof. The server exposes tools through the Model Context Protocol (MCP), which has grown to over 10,000 active public servers with 97 million monthly SDK downloads across Python and TypeScript[^9^]. Anthropic’s December 2025 donation of MCP to the Linux Foundation’s Agentic AI Foundation, co-founded with Block, OpenAI, Google, Microsoft, and Cloudflare, cemented its status as the de facto standard for AI-tool integration[^10^]. Building PatentMCP as an MCP server provides immediate distribution across this ecosystem without protocol adaptation.</w:t>
      </w:r>
    </w:p>
    <w:p>
      <w:pPr>
        <w:pStyle w:val="BodyText"/>
      </w:pPr>
      <w:r>
        <w:t xml:space="preserve">Agent orchestration is handled by the OpenCode framework, the same upstream platform powering OpenPatent. OpenCode coordinates multi-step patent workflows: document preparation (OpenPatent draft agent) → cryptographic processing (PatentMCP server) → verification page generation → registry publication → payment processing (x402 protocol). This orchestration is transparent to the user but essential for maintaining workflow consistency across independently developed components.</w:t>
      </w:r>
    </w:p>
    <w:bookmarkEnd w:id="75"/>
    <w:bookmarkEnd w:id="76"/>
    <w:bookmarkStart w:id="80" w:name="payg-pricing-tiers"/>
    <w:p>
      <w:pPr>
        <w:pStyle w:val="Heading3"/>
      </w:pPr>
      <w:r>
        <w:t xml:space="preserve">5.2 PAYG Pricing Tiers</w:t>
      </w:r>
    </w:p>
    <w:bookmarkStart w:id="77" w:name="Xfc29fc7340691d56017a41b4dc56bbb9f8a63f8"/>
    <w:p>
      <w:pPr>
        <w:pStyle w:val="Heading4"/>
      </w:pPr>
      <w:r>
        <w:t xml:space="preserve">5.2.1 Tier Structure and Competitive Positioning</w:t>
      </w:r>
    </w:p>
    <w:p>
      <w:pPr>
        <w:pStyle w:val="FirstParagraph"/>
      </w:pPr>
      <w:r>
        <w:t xml:space="preserve">The Pay-As-You-Go model aligns revenue directly with value delivered: users pay only when creating a cryptographically verified disclosure, not for platform access. This contrasts with subscription-dominant IP software, where firms pay annual fees of $5,000–$50,000 regardless of usage[^11^]. The five-tier structure maps directly to the six-layer cryptographic pipeline, with each successive tier unlocking additional proof layers and services.</w:t>
      </w:r>
    </w:p>
    <w:tbl>
      <w:tblPr>
        <w:tblStyle w:val="Table"/>
        <w:tblW w:type="pct" w:w="5000"/>
        <w:tblLook w:firstRow="1" w:lastRow="0" w:firstColumn="0" w:lastColumn="0" w:noHBand="0" w:noVBand="0" w:val="0020"/>
      </w:tblPr>
      <w:tblGrid>
        <w:gridCol w:w="528"/>
        <w:gridCol w:w="616"/>
        <w:gridCol w:w="1936"/>
        <w:gridCol w:w="1584"/>
        <w:gridCol w:w="1144"/>
        <w:gridCol w:w="2112"/>
      </w:tblGrid>
      <w:tr>
        <w:trPr>
          <w:tblHeader w:val="true"/>
        </w:trPr>
        <w:tc>
          <w:tcPr/>
          <w:p>
            <w:pPr>
              <w:pStyle w:val="Compact"/>
              <w:jc w:val="left"/>
            </w:pPr>
            <w:r>
              <w:t xml:space="preserve">Tier</w:t>
            </w:r>
          </w:p>
        </w:tc>
        <w:tc>
          <w:tcPr/>
          <w:p>
            <w:pPr>
              <w:pStyle w:val="Compact"/>
              <w:jc w:val="right"/>
            </w:pPr>
            <w:r>
              <w:t xml:space="preserve">Price</w:t>
            </w:r>
          </w:p>
        </w:tc>
        <w:tc>
          <w:tcPr/>
          <w:p>
            <w:pPr>
              <w:pStyle w:val="Compact"/>
              <w:jc w:val="left"/>
            </w:pPr>
            <w:r>
              <w:t xml:space="preserve">Cryptographic Coverage</w:t>
            </w:r>
          </w:p>
        </w:tc>
        <w:tc>
          <w:tcPr/>
          <w:p>
            <w:pPr>
              <w:pStyle w:val="Compact"/>
              <w:jc w:val="left"/>
            </w:pPr>
            <w:r>
              <w:t xml:space="preserve">Key Deliverables</w:t>
            </w:r>
          </w:p>
        </w:tc>
        <w:tc>
          <w:tcPr/>
          <w:p>
            <w:pPr>
              <w:pStyle w:val="Compact"/>
              <w:jc w:val="left"/>
            </w:pPr>
            <w:r>
              <w:t xml:space="preserve">Target User</w:t>
            </w:r>
          </w:p>
        </w:tc>
        <w:tc>
          <w:tcPr/>
          <w:p>
            <w:pPr>
              <w:pStyle w:val="Compact"/>
              <w:jc w:val="left"/>
            </w:pPr>
            <w:r>
              <w:t xml:space="preserve">Comparable Market Price</w:t>
            </w:r>
          </w:p>
        </w:tc>
      </w:tr>
      <w:tr>
        <w:tc>
          <w:tcPr/>
          <w:p>
            <w:pPr>
              <w:pStyle w:val="Compact"/>
              <w:jc w:val="left"/>
            </w:pPr>
            <w:r>
              <w:rPr>
                <w:bCs/>
                <w:b/>
              </w:rPr>
              <w:t xml:space="preserve">FREE</w:t>
            </w:r>
          </w:p>
        </w:tc>
        <w:tc>
          <w:tcPr/>
          <w:p>
            <w:pPr>
              <w:pStyle w:val="Compact"/>
              <w:jc w:val="right"/>
            </w:pPr>
            <w:r>
              <w:t xml:space="preserve">$0</w:t>
            </w:r>
          </w:p>
        </w:tc>
        <w:tc>
          <w:tcPr/>
          <w:p>
            <w:pPr>
              <w:pStyle w:val="Compact"/>
              <w:jc w:val="left"/>
            </w:pPr>
            <w:r>
              <w:t xml:space="preserve">Layers 1–2 (local)</w:t>
            </w:r>
          </w:p>
        </w:tc>
        <w:tc>
          <w:tcPr/>
          <w:p>
            <w:pPr>
              <w:pStyle w:val="Compact"/>
              <w:jc w:val="left"/>
            </w:pPr>
            <w:r>
              <w:t xml:space="preserve">Self-hosted PatentMCP + OpenPatent, SHA-3/512 + local HMAC, community support</w:t>
            </w:r>
          </w:p>
        </w:tc>
        <w:tc>
          <w:tcPr/>
          <w:p>
            <w:pPr>
              <w:pStyle w:val="Compact"/>
              <w:jc w:val="left"/>
            </w:pPr>
            <w:r>
              <w:t xml:space="preserve">Individual developers, open-source contributors</w:t>
            </w:r>
          </w:p>
        </w:tc>
        <w:tc>
          <w:tcPr/>
          <w:p>
            <w:pPr>
              <w:pStyle w:val="Compact"/>
              <w:jc w:val="left"/>
            </w:pPr>
            <w:r>
              <w:t xml:space="preserve">N/A — no comparable self-hosted option exists[^1^]</w:t>
            </w:r>
          </w:p>
        </w:tc>
      </w:tr>
      <w:tr>
        <w:tc>
          <w:tcPr/>
          <w:p>
            <w:pPr>
              <w:pStyle w:val="Compact"/>
              <w:jc w:val="left"/>
            </w:pPr>
            <w:r>
              <w:rPr>
                <w:bCs/>
                <w:b/>
              </w:rPr>
              <w:t xml:space="preserve">DEFENSIVE</w:t>
            </w:r>
          </w:p>
        </w:tc>
        <w:tc>
          <w:tcPr/>
          <w:p>
            <w:pPr>
              <w:pStyle w:val="Compact"/>
              <w:jc w:val="right"/>
            </w:pPr>
            <w:r>
              <w:t xml:space="preserve">$10</w:t>
            </w:r>
          </w:p>
        </w:tc>
        <w:tc>
          <w:tcPr/>
          <w:p>
            <w:pPr>
              <w:pStyle w:val="Compact"/>
              <w:jc w:val="left"/>
            </w:pPr>
            <w:r>
              <w:t xml:space="preserve">All 6 layers</w:t>
            </w:r>
          </w:p>
        </w:tc>
        <w:tc>
          <w:tcPr/>
          <w:p>
            <w:pPr>
              <w:pStyle w:val="Compact"/>
              <w:jc w:val="left"/>
            </w:pPr>
            <w:r>
              <w:t xml:space="preserve">Bitcoin OTS anchoring, Polygon timestamp, public attestation page, 1-year verification, registry entry</w:t>
            </w:r>
          </w:p>
        </w:tc>
        <w:tc>
          <w:tcPr/>
          <w:p>
            <w:pPr>
              <w:pStyle w:val="Compact"/>
              <w:jc w:val="left"/>
            </w:pPr>
            <w:r>
              <w:t xml:space="preserve">Solo inventors, indie hackers, pre-revenue startups</w:t>
            </w:r>
          </w:p>
        </w:tc>
        <w:tc>
          <w:tcPr/>
          <w:p>
            <w:pPr>
              <w:pStyle w:val="Compact"/>
              <w:jc w:val="left"/>
            </w:pPr>
            <w:r>
              <w:t xml:space="preserve">Bernstein.io: €29–€99; TimeProof: €15–€45[^5^]</w:t>
            </w:r>
          </w:p>
        </w:tc>
      </w:tr>
      <w:tr>
        <w:tc>
          <w:tcPr/>
          <w:p>
            <w:pPr>
              <w:pStyle w:val="Compact"/>
              <w:jc w:val="left"/>
            </w:pPr>
            <w:r>
              <w:rPr>
                <w:bCs/>
                <w:b/>
              </w:rPr>
              <w:t xml:space="preserve">FULL</w:t>
            </w:r>
          </w:p>
        </w:tc>
        <w:tc>
          <w:tcPr/>
          <w:p>
            <w:pPr>
              <w:pStyle w:val="Compact"/>
              <w:jc w:val="right"/>
            </w:pPr>
            <w:r>
              <w:t xml:space="preserve">$50</w:t>
            </w:r>
          </w:p>
        </w:tc>
        <w:tc>
          <w:tcPr/>
          <w:p>
            <w:pPr>
              <w:pStyle w:val="Compact"/>
              <w:jc w:val="left"/>
            </w:pPr>
            <w:r>
              <w:t xml:space="preserve">All 6 + C2PA credential</w:t>
            </w:r>
          </w:p>
        </w:tc>
        <w:tc>
          <w:tcPr/>
          <w:p>
            <w:pPr>
              <w:pStyle w:val="Compact"/>
              <w:jc w:val="left"/>
            </w:pPr>
            <w:r>
              <w:t xml:space="preserve">Everything in Defensive plus C2PA Content Credential, Ed25519 signing, hash-chain audit certificate, downloadable proof package, priority support</w:t>
            </w:r>
          </w:p>
        </w:tc>
        <w:tc>
          <w:tcPr/>
          <w:p>
            <w:pPr>
              <w:pStyle w:val="Compact"/>
              <w:jc w:val="left"/>
            </w:pPr>
            <w:r>
              <w:t xml:space="preserve">SMEs, patent-aware startups, research labs</w:t>
            </w:r>
          </w:p>
        </w:tc>
        <w:tc>
          <w:tcPr/>
          <w:p>
            <w:pPr>
              <w:pStyle w:val="Compact"/>
              <w:jc w:val="left"/>
            </w:pPr>
            <w:r>
              <w:t xml:space="preserve">IP.com: $295–$1,500 per publication[^12^]</w:t>
            </w:r>
          </w:p>
        </w:tc>
      </w:tr>
      <w:tr>
        <w:tc>
          <w:tcPr/>
          <w:p>
            <w:pPr>
              <w:pStyle w:val="Compact"/>
              <w:jc w:val="left"/>
            </w:pPr>
            <w:r>
              <w:rPr>
                <w:bCs/>
                <w:b/>
              </w:rPr>
              <w:t xml:space="preserve">PREMIUM</w:t>
            </w:r>
          </w:p>
        </w:tc>
        <w:tc>
          <w:tcPr/>
          <w:p>
            <w:pPr>
              <w:pStyle w:val="Compact"/>
              <w:jc w:val="right"/>
            </w:pPr>
            <w:r>
              <w:t xml:space="preserve">$100</w:t>
            </w:r>
          </w:p>
        </w:tc>
        <w:tc>
          <w:tcPr/>
          <w:p>
            <w:pPr>
              <w:pStyle w:val="Compact"/>
              <w:jc w:val="left"/>
            </w:pPr>
            <w:r>
              <w:t xml:space="preserve">All 6 + C2PA + AI drafting</w:t>
            </w:r>
          </w:p>
        </w:tc>
        <w:tc>
          <w:tcPr/>
          <w:p>
            <w:pPr>
              <w:pStyle w:val="Compact"/>
              <w:jc w:val="left"/>
            </w:pPr>
            <w:r>
              <w:t xml:space="preserve">Everything in Full plus OpenPatent AI drafting integration, prior art landscape search, claim analysis, expedited Bitcoin confirmation (&lt;30 min)</w:t>
            </w:r>
          </w:p>
        </w:tc>
        <w:tc>
          <w:tcPr/>
          <w:p>
            <w:pPr>
              <w:pStyle w:val="Compact"/>
              <w:jc w:val="left"/>
            </w:pPr>
            <w:r>
              <w:t xml:space="preserve">Series A–B startups, budget IP law firms, corporate IP</w:t>
            </w:r>
          </w:p>
        </w:tc>
        <w:tc>
          <w:tcPr/>
          <w:p>
            <w:pPr>
              <w:pStyle w:val="Compact"/>
              <w:jc w:val="left"/>
            </w:pPr>
            <w:r>
              <w:t xml:space="preserve">PatSnap equivalent: $15,000–$50,000/year[^11^]</w:t>
            </w:r>
          </w:p>
        </w:tc>
      </w:tr>
      <w:tr>
        <w:tc>
          <w:tcPr/>
          <w:p>
            <w:pPr>
              <w:pStyle w:val="Compact"/>
              <w:jc w:val="left"/>
            </w:pPr>
            <w:r>
              <w:rPr>
                <w:bCs/>
                <w:b/>
              </w:rPr>
              <w:t xml:space="preserve">ENTERPRISE</w:t>
            </w:r>
          </w:p>
        </w:tc>
        <w:tc>
          <w:tcPr/>
          <w:p>
            <w:pPr>
              <w:pStyle w:val="Compact"/>
              <w:jc w:val="right"/>
            </w:pPr>
            <w:r>
              <w:t xml:space="preserve">$500/mo</w:t>
            </w:r>
          </w:p>
        </w:tc>
        <w:tc>
          <w:tcPr/>
          <w:p>
            <w:pPr>
              <w:pStyle w:val="Compact"/>
              <w:jc w:val="left"/>
            </w:pPr>
            <w:r>
              <w:t xml:space="preserve">All 6 + API + white-label</w:t>
            </w:r>
          </w:p>
        </w:tc>
        <w:tc>
          <w:tcPr/>
          <w:p>
            <w:pPr>
              <w:pStyle w:val="Compact"/>
              <w:jc w:val="left"/>
            </w:pPr>
            <w:r>
              <w:t xml:space="preserve">Unlimited disclosures, REST API, white-label pages, team management (10 seats), custom integrations, 99.9% SLA</w:t>
            </w:r>
          </w:p>
        </w:tc>
        <w:tc>
          <w:tcPr/>
          <w:p>
            <w:pPr>
              <w:pStyle w:val="Compact"/>
              <w:jc w:val="left"/>
            </w:pPr>
            <w:r>
              <w:t xml:space="preserve">Mid-market tech, law firms, research institutions</w:t>
            </w:r>
          </w:p>
        </w:tc>
        <w:tc>
          <w:tcPr/>
          <w:p>
            <w:pPr>
              <w:pStyle w:val="Compact"/>
              <w:jc w:val="left"/>
            </w:pPr>
            <w:r>
              <w:t xml:space="preserve">Clarivate/Questel: $25,000–$100,000/year[^11^]</w:t>
            </w:r>
          </w:p>
        </w:tc>
      </w:tr>
    </w:tbl>
    <w:p>
      <w:pPr>
        <w:pStyle w:val="BodyText"/>
      </w:pPr>
      <w:r>
        <w:rPr>
          <w:iCs/>
          <w:i/>
        </w:rPr>
        <w:t xml:space="preserve">Table 2: Five-tier PAYG pricing with cryptographic coverage, deliverables, target users, and competitive benchmarks. Prices in USD. Enterprise is monthly; others are per-disclosure.</w:t>
      </w:r>
    </w:p>
    <w:p>
      <w:pPr>
        <w:pStyle w:val="BodyText"/>
      </w:pPr>
      <w:r>
        <w:t xml:space="preserve">The pricing architecture reveals deliberate undercutting of incumbent defensive publication venues. IP.com’s publishing vouchers start at approximately $295 for documents up to 25 pages, scaling to $1,500+ for larger submissions[^12^]. Bernstein.io charges €29–€99 per disclosure; TimeProof offers Polygon-only timestamps at €15–€45 but lacks multi-layer cryptographic depth[^5^][^13^]. The DEFENSIVE tier at $10 undercuts the lowest-cost competitor (TimeProof) by approximately 33% while providing six independent cryptographic layers versus one or two. This positioning is sustainable because the marginal cost of blockchain anchoring is near-zero: OTS calendar submission is free, and Polygon transaction fees average $0.001–$0.01 per anchor[^14^].</w:t>
      </w:r>
    </w:p>
    <w:p>
      <w:pPr>
        <w:pStyle w:val="BodyText"/>
      </w:pPr>
      <w:r>
        <w:t xml:space="preserve">The FULL tier at $50 represents the primary revenue driver. The addition of C2PA Content Credentials provides machine-verifiable proofs compatible with automated patent office examination tools and enterprise compliance scanners. The C2PA specification v2.4 defines a COSE-based signing format using Ed25519 as the allowed EdDSA instance, with SHA-256 content binding producing tamper-evident manifests[^15^]. Production C2PA certificates from DigiCert or GlobalSign cost $50–$500 annually, but PatentMCP uses self-signed Ed25519 credentials within the C2PA manifest structure, eliminating this recurring cost while maintaining cryptographic validity[^16^].</w:t>
      </w:r>
    </w:p>
    <w:p>
      <w:pPr>
        <w:pStyle w:val="BodyText"/>
      </w:pPr>
      <w:r>
        <w:t xml:space="preserve">The PREMIUM tier integrates OpenPatent AI drafting, transforming the platform from a pure disclosure tool into a full patent lifecycle solution targeting the gap between DIY defensive publication and full-service attorney engagement ($15,000–$50,000 per application)[^11^]. The ENTERPRISE tier at $500/month introduces recurring revenue through unlimited disclosures, API access for CI/CD integration, white-label verification pages, and team management — directly aligned with the Industry Power Packs strategy positioning bundled MCP services at $50–$500 per month[^17^].</w:t>
      </w:r>
    </w:p>
    <w:bookmarkEnd w:id="77"/>
    <w:bookmarkStart w:id="78" w:name="payment-processing-and-unit-economics"/>
    <w:p>
      <w:pPr>
        <w:pStyle w:val="Heading4"/>
      </w:pPr>
      <w:r>
        <w:t xml:space="preserve">5.2.2 Payment Processing and Unit Economics</w:t>
      </w:r>
    </w:p>
    <w:p>
      <w:pPr>
        <w:pStyle w:val="FirstParagraph"/>
      </w:pPr>
      <w:r>
        <w:t xml:space="preserve">All paid tiers use the x402 micropayment protocol, enabling sub-dollar transactions without the 2.9% + $0.30 credit card minimum that makes sub-$10 transactions uneconomical[^3^]. For a $10 DEFENSIVE disclosure, credit card processing would consume $0.59 (5.9%) in fees; x402 reduces this to approximately $0.01–$0.05 (0.1–0.5%). The protocol also enables machine-to-machine payments, a critical capability for the MCP ecosystem where AI agents may autonomously file disclosures.</w:t>
      </w:r>
    </w:p>
    <w:p>
      <w:pPr>
        <w:pStyle w:val="BodyText"/>
      </w:pPr>
      <w:r>
        <w:t xml:space="preserve">Variable cost per disclosure is approximately $0.50–$2.00: OTS submission ($0), Polygon transaction ($0.001–$0.01), IPFS pinning ($0.05–$0.50), database operations ($0.01–$0.05), Elasticsearch indexing ($0.01–$0.05), and compute/egress ($0.42–$1.39)[^8^][^14^]. At the $10 DEFENSIVE price point, gross margin is 80–95%. Enterprise economics are stronger still: $500/month implies breakeven at approximately 250–1,000 disclosures per month, with margins exceeding 95% for typical usage of 50–200 monthly disclosures across a 10-seat team.</w:t>
      </w:r>
    </w:p>
    <w:bookmarkEnd w:id="78"/>
    <w:bookmarkStart w:id="79" w:name="the-self-hosted-escape-valve"/>
    <w:p>
      <w:pPr>
        <w:pStyle w:val="Heading4"/>
      </w:pPr>
      <w:r>
        <w:t xml:space="preserve">5.2.3 The Self-Hosted Escape Valve</w:t>
      </w:r>
    </w:p>
    <w:p>
      <w:pPr>
        <w:pStyle w:val="FirstParagraph"/>
      </w:pPr>
      <w:r>
        <w:t xml:space="preserve">The FREE tier functions as a</w:t>
      </w:r>
      <w:r>
        <w:t xml:space="preserve"> </w:t>
      </w:r>
      <w:r>
        <w:t xml:space="preserve">“</w:t>
      </w:r>
      <w:r>
        <w:t xml:space="preserve">self-hosted escape valve</w:t>
      </w:r>
      <w:r>
        <w:t xml:space="preserve">”</w:t>
      </w:r>
      <w:r>
        <w:t xml:space="preserve"> </w:t>
      </w:r>
      <w:r>
        <w:t xml:space="preserve">eliminating vendor lock-in. Users can export disclosure data and run the full stack locally without losing cryptographic functionality. Only blockchain anchoring (still free via OTS calendars) and the public attestation page (self-hostable at the user’s domain) degrade. This portability is contractually guaranteed by the MIT license on both PatentMCP and OpenPatent — no future licensing change can revoke self-hosting rights. Bernstein.io, TimeProof, and IP.com provide no self-hosted equivalent; user data and proofs are inseparable from their platforms[^5^][^12^][^13^].</w:t>
      </w:r>
    </w:p>
    <w:bookmarkEnd w:id="79"/>
    <w:bookmarkEnd w:id="80"/>
    <w:bookmarkStart w:id="84" w:name="revenue-projections"/>
    <w:p>
      <w:pPr>
        <w:pStyle w:val="Heading3"/>
      </w:pPr>
      <w:r>
        <w:t xml:space="preserve">5.3 Revenue Projections</w:t>
      </w:r>
    </w:p>
    <w:bookmarkStart w:id="81" w:name="conversion-rate-assumptions"/>
    <w:p>
      <w:pPr>
        <w:pStyle w:val="Heading4"/>
      </w:pPr>
      <w:r>
        <w:t xml:space="preserve">5.3.1 Conversion Rate Assumptions</w:t>
      </w:r>
    </w:p>
    <w:p>
      <w:pPr>
        <w:pStyle w:val="FirstParagraph"/>
      </w:pPr>
      <w:r>
        <w:t xml:space="preserve">ChartMogul’s 2026 analysis of 200 products found freemium models average 5.6% free-to-paid conversion, with the 75th percentile at 8–12%[^18^]. Open-source self-hostable products typically convert at 3–5% because the self-hosted option permanently satisfies users who would otherwise pay[^19^]. The following projections assume 4% conversion and assume higher visitor-to-signup rates (9% versus the 4.5% SaaS average) because the</w:t>
      </w:r>
      <w:r>
        <w:t xml:space="preserve"> </w:t>
      </w:r>
      <w:r>
        <w:t xml:space="preserve">“</w:t>
      </w:r>
      <w:r>
        <w:t xml:space="preserve">free and open source forever</w:t>
      </w:r>
      <w:r>
        <w:t xml:space="preserve">”</w:t>
      </w:r>
      <w:r>
        <w:t xml:space="preserve"> </w:t>
      </w:r>
      <w:r>
        <w:t xml:space="preserve">positioning eliminates trust barriers[^18^].</w:t>
      </w:r>
    </w:p>
    <w:bookmarkEnd w:id="81"/>
    <w:bookmarkStart w:id="82" w:name="three-scenario-revenue-model"/>
    <w:p>
      <w:pPr>
        <w:pStyle w:val="Heading4"/>
      </w:pPr>
      <w:r>
        <w:t xml:space="preserve">5.3.2 Three-Scenario Revenue Model</w:t>
      </w:r>
    </w:p>
    <w:tbl>
      <w:tblPr>
        <w:tblStyle w:val="Table"/>
        <w:tblW w:type="pct" w:w="5000"/>
        <w:tblLook w:firstRow="1" w:lastRow="0" w:firstColumn="0" w:lastColumn="0" w:noHBand="0" w:noVBand="0" w:val="0020"/>
      </w:tblPr>
      <w:tblGrid>
        <w:gridCol w:w="1257"/>
        <w:gridCol w:w="1257"/>
        <w:gridCol w:w="1760"/>
        <w:gridCol w:w="754"/>
        <w:gridCol w:w="754"/>
        <w:gridCol w:w="2137"/>
      </w:tblGrid>
      <w:tr>
        <w:trPr>
          <w:tblHeader w:val="true"/>
        </w:trPr>
        <w:tc>
          <w:tcPr/>
          <w:p>
            <w:pPr>
              <w:pStyle w:val="Compact"/>
              <w:jc w:val="left"/>
            </w:pPr>
            <w:r>
              <w:t xml:space="preserve">Scenario</w:t>
            </w:r>
          </w:p>
        </w:tc>
        <w:tc>
          <w:tcPr/>
          <w:p>
            <w:pPr>
              <w:pStyle w:val="Compact"/>
              <w:jc w:val="left"/>
            </w:pPr>
            <w:r>
              <w:t xml:space="preserve">Timeline</w:t>
            </w:r>
          </w:p>
        </w:tc>
        <w:tc>
          <w:tcPr/>
          <w:p>
            <w:pPr>
              <w:pStyle w:val="Compact"/>
              <w:jc w:val="right"/>
            </w:pPr>
            <w:r>
              <w:t xml:space="preserve">Paying Users</w:t>
            </w:r>
          </w:p>
        </w:tc>
        <w:tc>
          <w:tcPr/>
          <w:p>
            <w:pPr>
              <w:pStyle w:val="Compact"/>
              <w:jc w:val="right"/>
            </w:pPr>
            <w:r>
              <w:t xml:space="preserve">MRR</w:t>
            </w:r>
          </w:p>
        </w:tc>
        <w:tc>
          <w:tcPr/>
          <w:p>
            <w:pPr>
              <w:pStyle w:val="Compact"/>
              <w:jc w:val="right"/>
            </w:pPr>
            <w:r>
              <w:t xml:space="preserve">ARR</w:t>
            </w:r>
          </w:p>
        </w:tc>
        <w:tc>
          <w:tcPr/>
          <w:p>
            <w:pPr>
              <w:pStyle w:val="Compact"/>
              <w:jc w:val="left"/>
            </w:pPr>
            <w:r>
              <w:t xml:space="preserve">Key Assumptions</w:t>
            </w:r>
          </w:p>
        </w:tc>
      </w:tr>
      <w:tr>
        <w:tc>
          <w:tcPr/>
          <w:p>
            <w:pPr>
              <w:pStyle w:val="Compact"/>
              <w:jc w:val="left"/>
            </w:pPr>
            <w:r>
              <w:rPr>
                <w:bCs/>
                <w:b/>
              </w:rPr>
              <w:t xml:space="preserve">Conservative</w:t>
            </w:r>
          </w:p>
        </w:tc>
        <w:tc>
          <w:tcPr/>
          <w:p>
            <w:pPr>
              <w:pStyle w:val="Compact"/>
              <w:jc w:val="left"/>
            </w:pPr>
            <w:r>
              <w:t xml:space="preserve">Month 6</w:t>
            </w:r>
          </w:p>
        </w:tc>
        <w:tc>
          <w:tcPr/>
          <w:p>
            <w:pPr>
              <w:pStyle w:val="Compact"/>
              <w:jc w:val="right"/>
            </w:pPr>
            <w:r>
              <w:t xml:space="preserve">100</w:t>
            </w:r>
          </w:p>
        </w:tc>
        <w:tc>
          <w:tcPr/>
          <w:p>
            <w:pPr>
              <w:pStyle w:val="Compact"/>
              <w:jc w:val="right"/>
            </w:pPr>
            <w:r>
              <w:t xml:space="preserve">$3,500–$5,000</w:t>
            </w:r>
          </w:p>
        </w:tc>
        <w:tc>
          <w:tcPr/>
          <w:p>
            <w:pPr>
              <w:pStyle w:val="Compact"/>
              <w:jc w:val="right"/>
            </w:pPr>
            <w:r>
              <w:t xml:space="preserve">$42K–$60K</w:t>
            </w:r>
          </w:p>
        </w:tc>
        <w:tc>
          <w:tcPr/>
          <w:p>
            <w:pPr>
              <w:pStyle w:val="Compact"/>
              <w:jc w:val="left"/>
            </w:pPr>
            <w:r>
              <w:t xml:space="preserve">Organic growth via Hacker News, Reddit, GitHub; 4% conversion; no paid acquisition[^20^]</w:t>
            </w:r>
          </w:p>
        </w:tc>
      </w:tr>
      <w:tr>
        <w:tc>
          <w:tcPr/>
          <w:p>
            <w:pPr>
              <w:pStyle w:val="Compact"/>
              <w:jc w:val="left"/>
            </w:pPr>
            <w:r>
              <w:rPr>
                <w:bCs/>
                <w:b/>
              </w:rPr>
              <w:t xml:space="preserve">Conservative</w:t>
            </w:r>
          </w:p>
        </w:tc>
        <w:tc>
          <w:tcPr/>
          <w:p>
            <w:pPr>
              <w:pStyle w:val="Compact"/>
              <w:jc w:val="left"/>
            </w:pPr>
            <w:r>
              <w:t xml:space="preserve">Month 12</w:t>
            </w:r>
          </w:p>
        </w:tc>
        <w:tc>
          <w:tcPr/>
          <w:p>
            <w:pPr>
              <w:pStyle w:val="Compact"/>
              <w:jc w:val="right"/>
            </w:pPr>
            <w:r>
              <w:t xml:space="preserve">400</w:t>
            </w:r>
          </w:p>
        </w:tc>
        <w:tc>
          <w:tcPr/>
          <w:p>
            <w:pPr>
              <w:pStyle w:val="Compact"/>
              <w:jc w:val="right"/>
            </w:pPr>
            <w:r>
              <w:t xml:space="preserve">$14K–$20K</w:t>
            </w:r>
          </w:p>
        </w:tc>
        <w:tc>
          <w:tcPr/>
          <w:p>
            <w:pPr>
              <w:pStyle w:val="Compact"/>
              <w:jc w:val="right"/>
            </w:pPr>
            <w:r>
              <w:t xml:space="preserve">$168K–$240K</w:t>
            </w:r>
          </w:p>
        </w:tc>
        <w:tc>
          <w:tcPr/>
          <w:p>
            <w:pPr>
              <w:pStyle w:val="Compact"/>
              <w:jc w:val="left"/>
            </w:pPr>
            <w:r>
              <w:t xml:space="preserve">Word-of-mouth acceleration; first enterprise trial ($500/mo)</w:t>
            </w:r>
          </w:p>
        </w:tc>
      </w:tr>
      <w:tr>
        <w:tc>
          <w:tcPr/>
          <w:p>
            <w:pPr>
              <w:pStyle w:val="Compact"/>
              <w:jc w:val="left"/>
            </w:pPr>
            <w:r>
              <w:rPr>
                <w:bCs/>
                <w:b/>
              </w:rPr>
              <w:t xml:space="preserve">Target</w:t>
            </w:r>
          </w:p>
        </w:tc>
        <w:tc>
          <w:tcPr/>
          <w:p>
            <w:pPr>
              <w:pStyle w:val="Compact"/>
              <w:jc w:val="left"/>
            </w:pPr>
            <w:r>
              <w:t xml:space="preserve">Month 6</w:t>
            </w:r>
          </w:p>
        </w:tc>
        <w:tc>
          <w:tcPr/>
          <w:p>
            <w:pPr>
              <w:pStyle w:val="Compact"/>
              <w:jc w:val="right"/>
            </w:pPr>
            <w:r>
              <w:t xml:space="preserve">500</w:t>
            </w:r>
          </w:p>
        </w:tc>
        <w:tc>
          <w:tcPr/>
          <w:p>
            <w:pPr>
              <w:pStyle w:val="Compact"/>
              <w:jc w:val="right"/>
            </w:pPr>
            <w:r>
              <w:t xml:space="preserve">$17,500–$25,000</w:t>
            </w:r>
          </w:p>
        </w:tc>
        <w:tc>
          <w:tcPr/>
          <w:p>
            <w:pPr>
              <w:pStyle w:val="Compact"/>
              <w:jc w:val="right"/>
            </w:pPr>
            <w:r>
              <w:t xml:space="preserve">$210K–$300K</w:t>
            </w:r>
          </w:p>
        </w:tc>
        <w:tc>
          <w:tcPr/>
          <w:p>
            <w:pPr>
              <w:pStyle w:val="Compact"/>
              <w:jc w:val="left"/>
            </w:pPr>
            <w:r>
              <w:t xml:space="preserve">Product Hunt launch; LinkedIn campaigns to founders; MCP integration drives adoption[^21^]</w:t>
            </w:r>
          </w:p>
        </w:tc>
      </w:tr>
      <w:tr>
        <w:tc>
          <w:tcPr/>
          <w:p>
            <w:pPr>
              <w:pStyle w:val="Compact"/>
              <w:jc w:val="left"/>
            </w:pPr>
            <w:r>
              <w:rPr>
                <w:bCs/>
                <w:b/>
              </w:rPr>
              <w:t xml:space="preserve">Target</w:t>
            </w:r>
          </w:p>
        </w:tc>
        <w:tc>
          <w:tcPr/>
          <w:p>
            <w:pPr>
              <w:pStyle w:val="Compact"/>
              <w:jc w:val="left"/>
            </w:pPr>
            <w:r>
              <w:t xml:space="preserve">Month 12</w:t>
            </w:r>
          </w:p>
        </w:tc>
        <w:tc>
          <w:tcPr/>
          <w:p>
            <w:pPr>
              <w:pStyle w:val="Compact"/>
              <w:jc w:val="right"/>
            </w:pPr>
            <w:r>
              <w:t xml:space="preserve">1,500</w:t>
            </w:r>
          </w:p>
        </w:tc>
        <w:tc>
          <w:tcPr/>
          <w:p>
            <w:pPr>
              <w:pStyle w:val="Compact"/>
              <w:jc w:val="right"/>
            </w:pPr>
            <w:r>
              <w:t xml:space="preserve">$75K–$100K</w:t>
            </w:r>
          </w:p>
        </w:tc>
        <w:tc>
          <w:tcPr/>
          <w:p>
            <w:pPr>
              <w:pStyle w:val="Compact"/>
              <w:jc w:val="right"/>
            </w:pPr>
            <w:r>
              <w:t xml:space="preserve">$900K–$1.2M</w:t>
            </w:r>
          </w:p>
        </w:tc>
        <w:tc>
          <w:tcPr/>
          <w:p>
            <w:pPr>
              <w:pStyle w:val="Compact"/>
              <w:jc w:val="left"/>
            </w:pPr>
            <w:r>
              <w:t xml:space="preserve">Patent attorney partnerships; Hermes integration; Industry Power Pack bundling</w:t>
            </w:r>
          </w:p>
        </w:tc>
      </w:tr>
      <w:tr>
        <w:tc>
          <w:tcPr/>
          <w:p>
            <w:pPr>
              <w:pStyle w:val="Compact"/>
              <w:jc w:val="left"/>
            </w:pPr>
            <w:r>
              <w:rPr>
                <w:bCs/>
                <w:b/>
              </w:rPr>
              <w:t xml:space="preserve">Optimistic</w:t>
            </w:r>
          </w:p>
        </w:tc>
        <w:tc>
          <w:tcPr/>
          <w:p>
            <w:pPr>
              <w:pStyle w:val="Compact"/>
              <w:jc w:val="left"/>
            </w:pPr>
            <w:r>
              <w:t xml:space="preserve">Month 6</w:t>
            </w:r>
          </w:p>
        </w:tc>
        <w:tc>
          <w:tcPr/>
          <w:p>
            <w:pPr>
              <w:pStyle w:val="Compact"/>
              <w:jc w:val="right"/>
            </w:pPr>
            <w:r>
              <w:t xml:space="preserve">800</w:t>
            </w:r>
          </w:p>
        </w:tc>
        <w:tc>
          <w:tcPr/>
          <w:p>
            <w:pPr>
              <w:pStyle w:val="Compact"/>
              <w:jc w:val="right"/>
            </w:pPr>
            <w:r>
              <w:t xml:space="preserve">$28K–$40K</w:t>
            </w:r>
          </w:p>
        </w:tc>
        <w:tc>
          <w:tcPr/>
          <w:p>
            <w:pPr>
              <w:pStyle w:val="Compact"/>
              <w:jc w:val="right"/>
            </w:pPr>
            <w:r>
              <w:t xml:space="preserve">$336K–$480K</w:t>
            </w:r>
          </w:p>
        </w:tc>
        <w:tc>
          <w:tcPr/>
          <w:p>
            <w:pPr>
              <w:pStyle w:val="Compact"/>
              <w:jc w:val="left"/>
            </w:pPr>
            <w:r>
              <w:t xml:space="preserve">Viral GitHub growth (&gt;500 stars); tech media coverage; YC network adoption</w:t>
            </w:r>
          </w:p>
        </w:tc>
      </w:tr>
      <w:tr>
        <w:tc>
          <w:tcPr/>
          <w:p>
            <w:pPr>
              <w:pStyle w:val="Compact"/>
              <w:jc w:val="left"/>
            </w:pPr>
            <w:r>
              <w:rPr>
                <w:bCs/>
                <w:b/>
              </w:rPr>
              <w:t xml:space="preserve">Optimistic</w:t>
            </w:r>
          </w:p>
        </w:tc>
        <w:tc>
          <w:tcPr/>
          <w:p>
            <w:pPr>
              <w:pStyle w:val="Compact"/>
              <w:jc w:val="left"/>
            </w:pPr>
            <w:r>
              <w:t xml:space="preserve">Month 12</w:t>
            </w:r>
          </w:p>
        </w:tc>
        <w:tc>
          <w:tcPr/>
          <w:p>
            <w:pPr>
              <w:pStyle w:val="Compact"/>
              <w:jc w:val="right"/>
            </w:pPr>
            <w:r>
              <w:t xml:space="preserve">3,000</w:t>
            </w:r>
          </w:p>
        </w:tc>
        <w:tc>
          <w:tcPr/>
          <w:p>
            <w:pPr>
              <w:pStyle w:val="Compact"/>
              <w:jc w:val="right"/>
            </w:pPr>
            <w:r>
              <w:t xml:space="preserve">$150K–$200K</w:t>
            </w:r>
          </w:p>
        </w:tc>
        <w:tc>
          <w:tcPr/>
          <w:p>
            <w:pPr>
              <w:pStyle w:val="Compact"/>
              <w:jc w:val="right"/>
            </w:pPr>
            <w:r>
              <w:t xml:space="preserve">$1.8M–$2.4M</w:t>
            </w:r>
          </w:p>
        </w:tc>
        <w:tc>
          <w:tcPr/>
          <w:p>
            <w:pPr>
              <w:pStyle w:val="Compact"/>
              <w:jc w:val="left"/>
            </w:pPr>
            <w:r>
              <w:t xml:space="preserve">10+ enterprise contracts; white-label API embedded in legal tech platforms</w:t>
            </w:r>
          </w:p>
        </w:tc>
      </w:tr>
      <w:tr>
        <w:tc>
          <w:tcPr/>
          <w:p>
            <w:pPr>
              <w:pStyle w:val="Compact"/>
              <w:jc w:val="left"/>
            </w:pPr>
            <w:r>
              <w:rPr>
                <w:bCs/>
                <w:b/>
              </w:rPr>
              <w:t xml:space="preserve">Optimistic</w:t>
            </w:r>
          </w:p>
        </w:tc>
        <w:tc>
          <w:tcPr/>
          <w:p>
            <w:pPr>
              <w:pStyle w:val="Compact"/>
              <w:jc w:val="left"/>
            </w:pPr>
            <w:r>
              <w:t xml:space="preserve">Month 18</w:t>
            </w:r>
          </w:p>
        </w:tc>
        <w:tc>
          <w:tcPr/>
          <w:p>
            <w:pPr>
              <w:pStyle w:val="Compact"/>
              <w:jc w:val="right"/>
            </w:pPr>
            <w:r>
              <w:t xml:space="preserve">5,000+</w:t>
            </w:r>
          </w:p>
        </w:tc>
        <w:tc>
          <w:tcPr/>
          <w:p>
            <w:pPr>
              <w:pStyle w:val="Compact"/>
              <w:jc w:val="right"/>
            </w:pPr>
            <w:r>
              <w:t xml:space="preserve">$300K–$500K</w:t>
            </w:r>
          </w:p>
        </w:tc>
        <w:tc>
          <w:tcPr/>
          <w:p>
            <w:pPr>
              <w:pStyle w:val="Compact"/>
              <w:jc w:val="right"/>
            </w:pPr>
            <w:r>
              <w:t xml:space="preserve">$3.6M–$6M</w:t>
            </w:r>
          </w:p>
        </w:tc>
        <w:tc>
          <w:tcPr/>
          <w:p>
            <w:pPr>
              <w:pStyle w:val="Compact"/>
              <w:jc w:val="left"/>
            </w:pPr>
            <w:r>
              <w:t xml:space="preserve">Enterprise &gt;50% of revenue; API exceeds SaaS usage; international expansion[^22^]</w:t>
            </w:r>
          </w:p>
        </w:tc>
      </w:tr>
    </w:tbl>
    <w:p>
      <w:pPr>
        <w:pStyle w:val="BodyText"/>
      </w:pPr>
      <w:r>
        <w:rPr>
          <w:iCs/>
          <w:i/>
        </w:rPr>
        <w:t xml:space="preserve">Table 3: Three-scenario revenue projections over 18 months. MRR and ARR in USD. Conservative and Target show Month 6 and 12; Optimistic adds Month 18.</w:t>
      </w:r>
    </w:p>
    <w:p>
      <w:pPr>
        <w:pStyle w:val="BodyText"/>
      </w:pPr>
      <w:r>
        <w:t xml:space="preserve">The revenue model illustrates the asymmetric economics of open-source SaaS. In the Conservative scenario, the platform reaches approximately $200K ARR by Month 12 — a modest but bootstrapped-profitable outcome given low marginal costs per disclosure ($0.50–$2.00). The Target scenario approaches $1.2M ARR by Month 12, assuming successful Product Hunt exposure, attorney partnership referrals, and MCP ecosystem compounding effects. The critical inflection point occurs between Month 6 and 9, when enterprise discussions initiated in Month 3–4 convert to signed agreements.</w:t>
      </w:r>
    </w:p>
    <w:p>
      <w:pPr>
        <w:pStyle w:val="BodyText"/>
      </w:pPr>
      <w:r>
        <w:t xml:space="preserve">The Optimistic scenario’s $3.6–$6M ARR by Month 18 depends on two catalysts: (1) recognition of the prior art registry by patent examination offices as a database of record, driving mandatory enterprise adoption; and (2) white-label API integration by legal technology platforms embedding PatentMCP into existing workflows. Both are plausible but not guaranteed — patent office partnerships typically require 12–24 month evaluation cycles, and platform integrations depend on demonstrated user demand.</w:t>
      </w:r>
    </w:p>
    <w:bookmarkEnd w:id="82"/>
    <w:bookmarkStart w:id="83" w:name="risk-factors"/>
    <w:p>
      <w:pPr>
        <w:pStyle w:val="Heading4"/>
      </w:pPr>
      <w:r>
        <w:t xml:space="preserve">5.3.3 Risk Factors</w:t>
      </w:r>
    </w:p>
    <w:p>
      <w:pPr>
        <w:pStyle w:val="FirstParagraph"/>
      </w:pPr>
      <w:r>
        <w:t xml:space="preserve">Three risks could materially reduce projections. First, the fully functional free tier caps conversion at 4–6% versus 8–12% for SaaS without viable self-hosted alternatives[^18^]. Users installing PatentMCP locally and connecting to free OTS calendars achieve roughly 80% of the SaaS platform’s cryptographic capability at zero cost. The platform must compete on convenience rather than functionality.</w:t>
      </w:r>
    </w:p>
    <w:p>
      <w:pPr>
        <w:pStyle w:val="BodyText"/>
      </w:pPr>
      <w:r>
        <w:t xml:space="preserve">Second, the defensive publication market is education-intensive. Most inventors, including many patent attorneys, are unfamiliar with defensive publication as an alternative to traditional patent filing[^23^]. Enterprise sales cycles may extend to 3–6 months as decision-makers evaluate defensive publication against provisional patents ($1,500–$15,000) and trade secret protection, increasing customer acquisition cost and extending payback periods.</w:t>
      </w:r>
    </w:p>
    <w:p>
      <w:pPr>
        <w:pStyle w:val="BodyText"/>
      </w:pPr>
      <w:r>
        <w:t xml:space="preserve">Third, Bitcoin network fee volatility introduces unpredictable costs for the DEFENSIVE tier. While OTS aggregation keeps per-disclosure costs near zero during normal conditions, fee spikes during congestion (historically $5–$50 per transaction in 2024–2025) could compress margins or force temporary price increases[^24^]. The Polygon secondary anchor mitigates this risk by providing a low-cost fallback, but users paying for Bitcoin anchoring specifically expect Bitcoin confirmation regardless of market conditions.</w:t>
      </w:r>
    </w:p>
    <w:p>
      <w:pPr>
        <w:pStyle w:val="BodyText"/>
      </w:pPr>
      <w:r>
        <w:t xml:space="preserve">These risks are manageable but require proactive mitigation. The education gap can be addressed through content marketing targeting patent attorney communities and open-source developer forums, where the</w:t>
      </w:r>
      <w:r>
        <w:t xml:space="preserve"> </w:t>
      </w:r>
      <w:r>
        <w:t xml:space="preserve">“</w:t>
      </w:r>
      <w:r>
        <w:t xml:space="preserve">patent troll defense</w:t>
      </w:r>
      <w:r>
        <w:t xml:space="preserve">”</w:t>
      </w:r>
      <w:r>
        <w:t xml:space="preserve"> </w:t>
      </w:r>
      <w:r>
        <w:t xml:space="preserve">narrative resonates strongly with independent developers who have direct experience with predatory patent assertions. The Bitcoin fee risk can be hedged through a dynamic pricing buffer — adding $1–$2 to the DEFENSIVE tier during high-congestion periods, with transparent fee explanation on the payment page. The self-hosted competition is arguably a feature rather than a bug: users who self-host and later require the convenience of SaaS represent a pre-qualified conversion pipeline with zero acquisition cost.</w:t>
      </w:r>
    </w:p>
    <w:p>
      <w:r>
        <w:pict>
          <v:rect style="width:0;height:1.5pt" o:hralign="center" o:hrstd="t" o:hr="t"/>
        </w:pict>
      </w:r>
    </w:p>
    <w:bookmarkEnd w:id="83"/>
    <w:bookmarkEnd w:id="84"/>
    <w:bookmarkEnd w:id="85"/>
    <w:bookmarkStart w:id="101" w:name="mcp-auto-patent-tool-design"/>
    <w:p>
      <w:pPr>
        <w:pStyle w:val="Heading2"/>
      </w:pPr>
      <w:r>
        <w:t xml:space="preserve">6. MCP Auto-Patent Tool Design</w:t>
      </w:r>
    </w:p>
    <w:p>
      <w:pPr>
        <w:pStyle w:val="FirstParagraph"/>
      </w:pPr>
      <w:r>
        <w:t xml:space="preserve">The Model Context Protocol (MCP), released by Anthropic in November 2024 and subsequently adopted by OpenAI, Google, and over 50 enterprise partners, defines a standardized client-host-server architecture for connecting AI systems to external tools, resources, and data sources[^673^][^686^]. MCP servers expose three primitives—</w:t>
      </w:r>
      <w:r>
        <w:rPr>
          <w:bCs/>
          <w:b/>
        </w:rPr>
        <w:t xml:space="preserve">tools</w:t>
      </w:r>
      <w:r>
        <w:t xml:space="preserve"> </w:t>
      </w:r>
      <w:r>
        <w:t xml:space="preserve">(executable functions),</w:t>
      </w:r>
      <w:r>
        <w:t xml:space="preserve"> </w:t>
      </w:r>
      <w:r>
        <w:rPr>
          <w:bCs/>
          <w:b/>
        </w:rPr>
        <w:t xml:space="preserve">resources</w:t>
      </w:r>
      <w:r>
        <w:t xml:space="preserve"> </w:t>
      </w:r>
      <w:r>
        <w:t xml:space="preserve">(structured data), and</w:t>
      </w:r>
      <w:r>
        <w:t xml:space="preserve"> </w:t>
      </w:r>
      <w:r>
        <w:rPr>
          <w:bCs/>
          <w:b/>
        </w:rPr>
        <w:t xml:space="preserve">prompts</w:t>
      </w:r>
      <w:r>
        <w:t xml:space="preserve"> </w:t>
      </w:r>
      <w:r>
        <w:t xml:space="preserve">(reusable templates)—over JSON-RPC, enabling any compliant host to discover and invoke capabilities without custom integration code[^679^][^681^]. The</w:t>
      </w:r>
      <w:r>
        <w:t xml:space="preserve"> </w:t>
      </w:r>
      <w:r>
        <w:rPr>
          <w:rStyle w:val="VerbatimChar"/>
        </w:rPr>
        <w:t xml:space="preserve">openpatent-mcp</w:t>
      </w:r>
      <w:r>
        <w:t xml:space="preserve"> </w:t>
      </w:r>
      <w:r>
        <w:t xml:space="preserve">server extends the existing PatentMCP codebase—which already provides four production tools for disclosure, verification, search, and statistics—by adding AI-native patent drafting capabilities and deep integration with the broader MCP ecosystem. This chapter specifies the complete tool interface, maps inter-server dependencies, and defines the end-to-end auto-patent workflows that connect developer commits to blockchain-anchored invention disclosures.</w:t>
      </w:r>
    </w:p>
    <w:bookmarkStart w:id="91" w:name="openpatent-mcp-server-specification"/>
    <w:p>
      <w:pPr>
        <w:pStyle w:val="Heading3"/>
      </w:pPr>
      <w:r>
        <w:t xml:space="preserve">6.1 openpatent-mcp Server Specification</w:t>
      </w:r>
    </w:p>
    <w:p>
      <w:pPr>
        <w:pStyle w:val="FirstParagraph"/>
      </w:pPr>
      <w:r>
        <w:t xml:space="preserve">The</w:t>
      </w:r>
      <w:r>
        <w:t xml:space="preserve"> </w:t>
      </w:r>
      <w:r>
        <w:rPr>
          <w:rStyle w:val="VerbatimChar"/>
        </w:rPr>
        <w:t xml:space="preserve">openpatent-mcp</w:t>
      </w:r>
      <w:r>
        <w:t xml:space="preserve"> </w:t>
      </w:r>
      <w:r>
        <w:t xml:space="preserve">server implements five core tools, each mapped to a specific stage of the invention lifecycle from initial disclosure through automated detection in codebases. The server retains PatentMCP’s existing cryptographic infrastructure—CryptoEngine (SHA-3/512, HMAC, Ed25519), BlockchainAnchor (Bitcoin OpenTimestamps), C2PABuilder, AuditChain, Registry, and Verifier—and layers AI-driven drafting and auto-detection on top. All tools declare the</w:t>
      </w:r>
      <w:r>
        <w:t xml:space="preserve"> </w:t>
      </w:r>
      <w:r>
        <w:rPr>
          <w:rStyle w:val="VerbatimChar"/>
        </w:rPr>
        <w:t xml:space="preserve">tools</w:t>
      </w:r>
      <w:r>
        <w:t xml:space="preserve"> </w:t>
      </w:r>
      <w:r>
        <w:t xml:space="preserve">capability per MCP specification revision 2024-11-05 and expose JSON Schema input/output contracts discoverable via the standard</w:t>
      </w:r>
      <w:r>
        <w:t xml:space="preserve"> </w:t>
      </w:r>
      <w:r>
        <w:rPr>
          <w:rStyle w:val="VerbatimChar"/>
        </w:rPr>
        <w:t xml:space="preserve">tools/list</w:t>
      </w:r>
      <w:r>
        <w:t xml:space="preserve"> </w:t>
      </w:r>
      <w:r>
        <w:t xml:space="preserve">endpoint[^679^].</w:t>
      </w:r>
    </w:p>
    <w:bookmarkStart w:id="86" w:name="tool-disclose_invention"/>
    <w:p>
      <w:pPr>
        <w:pStyle w:val="Heading4"/>
      </w:pPr>
      <w:r>
        <w:t xml:space="preserve">6.1.1 Tool:</w:t>
      </w:r>
      <w:r>
        <w:t xml:space="preserve"> </w:t>
      </w:r>
      <w:r>
        <w:rPr>
          <w:rStyle w:val="VerbatimChar"/>
        </w:rPr>
        <w:t xml:space="preserve">disclose_invention</w:t>
      </w:r>
    </w:p>
    <w:p>
      <w:pPr>
        <w:pStyle w:val="FirstParagraph"/>
      </w:pPr>
      <w:r>
        <w:t xml:space="preserve">The</w:t>
      </w:r>
      <w:r>
        <w:t xml:space="preserve"> </w:t>
      </w:r>
      <w:r>
        <w:rPr>
          <w:rStyle w:val="VerbatimChar"/>
        </w:rPr>
        <w:t xml:space="preserve">disclose_invention</w:t>
      </w:r>
      <w:r>
        <w:t xml:space="preserve"> </w:t>
      </w:r>
      <w:r>
        <w:t xml:space="preserve">tool accepts an invention title, textual description, inventor decentralized identifier (DID), and optional supporting documents (PDF, code archives, images), then returns a disclosure number and Bitcoin blockchain transaction identifier (txid). Internally, the tool invokes CryptoEngine to compute a SHA-3/512 content hash of the complete invention bundle, signs the hash with Ed25519 using the inventor’s private key, and anchors the resulting signature to the Bitcoin blockchain via OpenTimestamps[^674^][^675^]. The Merkle root of the batched disclosure is embedded in a Bitcoin transaction; after six confirmations (~60 minutes), the timestamp achieves permanent, independently verifiable proof of existence[^674^]. The disclosure number encodes the block height and Merkle path, enabling any third party to verify the timestamp without contacting the OpenPatent service. The tool also writes a C2PA manifest into any attached documents, binding the disclosure number cryptographically to the file content for downstream authenticity verification.</w:t>
      </w:r>
    </w:p>
    <w:bookmarkEnd w:id="86"/>
    <w:bookmarkStart w:id="87" w:name="tool-verify_disclosure"/>
    <w:p>
      <w:pPr>
        <w:pStyle w:val="Heading4"/>
      </w:pPr>
      <w:r>
        <w:t xml:space="preserve">6.1.2 Tool:</w:t>
      </w:r>
      <w:r>
        <w:t xml:space="preserve"> </w:t>
      </w:r>
      <w:r>
        <w:rPr>
          <w:rStyle w:val="VerbatimChar"/>
        </w:rPr>
        <w:t xml:space="preserve">verify_disclosure</w:t>
      </w:r>
    </w:p>
    <w:p>
      <w:pPr>
        <w:pStyle w:val="FirstParagraph"/>
      </w:pPr>
      <w:r>
        <w:t xml:space="preserve">The</w:t>
      </w:r>
      <w:r>
        <w:t xml:space="preserve"> </w:t>
      </w:r>
      <w:r>
        <w:rPr>
          <w:rStyle w:val="VerbatimChar"/>
        </w:rPr>
        <w:t xml:space="preserve">verify_disclosure</w:t>
      </w:r>
      <w:r>
        <w:t xml:space="preserve"> </w:t>
      </w:r>
      <w:r>
        <w:t xml:space="preserve">tool accepts a disclosure number and returns a six-layer verification report with per-layer timestamps. Layer 1 confirms the SHA-3/512 content hash integrity; Layer 2 validates the Ed25519 inventor signature; Layer 3 checks the HMAC chain-of-custody audit trail; Layer 4 verifies the Bitcoin OpenTimestamps anchor proof against the current blockchain state; Layer 5 validates the C2PA manifest embedded in attached documents; and Layer 6 queries the BFT Council consensus log to confirm that at least 22 of 33 council agents have attested to the disclosure’s structural validity. Each layer reports independently—pass, fail, or indeterminate—allowing partial trust scenarios where some layers may be temporarily unavailable. The independent verifiability property holds: verification requires only the artifact bytes, the</w:t>
      </w:r>
      <w:r>
        <w:t xml:space="preserve"> </w:t>
      </w:r>
      <w:r>
        <w:rPr>
          <w:rStyle w:val="VerbatimChar"/>
        </w:rPr>
        <w:t xml:space="preserve">.ots</w:t>
      </w:r>
      <w:r>
        <w:t xml:space="preserve"> </w:t>
      </w:r>
      <w:r>
        <w:t xml:space="preserve">proof file, and Bitcoin block headers, with no dependency on OpenPatent infrastructure[^674^].</w:t>
      </w:r>
    </w:p>
    <w:bookmarkEnd w:id="87"/>
    <w:bookmarkStart w:id="88" w:name="tool-search_prior_art"/>
    <w:p>
      <w:pPr>
        <w:pStyle w:val="Heading4"/>
      </w:pPr>
      <w:r>
        <w:t xml:space="preserve">6.1.3 Tool:</w:t>
      </w:r>
      <w:r>
        <w:t xml:space="preserve"> </w:t>
      </w:r>
      <w:r>
        <w:rPr>
          <w:rStyle w:val="VerbatimChar"/>
        </w:rPr>
        <w:t xml:space="preserve">search_prior_art</w:t>
      </w:r>
    </w:p>
    <w:p>
      <w:pPr>
        <w:pStyle w:val="FirstParagraph"/>
      </w:pPr>
      <w:r>
        <w:t xml:space="preserve">The</w:t>
      </w:r>
      <w:r>
        <w:t xml:space="preserve"> </w:t>
      </w:r>
      <w:r>
        <w:rPr>
          <w:rStyle w:val="VerbatimChar"/>
        </w:rPr>
        <w:t xml:space="preserve">search_prior_art</w:t>
      </w:r>
      <w:r>
        <w:t xml:space="preserve"> </w:t>
      </w:r>
      <w:r>
        <w:t xml:space="preserve">tool accepts keyword queries, natural language claim descriptions, or CPC/IPC classification codes and returns ranked prior art results from the OpenPatent registry and external patent databases. The tool integrates with the USPTO Patent Public Search API, the Open Data Portal API, and PTAB API v3, leveraging the same multi-source connector architecture as the existing PatentMCP search infrastructure[^676^][^680^]. Results are ranked by semantic similarity using vector embeddings of patent claims and descriptions, with each result annotated by disclosure date overlap, geographic coverage, and estimated relevance score. The tool also surfaces white-space analysis—technical domains with sparse prior art coverage—to guide inventors toward defensible filing positions. Enterprise deployments access Cypris’s 500-million-document patent and scientific paper corpus through the platform’s agentic API layer for structured domain reasoning[^680^].</w:t>
      </w:r>
    </w:p>
    <w:bookmarkEnd w:id="88"/>
    <w:bookmarkStart w:id="89" w:name="tool-draft_patent_claims"/>
    <w:p>
      <w:pPr>
        <w:pStyle w:val="Heading4"/>
      </w:pPr>
      <w:r>
        <w:t xml:space="preserve">6.1.4 Tool:</w:t>
      </w:r>
      <w:r>
        <w:t xml:space="preserve"> </w:t>
      </w:r>
      <w:r>
        <w:rPr>
          <w:rStyle w:val="VerbatimChar"/>
        </w:rPr>
        <w:t xml:space="preserve">draft_patent_claims</w:t>
      </w:r>
    </w:p>
    <w:p>
      <w:pPr>
        <w:pStyle w:val="FirstParagraph"/>
      </w:pPr>
      <w:r>
        <w:t xml:space="preserve">The</w:t>
      </w:r>
      <w:r>
        <w:t xml:space="preserve"> </w:t>
      </w:r>
      <w:r>
        <w:rPr>
          <w:rStyle w:val="VerbatimChar"/>
        </w:rPr>
        <w:t xml:space="preserve">draft_patent_claims</w:t>
      </w:r>
      <w:r>
        <w:t xml:space="preserve"> </w:t>
      </w:r>
      <w:r>
        <w:t xml:space="preserve">tool represents the primary extension over PatentMCP’s original toolset. It accepts an invention description—structured text, code comments, or documentation fragments—and returns a complete set of drafted patent claims via the OpenPatent agent. The drafting pipeline follows the stepwise workflow established by production AI patent drafting systems: the agent first extracts the core inventive concept, then generates a broad independent claim, then clones dependent claims adding specific limitations, and finally mirrors method claims into apparatus and computer-readable medium claim sets[^691^][^699^]. The tool supports interactive refinement through multi-turn conversation, allowing inventors to request alternative phrasing, broader terminology, or examiner-style critique to stress-test claim clarity[^699^]. All drafts embed the inventor’s DID and a provisional disclosure number to establish priority before final filing.</w:t>
      </w:r>
    </w:p>
    <w:bookmarkEnd w:id="89"/>
    <w:bookmarkStart w:id="90" w:name="tool-auto_disclose_work"/>
    <w:p>
      <w:pPr>
        <w:pStyle w:val="Heading4"/>
      </w:pPr>
      <w:r>
        <w:t xml:space="preserve">6.1.5 Tool:</w:t>
      </w:r>
      <w:r>
        <w:t xml:space="preserve"> </w:t>
      </w:r>
      <w:r>
        <w:rPr>
          <w:rStyle w:val="VerbatimChar"/>
        </w:rPr>
        <w:t xml:space="preserve">auto_disclose_work</w:t>
      </w:r>
    </w:p>
    <w:p>
      <w:pPr>
        <w:pStyle w:val="FirstParagraph"/>
      </w:pPr>
      <w:r>
        <w:t xml:space="preserve">The</w:t>
      </w:r>
      <w:r>
        <w:t xml:space="preserve"> </w:t>
      </w:r>
      <w:r>
        <w:rPr>
          <w:rStyle w:val="VerbatimChar"/>
        </w:rPr>
        <w:t xml:space="preserve">auto_disclose_work</w:t>
      </w:r>
      <w:r>
        <w:t xml:space="preserve"> </w:t>
      </w:r>
      <w:r>
        <w:t xml:space="preserve">tool automates the full invention detection and disclosure pipeline. It accepts a codebase directory path, scans for algorithmically novel patterns—new data structures, cryptographic implementations, consensus mechanisms, or optimization techniques—auto-drafts invention descriptions from detected code and associated documentation, and generates one-click disclosure bundles ready for human review. The tool delegates code analysis to a connected</w:t>
      </w:r>
      <w:r>
        <w:t xml:space="preserve"> </w:t>
      </w:r>
      <w:r>
        <w:rPr>
          <w:rStyle w:val="VerbatimChar"/>
        </w:rPr>
        <w:t xml:space="preserve">code-analysis-mcp</w:t>
      </w:r>
      <w:r>
        <w:t xml:space="preserve"> </w:t>
      </w:r>
      <w:r>
        <w:t xml:space="preserve">server (Section 6.2.1) and description generation to a connected</w:t>
      </w:r>
      <w:r>
        <w:t xml:space="preserve"> </w:t>
      </w:r>
      <w:r>
        <w:rPr>
          <w:rStyle w:val="VerbatimChar"/>
        </w:rPr>
        <w:t xml:space="preserve">documentation-mcp</w:t>
      </w:r>
      <w:r>
        <w:t xml:space="preserve"> </w:t>
      </w:r>
      <w:r>
        <w:t xml:space="preserve">server (Section 6.2.2), orchestrating the multi-agent workflow through the Hermes master orchestration system. Detected inventions are scored on a 0–100 novelty index based on code complexity metrics, comment density indicating intentional design, and divergence from known open-source implementations. Only inventions scoring above a configurable threshold (default 75) are surfaced for human review, preventing disclosure spam from trivial implementations.</w:t>
      </w:r>
    </w:p>
    <w:p>
      <w:pPr>
        <w:pStyle w:val="BodyText"/>
      </w:pPr>
      <w:r>
        <w:t xml:space="preserve">The following table summarizes the complete</w:t>
      </w:r>
      <w:r>
        <w:t xml:space="preserve"> </w:t>
      </w:r>
      <w:r>
        <w:rPr>
          <w:rStyle w:val="VerbatimChar"/>
        </w:rPr>
        <w:t xml:space="preserve">openpatent-mcp</w:t>
      </w:r>
      <w:r>
        <w:t xml:space="preserve"> </w:t>
      </w:r>
      <w:r>
        <w:t xml:space="preserve">tool interface:</w:t>
      </w:r>
    </w:p>
    <w:tbl>
      <w:tblPr>
        <w:tblStyle w:val="Table"/>
        <w:tblW w:type="pct" w:w="5000"/>
        <w:tblLook w:firstRow="1" w:lastRow="0" w:firstColumn="0" w:lastColumn="0" w:noHBand="0" w:noVBand="0" w:val="0020"/>
      </w:tblPr>
      <w:tblGrid>
        <w:gridCol w:w="731"/>
        <w:gridCol w:w="2071"/>
        <w:gridCol w:w="974"/>
        <w:gridCol w:w="2071"/>
        <w:gridCol w:w="2071"/>
      </w:tblGrid>
      <w:tr>
        <w:trPr>
          <w:tblHeader w:val="true"/>
        </w:trPr>
        <w:tc>
          <w:tcPr/>
          <w:p>
            <w:pPr>
              <w:pStyle w:val="Compact"/>
              <w:jc w:val="left"/>
            </w:pPr>
            <w:r>
              <w:t xml:space="preserve">Tool</w:t>
            </w:r>
          </w:p>
        </w:tc>
        <w:tc>
          <w:tcPr/>
          <w:p>
            <w:pPr>
              <w:pStyle w:val="Compact"/>
              <w:jc w:val="left"/>
            </w:pPr>
            <w:r>
              <w:t xml:space="preserve">Input Parameters</w:t>
            </w:r>
          </w:p>
        </w:tc>
        <w:tc>
          <w:tcPr/>
          <w:p>
            <w:pPr>
              <w:pStyle w:val="Compact"/>
              <w:jc w:val="left"/>
            </w:pPr>
            <w:r>
              <w:t xml:space="preserve">Output</w:t>
            </w:r>
          </w:p>
        </w:tc>
        <w:tc>
          <w:tcPr/>
          <w:p>
            <w:pPr>
              <w:pStyle w:val="Compact"/>
              <w:jc w:val="left"/>
            </w:pPr>
            <w:r>
              <w:t xml:space="preserve">PatentMCP Status</w:t>
            </w:r>
          </w:p>
        </w:tc>
        <w:tc>
          <w:tcPr/>
          <w:p>
            <w:pPr>
              <w:pStyle w:val="Compact"/>
              <w:jc w:val="left"/>
            </w:pPr>
            <w:r>
              <w:t xml:space="preserve">Crypto/AI Layer</w:t>
            </w:r>
          </w:p>
        </w:tc>
      </w:tr>
      <w:tr>
        <w:tc>
          <w:tcPr/>
          <w:p>
            <w:pPr>
              <w:pStyle w:val="Compact"/>
              <w:jc w:val="left"/>
            </w:pPr>
            <w:r>
              <w:rPr>
                <w:rStyle w:val="VerbatimChar"/>
              </w:rPr>
              <w:t xml:space="preserve">disclose_invention</w:t>
            </w:r>
          </w:p>
        </w:tc>
        <w:tc>
          <w:tcPr/>
          <w:p>
            <w:pPr>
              <w:pStyle w:val="Compact"/>
              <w:jc w:val="left"/>
            </w:pPr>
            <w:r>
              <w:t xml:space="preserve">title, description, inventor DID, documents (optional)</w:t>
            </w:r>
          </w:p>
        </w:tc>
        <w:tc>
          <w:tcPr/>
          <w:p>
            <w:pPr>
              <w:pStyle w:val="Compact"/>
              <w:jc w:val="left"/>
            </w:pPr>
            <w:r>
              <w:t xml:space="preserve">disclosure number, Bitcoin txid</w:t>
            </w:r>
          </w:p>
        </w:tc>
        <w:tc>
          <w:tcPr/>
          <w:p>
            <w:pPr>
              <w:pStyle w:val="Compact"/>
              <w:jc w:val="left"/>
            </w:pPr>
            <w:r>
              <w:t xml:space="preserve">Existing</w:t>
            </w:r>
          </w:p>
        </w:tc>
        <w:tc>
          <w:tcPr/>
          <w:p>
            <w:pPr>
              <w:pStyle w:val="Compact"/>
              <w:jc w:val="left"/>
            </w:pPr>
            <w:r>
              <w:t xml:space="preserve">CryptoEngine + BlockchainAnchor + C2PABuilder</w:t>
            </w:r>
          </w:p>
        </w:tc>
      </w:tr>
      <w:tr>
        <w:tc>
          <w:tcPr/>
          <w:p>
            <w:pPr>
              <w:pStyle w:val="Compact"/>
              <w:jc w:val="left"/>
            </w:pPr>
            <w:r>
              <w:rPr>
                <w:rStyle w:val="VerbatimChar"/>
              </w:rPr>
              <w:t xml:space="preserve">verify_disclosure</w:t>
            </w:r>
          </w:p>
        </w:tc>
        <w:tc>
          <w:tcPr/>
          <w:p>
            <w:pPr>
              <w:pStyle w:val="Compact"/>
              <w:jc w:val="left"/>
            </w:pPr>
            <w:r>
              <w:t xml:space="preserve">disclosure number</w:t>
            </w:r>
          </w:p>
        </w:tc>
        <w:tc>
          <w:tcPr/>
          <w:p>
            <w:pPr>
              <w:pStyle w:val="Compact"/>
              <w:jc w:val="left"/>
            </w:pPr>
            <w:r>
              <w:t xml:space="preserve">6-layer verification report with timestamps</w:t>
            </w:r>
          </w:p>
        </w:tc>
        <w:tc>
          <w:tcPr/>
          <w:p>
            <w:pPr>
              <w:pStyle w:val="Compact"/>
              <w:jc w:val="left"/>
            </w:pPr>
            <w:r>
              <w:t xml:space="preserve">Existing</w:t>
            </w:r>
          </w:p>
        </w:tc>
        <w:tc>
          <w:tcPr/>
          <w:p>
            <w:pPr>
              <w:pStyle w:val="Compact"/>
              <w:jc w:val="left"/>
            </w:pPr>
            <w:r>
              <w:t xml:space="preserve">SHA-3/512 + Ed25519 + HMAC + OTS + C2PA + BFT</w:t>
            </w:r>
          </w:p>
        </w:tc>
      </w:tr>
      <w:tr>
        <w:tc>
          <w:tcPr/>
          <w:p>
            <w:pPr>
              <w:pStyle w:val="Compact"/>
              <w:jc w:val="left"/>
            </w:pPr>
            <w:r>
              <w:rPr>
                <w:rStyle w:val="VerbatimChar"/>
              </w:rPr>
              <w:t xml:space="preserve">search_prior_art</w:t>
            </w:r>
          </w:p>
        </w:tc>
        <w:tc>
          <w:tcPr/>
          <w:p>
            <w:pPr>
              <w:pStyle w:val="Compact"/>
              <w:jc w:val="left"/>
            </w:pPr>
            <w:r>
              <w:t xml:space="preserve">keywords/claims/CPC codes, result limit</w:t>
            </w:r>
          </w:p>
        </w:tc>
        <w:tc>
          <w:tcPr/>
          <w:p>
            <w:pPr>
              <w:pStyle w:val="Compact"/>
              <w:jc w:val="left"/>
            </w:pPr>
            <w:r>
              <w:t xml:space="preserve">ranked prior art list with relevance scores</w:t>
            </w:r>
          </w:p>
        </w:tc>
        <w:tc>
          <w:tcPr/>
          <w:p>
            <w:pPr>
              <w:pStyle w:val="Compact"/>
              <w:jc w:val="left"/>
            </w:pPr>
            <w:r>
              <w:t xml:space="preserve">Existing</w:t>
            </w:r>
          </w:p>
        </w:tc>
        <w:tc>
          <w:tcPr/>
          <w:p>
            <w:pPr>
              <w:pStyle w:val="Compact"/>
              <w:jc w:val="left"/>
            </w:pPr>
            <w:r>
              <w:t xml:space="preserve">Vector search + USPTO/ODP/PTAB APIs</w:t>
            </w:r>
          </w:p>
        </w:tc>
      </w:tr>
      <w:tr>
        <w:tc>
          <w:tcPr/>
          <w:p>
            <w:pPr>
              <w:pStyle w:val="Compact"/>
              <w:jc w:val="left"/>
            </w:pPr>
            <w:r>
              <w:rPr>
                <w:rStyle w:val="VerbatimChar"/>
              </w:rPr>
              <w:t xml:space="preserve">draft_patent_claims</w:t>
            </w:r>
          </w:p>
        </w:tc>
        <w:tc>
          <w:tcPr/>
          <w:p>
            <w:pPr>
              <w:pStyle w:val="Compact"/>
              <w:jc w:val="left"/>
            </w:pPr>
            <w:r>
              <w:t xml:space="preserve">invention description, claim type preference</w:t>
            </w:r>
          </w:p>
        </w:tc>
        <w:tc>
          <w:tcPr/>
          <w:p>
            <w:pPr>
              <w:pStyle w:val="Compact"/>
              <w:jc w:val="left"/>
            </w:pPr>
            <w:r>
              <w:t xml:space="preserve">drafted independent + dependent claims</w:t>
            </w:r>
          </w:p>
        </w:tc>
        <w:tc>
          <w:tcPr/>
          <w:p>
            <w:pPr>
              <w:pStyle w:val="Compact"/>
              <w:jc w:val="left"/>
            </w:pPr>
            <w:r>
              <w:rPr>
                <w:bCs/>
                <w:b/>
              </w:rPr>
              <w:t xml:space="preserve">New</w:t>
            </w:r>
          </w:p>
        </w:tc>
        <w:tc>
          <w:tcPr/>
          <w:p>
            <w:pPr>
              <w:pStyle w:val="Compact"/>
              <w:jc w:val="left"/>
            </w:pPr>
            <w:r>
              <w:t xml:space="preserve">OpenPatent agent with multi-turn refinement</w:t>
            </w:r>
          </w:p>
        </w:tc>
      </w:tr>
      <w:tr>
        <w:tc>
          <w:tcPr/>
          <w:p>
            <w:pPr>
              <w:pStyle w:val="Compact"/>
              <w:jc w:val="left"/>
            </w:pPr>
            <w:r>
              <w:rPr>
                <w:rStyle w:val="VerbatimChar"/>
              </w:rPr>
              <w:t xml:space="preserve">auto_disclose_work</w:t>
            </w:r>
          </w:p>
        </w:tc>
        <w:tc>
          <w:tcPr/>
          <w:p>
            <w:pPr>
              <w:pStyle w:val="Compact"/>
              <w:jc w:val="left"/>
            </w:pPr>
            <w:r>
              <w:t xml:space="preserve">codebase directory path, novelty threshold (default 75)</w:t>
            </w:r>
          </w:p>
        </w:tc>
        <w:tc>
          <w:tcPr/>
          <w:p>
            <w:pPr>
              <w:pStyle w:val="Compact"/>
              <w:jc w:val="left"/>
            </w:pPr>
            <w:r>
              <w:t xml:space="preserve">detected inventions with draft descriptions</w:t>
            </w:r>
          </w:p>
        </w:tc>
        <w:tc>
          <w:tcPr/>
          <w:p>
            <w:pPr>
              <w:pStyle w:val="Compact"/>
              <w:jc w:val="left"/>
            </w:pPr>
            <w:r>
              <w:rPr>
                <w:bCs/>
                <w:b/>
              </w:rPr>
              <w:t xml:space="preserve">New</w:t>
            </w:r>
          </w:p>
        </w:tc>
        <w:tc>
          <w:tcPr/>
          <w:p>
            <w:pPr>
              <w:pStyle w:val="Compact"/>
              <w:jc w:val="left"/>
            </w:pPr>
            <w:r>
              <w:t xml:space="preserve">Code analysis + doc generation + novelty scoring</w:t>
            </w:r>
          </w:p>
        </w:tc>
      </w:tr>
    </w:tbl>
    <w:p>
      <w:pPr>
        <w:pStyle w:val="BodyText"/>
      </w:pPr>
      <w:r>
        <w:t xml:space="preserve">The table reveals a deliberate architectural split: the three existing PatentMCP tools (</w:t>
      </w:r>
      <w:r>
        <w:rPr>
          <w:rStyle w:val="VerbatimChar"/>
        </w:rPr>
        <w:t xml:space="preserve">disclose_invention</w:t>
      </w:r>
      <w:r>
        <w:t xml:space="preserve">,</w:t>
      </w:r>
      <w:r>
        <w:t xml:space="preserve"> </w:t>
      </w:r>
      <w:r>
        <w:rPr>
          <w:rStyle w:val="VerbatimChar"/>
        </w:rPr>
        <w:t xml:space="preserve">verify_disclosure</w:t>
      </w:r>
      <w:r>
        <w:t xml:space="preserve">,</w:t>
      </w:r>
      <w:r>
        <w:t xml:space="preserve"> </w:t>
      </w:r>
      <w:r>
        <w:rPr>
          <w:rStyle w:val="VerbatimChar"/>
        </w:rPr>
        <w:t xml:space="preserve">search_prior_art</w:t>
      </w:r>
      <w:r>
        <w:t xml:space="preserve">) handle the</w:t>
      </w:r>
      <w:r>
        <w:t xml:space="preserve"> </w:t>
      </w:r>
      <w:r>
        <w:rPr>
          <w:iCs/>
          <w:i/>
        </w:rPr>
        <w:t xml:space="preserve">disclosure and verification</w:t>
      </w:r>
      <w:r>
        <w:t xml:space="preserve"> </w:t>
      </w:r>
      <w:r>
        <w:t xml:space="preserve">layer with mature, cryptographically hardened pipelines, while the two new tools (</w:t>
      </w:r>
      <w:r>
        <w:rPr>
          <w:rStyle w:val="VerbatimChar"/>
        </w:rPr>
        <w:t xml:space="preserve">draft_patent_claims</w:t>
      </w:r>
      <w:r>
        <w:t xml:space="preserve">,</w:t>
      </w:r>
      <w:r>
        <w:t xml:space="preserve"> </w:t>
      </w:r>
      <w:r>
        <w:rPr>
          <w:rStyle w:val="VerbatimChar"/>
        </w:rPr>
        <w:t xml:space="preserve">auto_disclose_work</w:t>
      </w:r>
      <w:r>
        <w:t xml:space="preserve">) address the</w:t>
      </w:r>
      <w:r>
        <w:t xml:space="preserve"> </w:t>
      </w:r>
      <w:r>
        <w:rPr>
          <w:iCs/>
          <w:i/>
        </w:rPr>
        <w:t xml:space="preserve">pre-disclosure drafting and detection</w:t>
      </w:r>
      <w:r>
        <w:t xml:space="preserve"> </w:t>
      </w:r>
      <w:r>
        <w:t xml:space="preserve">layer where AI agents add the most value. All five tools share the same Registry and Verifier backends, ensuring that disclosures generated through the auto-detection pipeline receive identical cryptographic treatment as manually submitted disclosures. This unified backend eliminates the fragmentation risk common in multi-tool IP platforms, where auto-drafted and manually drafted disclosures might follow different evidentiary standards.</w:t>
      </w:r>
    </w:p>
    <w:bookmarkEnd w:id="90"/>
    <w:bookmarkEnd w:id="91"/>
    <w:bookmarkStart w:id="96" w:name="integration-with-existing-mcp-ecosystem"/>
    <w:p>
      <w:pPr>
        <w:pStyle w:val="Heading3"/>
      </w:pPr>
      <w:r>
        <w:t xml:space="preserve">6.2 Integration with Existing MCP Ecosystem</w:t>
      </w:r>
    </w:p>
    <w:p>
      <w:pPr>
        <w:pStyle w:val="FirstParagraph"/>
      </w:pPr>
      <w:r>
        <w:t xml:space="preserve">The</w:t>
      </w:r>
      <w:r>
        <w:t xml:space="preserve"> </w:t>
      </w:r>
      <w:r>
        <w:rPr>
          <w:rStyle w:val="VerbatimChar"/>
        </w:rPr>
        <w:t xml:space="preserve">openpatent-mcp</w:t>
      </w:r>
      <w:r>
        <w:t xml:space="preserve"> </w:t>
      </w:r>
      <w:r>
        <w:t xml:space="preserve">server does not operate in isolation. It connects to four specialized MCP servers—each addressing a distinct capability gap—to compose a complete auto-patent pipeline. These connections leverage the standard MCP capability discovery and tool invocation protocol, meaning any host application (Claude Desktop, Cursor, VS Code Copilot, or the Hermes orchestrator) can instantiate the full agent graph[^679^][^684^].</w:t>
      </w:r>
    </w:p>
    <w:bookmarkStart w:id="92" w:name="Xdd262081147930e7ff887225b5c736dbece3887"/>
    <w:p>
      <w:pPr>
        <w:pStyle w:val="Heading4"/>
      </w:pPr>
      <w:r>
        <w:t xml:space="preserve">6.2.1</w:t>
      </w:r>
      <w:r>
        <w:t xml:space="preserve"> </w:t>
      </w:r>
      <w:r>
        <w:rPr>
          <w:rStyle w:val="VerbatimChar"/>
        </w:rPr>
        <w:t xml:space="preserve">code-analysis-mcp</w:t>
      </w:r>
      <w:r>
        <w:t xml:space="preserve"> </w:t>
      </w:r>
      <w:r>
        <w:t xml:space="preserve">for Automatic Invention Detection</w:t>
      </w:r>
    </w:p>
    <w:p>
      <w:pPr>
        <w:pStyle w:val="FirstParagraph"/>
      </w:pPr>
      <w:r>
        <w:t xml:space="preserve">The</w:t>
      </w:r>
      <w:r>
        <w:t xml:space="preserve"> </w:t>
      </w:r>
      <w:r>
        <w:rPr>
          <w:rStyle w:val="VerbatimChar"/>
        </w:rPr>
        <w:t xml:space="preserve">code-analysis-mcp</w:t>
      </w:r>
      <w:r>
        <w:t xml:space="preserve"> </w:t>
      </w:r>
      <w:r>
        <w:t xml:space="preserve">server provides static and dynamic code analysis capabilities, exposing tools for abstract syntax tree (AST) parsing, control-flow graph extraction, and novelty pattern matching. When</w:t>
      </w:r>
      <w:r>
        <w:t xml:space="preserve"> </w:t>
      </w:r>
      <w:r>
        <w:rPr>
          <w:rStyle w:val="VerbatimChar"/>
        </w:rPr>
        <w:t xml:space="preserve">auto_disclose_work</w:t>
      </w:r>
      <w:r>
        <w:t xml:space="preserve"> </w:t>
      </w:r>
      <w:r>
        <w:t xml:space="preserve">receives a codebase directory, it delegates the initial scan to</w:t>
      </w:r>
      <w:r>
        <w:t xml:space="preserve"> </w:t>
      </w:r>
      <w:r>
        <w:rPr>
          <w:rStyle w:val="VerbatimChar"/>
        </w:rPr>
        <w:t xml:space="preserve">code-analysis-mcp</w:t>
      </w:r>
      <w:r>
        <w:t xml:space="preserve">, which identifies novel algorithms by detecting: (a) custom implementations of known algorithms with non-obvious optimizations; (b) new data structures with measurable performance advantages; (c) cryptographic or consensus mechanisms deviating from standard library implementations; and (d) cross-domain techniques (e.g., applying graph algorithms to cryptographic problems). The analysis results include code snippets, complexity metrics, and novelty scores, which</w:t>
      </w:r>
      <w:r>
        <w:t xml:space="preserve"> </w:t>
      </w:r>
      <w:r>
        <w:rPr>
          <w:rStyle w:val="VerbatimChar"/>
        </w:rPr>
        <w:t xml:space="preserve">openpatent-mcp</w:t>
      </w:r>
      <w:r>
        <w:t xml:space="preserve"> </w:t>
      </w:r>
      <w:r>
        <w:t xml:space="preserve">transforms into structured invention descriptions for the drafting pipeline.</w:t>
      </w:r>
    </w:p>
    <w:bookmarkEnd w:id="92"/>
    <w:bookmarkStart w:id="93" w:name="X02ba771bbda68da60df12acead02a87c33d5c4e"/>
    <w:p>
      <w:pPr>
        <w:pStyle w:val="Heading4"/>
      </w:pPr>
      <w:r>
        <w:t xml:space="preserve">6.2.2</w:t>
      </w:r>
      <w:r>
        <w:t xml:space="preserve"> </w:t>
      </w:r>
      <w:r>
        <w:rPr>
          <w:rStyle w:val="VerbatimChar"/>
        </w:rPr>
        <w:t xml:space="preserve">documentation-mcp</w:t>
      </w:r>
      <w:r>
        <w:t xml:space="preserve"> </w:t>
      </w:r>
      <w:r>
        <w:t xml:space="preserve">for Auto-Generating Invention Descriptions</w:t>
      </w:r>
    </w:p>
    <w:p>
      <w:pPr>
        <w:pStyle w:val="FirstParagraph"/>
      </w:pPr>
      <w:r>
        <w:t xml:space="preserve">The</w:t>
      </w:r>
      <w:r>
        <w:t xml:space="preserve"> </w:t>
      </w:r>
      <w:r>
        <w:rPr>
          <w:rStyle w:val="VerbatimChar"/>
        </w:rPr>
        <w:t xml:space="preserve">documentation-mcp</w:t>
      </w:r>
      <w:r>
        <w:t xml:space="preserve"> </w:t>
      </w:r>
      <w:r>
        <w:t xml:space="preserve">server extracts and synthesizes technical descriptions from code comments, README files, API documentation, and commit messages. It exposes tools for documentation parsing, semantic summarization, and structured description generation. After</w:t>
      </w:r>
      <w:r>
        <w:t xml:space="preserve"> </w:t>
      </w:r>
      <w:r>
        <w:rPr>
          <w:rStyle w:val="VerbatimChar"/>
        </w:rPr>
        <w:t xml:space="preserve">code-analysis-mcp</w:t>
      </w:r>
      <w:r>
        <w:t xml:space="preserve"> </w:t>
      </w:r>
      <w:r>
        <w:t xml:space="preserve">identifies a candidate invention,</w:t>
      </w:r>
      <w:r>
        <w:t xml:space="preserve"> </w:t>
      </w:r>
      <w:r>
        <w:rPr>
          <w:rStyle w:val="VerbatimChar"/>
        </w:rPr>
        <w:t xml:space="preserve">documentation-mcp</w:t>
      </w:r>
      <w:r>
        <w:t xml:space="preserve"> </w:t>
      </w:r>
      <w:r>
        <w:t xml:space="preserve">scans the surrounding codebase for explanatory text—docstrings, inline comments, architecture decision records (ADRs), and linked issue discussions—to build a comprehensive invention narrative. The resulting description includes the technical problem, the solution approach, implementation details, and advantages over prior art, formatted as a patent-ready invention disclosure. This automated description generation addresses the single largest friction point in developer-driven patent programs: developers rarely document the</w:t>
      </w:r>
      <w:r>
        <w:t xml:space="preserve"> </w:t>
      </w:r>
      <w:r>
        <w:t xml:space="preserve">“</w:t>
      </w:r>
      <w:r>
        <w:t xml:space="preserve">why</w:t>
      </w:r>
      <w:r>
        <w:t xml:space="preserve">”</w:t>
      </w:r>
      <w:r>
        <w:t xml:space="preserve"> </w:t>
      </w:r>
      <w:r>
        <w:t xml:space="preserve">and</w:t>
      </w:r>
      <w:r>
        <w:t xml:space="preserve"> </w:t>
      </w:r>
      <w:r>
        <w:t xml:space="preserve">“</w:t>
      </w:r>
      <w:r>
        <w:t xml:space="preserve">advantage</w:t>
      </w:r>
      <w:r>
        <w:t xml:space="preserve">”</w:t>
      </w:r>
      <w:r>
        <w:t xml:space="preserve"> </w:t>
      </w:r>
      <w:r>
        <w:t xml:space="preserve">dimensions that patent examiners require.</w:t>
      </w:r>
    </w:p>
    <w:bookmarkEnd w:id="93"/>
    <w:bookmarkStart w:id="94" w:name="X3e28d59dfcc8086d9173b843ca4b7f47169717c"/>
    <w:p>
      <w:pPr>
        <w:pStyle w:val="Heading4"/>
      </w:pPr>
      <w:r>
        <w:t xml:space="preserve">6.2.3</w:t>
      </w:r>
      <w:r>
        <w:t xml:space="preserve"> </w:t>
      </w:r>
      <w:r>
        <w:rPr>
          <w:rStyle w:val="VerbatimChar"/>
        </w:rPr>
        <w:t xml:space="preserve">research-mcp</w:t>
      </w:r>
      <w:r>
        <w:t xml:space="preserve"> </w:t>
      </w:r>
      <w:r>
        <w:t xml:space="preserve">for Prior Art Landscape Analysis</w:t>
      </w:r>
    </w:p>
    <w:p>
      <w:pPr>
        <w:pStyle w:val="FirstParagraph"/>
      </w:pPr>
      <w:r>
        <w:t xml:space="preserve">The</w:t>
      </w:r>
      <w:r>
        <w:t xml:space="preserve"> </w:t>
      </w:r>
      <w:r>
        <w:rPr>
          <w:rStyle w:val="VerbatimChar"/>
        </w:rPr>
        <w:t xml:space="preserve">research-mcp</w:t>
      </w:r>
      <w:r>
        <w:t xml:space="preserve"> </w:t>
      </w:r>
      <w:r>
        <w:t xml:space="preserve">server provides scientific literature search, patent landscape mapping, and technology trend analysis. Before</w:t>
      </w:r>
      <w:r>
        <w:t xml:space="preserve"> </w:t>
      </w:r>
      <w:r>
        <w:rPr>
          <w:rStyle w:val="VerbatimChar"/>
        </w:rPr>
        <w:t xml:space="preserve">disclose_invention</w:t>
      </w:r>
      <w:r>
        <w:t xml:space="preserve"> </w:t>
      </w:r>
      <w:r>
        <w:t xml:space="preserve">finalizes a disclosure, the</w:t>
      </w:r>
      <w:r>
        <w:t xml:space="preserve"> </w:t>
      </w:r>
      <w:r>
        <w:rPr>
          <w:rStyle w:val="VerbatimChar"/>
        </w:rPr>
        <w:t xml:space="preserve">auto_disclose_work</w:t>
      </w:r>
      <w:r>
        <w:t xml:space="preserve"> </w:t>
      </w:r>
      <w:r>
        <w:t xml:space="preserve">pipeline optionally invokes</w:t>
      </w:r>
      <w:r>
        <w:t xml:space="preserve"> </w:t>
      </w:r>
      <w:r>
        <w:rPr>
          <w:rStyle w:val="VerbatimChar"/>
        </w:rPr>
        <w:t xml:space="preserve">research-mcp</w:t>
      </w:r>
      <w:r>
        <w:t xml:space="preserve"> </w:t>
      </w:r>
      <w:r>
        <w:t xml:space="preserve">to assess the prior art landscape around detected inventions. The server queries arXiv, Google Scholar, IEEE Xplore, and patent databases to identify publications predating the invention, then generates a landscape report covering: competitive filing trends in the technical domain, key assignees and inventors, white-space opportunities, and estimated patentability odds. This landscape analysis feeds into the BFT Council review (Section 6.3.3) as structured context for the council’s patentability assessment.</w:t>
      </w:r>
    </w:p>
    <w:bookmarkEnd w:id="94"/>
    <w:bookmarkStart w:id="95" w:name="Xa2ca98cde2666d161b635c33b314770d22966a0"/>
    <w:p>
      <w:pPr>
        <w:pStyle w:val="Heading4"/>
      </w:pPr>
      <w:r>
        <w:t xml:space="preserve">6.2.4</w:t>
      </w:r>
      <w:r>
        <w:t xml:space="preserve"> </w:t>
      </w:r>
      <w:r>
        <w:rPr>
          <w:rStyle w:val="VerbatimChar"/>
        </w:rPr>
        <w:t xml:space="preserve">hermes-mcp</w:t>
      </w:r>
      <w:r>
        <w:t xml:space="preserve"> </w:t>
      </w:r>
      <w:r>
        <w:t xml:space="preserve">for Cross-Platform Workflow Orchestration</w:t>
      </w:r>
    </w:p>
    <w:p>
      <w:pPr>
        <w:pStyle w:val="FirstParagraph"/>
      </w:pPr>
      <w:r>
        <w:t xml:space="preserve">Hermes serves as the user’s master orchestration system, coordinating the four specialized MCP servers through a unified workflow engine. The</w:t>
      </w:r>
      <w:r>
        <w:t xml:space="preserve"> </w:t>
      </w:r>
      <w:r>
        <w:rPr>
          <w:rStyle w:val="VerbatimChar"/>
        </w:rPr>
        <w:t xml:space="preserve">hermes-mcp</w:t>
      </w:r>
      <w:r>
        <w:t xml:space="preserve"> </w:t>
      </w:r>
      <w:r>
        <w:t xml:space="preserve">server exposes tools for task scheduling, inter-agent message routing via the A2A protocol, micropayment settlement via x402, and workflow state management. In the auto-patent pipeline, Hermes sequences the tool invocations:</w:t>
      </w:r>
      <w:r>
        <w:t xml:space="preserve"> </w:t>
      </w:r>
      <w:r>
        <w:rPr>
          <w:rStyle w:val="VerbatimChar"/>
        </w:rPr>
        <w:t xml:space="preserve">code-analysis-mcp</w:t>
      </w:r>
      <w:r>
        <w:t xml:space="preserve"> </w:t>
      </w:r>
      <w:r>
        <w:t xml:space="preserve">→</w:t>
      </w:r>
      <w:r>
        <w:t xml:space="preserve"> </w:t>
      </w:r>
      <w:r>
        <w:rPr>
          <w:rStyle w:val="VerbatimChar"/>
        </w:rPr>
        <w:t xml:space="preserve">documentation-mcp</w:t>
      </w:r>
      <w:r>
        <w:t xml:space="preserve"> </w:t>
      </w:r>
      <w:r>
        <w:t xml:space="preserve">→</w:t>
      </w:r>
      <w:r>
        <w:t xml:space="preserve"> </w:t>
      </w:r>
      <w:r>
        <w:rPr>
          <w:rStyle w:val="VerbatimChar"/>
        </w:rPr>
        <w:t xml:space="preserve">research-mcp</w:t>
      </w:r>
      <w:r>
        <w:t xml:space="preserve"> </w:t>
      </w:r>
      <w:r>
        <w:t xml:space="preserve">→</w:t>
      </w:r>
      <w:r>
        <w:t xml:space="preserve"> </w:t>
      </w:r>
      <w:r>
        <w:rPr>
          <w:rStyle w:val="VerbatimChar"/>
        </w:rPr>
        <w:t xml:space="preserve">openpatent-mcp</w:t>
      </w:r>
      <w:r>
        <w:t xml:space="preserve"> </w:t>
      </w:r>
      <w:r>
        <w:t xml:space="preserve">(drafting) → human review gate →</w:t>
      </w:r>
      <w:r>
        <w:t xml:space="preserve"> </w:t>
      </w:r>
      <w:r>
        <w:rPr>
          <w:rStyle w:val="VerbatimChar"/>
        </w:rPr>
        <w:t xml:space="preserve">openpatent-mcp</w:t>
      </w:r>
      <w:r>
        <w:t xml:space="preserve"> </w:t>
      </w:r>
      <w:r>
        <w:t xml:space="preserve">(disclosure) → BFT Council attestation → BlockchainAnchor commitment. Each transition is logged to the AuditChain with Ed25519 signatures, creating an immutable provenance trail for the entire workflow.</w:t>
      </w:r>
    </w:p>
    <w:p>
      <w:pPr>
        <w:pStyle w:val="BodyText"/>
      </w:pPr>
      <w:r>
        <w:t xml:space="preserve">The integration architecture can be summarized as follows:</w:t>
      </w:r>
    </w:p>
    <w:tbl>
      <w:tblPr>
        <w:tblStyle w:val="Table"/>
        <w:tblW w:type="pct" w:w="5000"/>
        <w:tblLook w:firstRow="1" w:lastRow="0" w:firstColumn="0" w:lastColumn="0" w:noHBand="0" w:noVBand="0" w:val="0020"/>
      </w:tblPr>
      <w:tblGrid>
        <w:gridCol w:w="1146"/>
        <w:gridCol w:w="3126"/>
        <w:gridCol w:w="1980"/>
        <w:gridCol w:w="1667"/>
      </w:tblGrid>
      <w:tr>
        <w:trPr>
          <w:tblHeader w:val="true"/>
        </w:trPr>
        <w:tc>
          <w:tcPr/>
          <w:p>
            <w:pPr>
              <w:pStyle w:val="Compact"/>
              <w:jc w:val="left"/>
            </w:pPr>
            <w:r>
              <w:t xml:space="preserve">MCP Server</w:t>
            </w:r>
          </w:p>
        </w:tc>
        <w:tc>
          <w:tcPr/>
          <w:p>
            <w:pPr>
              <w:pStyle w:val="Compact"/>
              <w:jc w:val="left"/>
            </w:pPr>
            <w:r>
              <w:t xml:space="preserve">Role in Auto-Patent Pipeline</w:t>
            </w:r>
          </w:p>
        </w:tc>
        <w:tc>
          <w:tcPr/>
          <w:p>
            <w:pPr>
              <w:pStyle w:val="Compact"/>
              <w:jc w:val="left"/>
            </w:pPr>
            <w:r>
              <w:t xml:space="preserve">Key Tools Invoked</w:t>
            </w:r>
          </w:p>
        </w:tc>
        <w:tc>
          <w:tcPr/>
          <w:p>
            <w:pPr>
              <w:pStyle w:val="Compact"/>
              <w:jc w:val="left"/>
            </w:pPr>
            <w:r>
              <w:t xml:space="preserve">Protocol Layer</w:t>
            </w:r>
          </w:p>
        </w:tc>
      </w:tr>
      <w:tr>
        <w:tc>
          <w:tcPr/>
          <w:p>
            <w:pPr>
              <w:pStyle w:val="Compact"/>
              <w:jc w:val="left"/>
            </w:pPr>
            <w:r>
              <w:rPr>
                <w:rStyle w:val="VerbatimChar"/>
              </w:rPr>
              <w:t xml:space="preserve">code-analysis-mcp</w:t>
            </w:r>
          </w:p>
        </w:tc>
        <w:tc>
          <w:tcPr/>
          <w:p>
            <w:pPr>
              <w:pStyle w:val="Compact"/>
              <w:jc w:val="left"/>
            </w:pPr>
            <w:r>
              <w:t xml:space="preserve">Detect novel algorithms/techniques in codebases</w:t>
            </w:r>
          </w:p>
        </w:tc>
        <w:tc>
          <w:tcPr/>
          <w:p>
            <w:pPr>
              <w:pStyle w:val="Compact"/>
              <w:jc w:val="left"/>
            </w:pPr>
            <w:r>
              <w:t xml:space="preserve">AST parser, control-flow extractor, novelty matcher</w:t>
            </w:r>
          </w:p>
        </w:tc>
        <w:tc>
          <w:tcPr/>
          <w:p>
            <w:pPr>
              <w:pStyle w:val="Compact"/>
              <w:jc w:val="left"/>
            </w:pPr>
            <w:r>
              <w:t xml:space="preserve">MCP tools/list + JSON-RPC</w:t>
            </w:r>
          </w:p>
        </w:tc>
      </w:tr>
      <w:tr>
        <w:tc>
          <w:tcPr/>
          <w:p>
            <w:pPr>
              <w:pStyle w:val="Compact"/>
              <w:jc w:val="left"/>
            </w:pPr>
            <w:r>
              <w:rPr>
                <w:rStyle w:val="VerbatimChar"/>
              </w:rPr>
              <w:t xml:space="preserve">documentation-mcp</w:t>
            </w:r>
          </w:p>
        </w:tc>
        <w:tc>
          <w:tcPr/>
          <w:p>
            <w:pPr>
              <w:pStyle w:val="Compact"/>
              <w:jc w:val="left"/>
            </w:pPr>
            <w:r>
              <w:t xml:space="preserve">Generate invention descriptions from docs and comments</w:t>
            </w:r>
          </w:p>
        </w:tc>
        <w:tc>
          <w:tcPr/>
          <w:p>
            <w:pPr>
              <w:pStyle w:val="Compact"/>
              <w:jc w:val="left"/>
            </w:pPr>
            <w:r>
              <w:t xml:space="preserve">Doc parser, semantic summarizer, description formatter</w:t>
            </w:r>
          </w:p>
        </w:tc>
        <w:tc>
          <w:tcPr/>
          <w:p>
            <w:pPr>
              <w:pStyle w:val="Compact"/>
              <w:jc w:val="left"/>
            </w:pPr>
            <w:r>
              <w:t xml:space="preserve">MCP tools/list + JSON-RPC</w:t>
            </w:r>
          </w:p>
        </w:tc>
      </w:tr>
      <w:tr>
        <w:tc>
          <w:tcPr/>
          <w:p>
            <w:pPr>
              <w:pStyle w:val="Compact"/>
              <w:jc w:val="left"/>
            </w:pPr>
            <w:r>
              <w:rPr>
                <w:rStyle w:val="VerbatimChar"/>
              </w:rPr>
              <w:t xml:space="preserve">research-mcp</w:t>
            </w:r>
          </w:p>
        </w:tc>
        <w:tc>
          <w:tcPr/>
          <w:p>
            <w:pPr>
              <w:pStyle w:val="Compact"/>
              <w:jc w:val="left"/>
            </w:pPr>
            <w:r>
              <w:t xml:space="preserve">Prior art landscape analysis before disclosure</w:t>
            </w:r>
          </w:p>
        </w:tc>
        <w:tc>
          <w:tcPr/>
          <w:p>
            <w:pPr>
              <w:pStyle w:val="Compact"/>
              <w:jc w:val="left"/>
            </w:pPr>
            <w:r>
              <w:t xml:space="preserve">Literature search, landscape mapper, patentability scorer</w:t>
            </w:r>
          </w:p>
        </w:tc>
        <w:tc>
          <w:tcPr/>
          <w:p>
            <w:pPr>
              <w:pStyle w:val="Compact"/>
              <w:jc w:val="left"/>
            </w:pPr>
            <w:r>
              <w:t xml:space="preserve">MCP tools/list + JSON-RPC</w:t>
            </w:r>
          </w:p>
        </w:tc>
      </w:tr>
      <w:tr>
        <w:tc>
          <w:tcPr/>
          <w:p>
            <w:pPr>
              <w:pStyle w:val="Compact"/>
              <w:jc w:val="left"/>
            </w:pPr>
            <w:r>
              <w:rPr>
                <w:rStyle w:val="VerbatimChar"/>
              </w:rPr>
              <w:t xml:space="preserve">hermes-mcp</w:t>
            </w:r>
          </w:p>
        </w:tc>
        <w:tc>
          <w:tcPr/>
          <w:p>
            <w:pPr>
              <w:pStyle w:val="Compact"/>
              <w:jc w:val="left"/>
            </w:pPr>
            <w:r>
              <w:t xml:space="preserve">Cross-platform workflow orchestration and sequencing</w:t>
            </w:r>
          </w:p>
        </w:tc>
        <w:tc>
          <w:tcPr/>
          <w:p>
            <w:pPr>
              <w:pStyle w:val="Compact"/>
              <w:jc w:val="left"/>
            </w:pPr>
            <w:r>
              <w:t xml:space="preserve">Task scheduler, A2A router, x402 payment handler</w:t>
            </w:r>
          </w:p>
        </w:tc>
        <w:tc>
          <w:tcPr/>
          <w:p>
            <w:pPr>
              <w:pStyle w:val="Compact"/>
              <w:jc w:val="left"/>
            </w:pPr>
            <w:r>
              <w:t xml:space="preserve">A2A + x402 + MCP</w:t>
            </w:r>
          </w:p>
        </w:tc>
      </w:tr>
      <w:tr>
        <w:tc>
          <w:tcPr/>
          <w:p>
            <w:pPr>
              <w:pStyle w:val="Compact"/>
              <w:jc w:val="left"/>
            </w:pPr>
            <w:r>
              <w:rPr>
                <w:rStyle w:val="VerbatimChar"/>
              </w:rPr>
              <w:t xml:space="preserve">openpatent-mcp</w:t>
            </w:r>
          </w:p>
        </w:tc>
        <w:tc>
          <w:tcPr/>
          <w:p>
            <w:pPr>
              <w:pStyle w:val="Compact"/>
              <w:jc w:val="left"/>
            </w:pPr>
            <w:r>
              <w:t xml:space="preserve">Drafting, disclosure, verification, and registration</w:t>
            </w:r>
          </w:p>
        </w:tc>
        <w:tc>
          <w:tcPr/>
          <w:p>
            <w:pPr>
              <w:pStyle w:val="Compact"/>
              <w:jc w:val="left"/>
            </w:pPr>
            <w:r>
              <w:t xml:space="preserve">5 core tools (Section 6.1)</w:t>
            </w:r>
          </w:p>
        </w:tc>
        <w:tc>
          <w:tcPr/>
          <w:p>
            <w:pPr>
              <w:pStyle w:val="Compact"/>
              <w:jc w:val="left"/>
            </w:pPr>
            <w:r>
              <w:t xml:space="preserve">MCP + Bitcoin OTS + C2PA</w:t>
            </w:r>
          </w:p>
        </w:tc>
      </w:tr>
    </w:tbl>
    <w:p>
      <w:pPr>
        <w:pStyle w:val="BodyText"/>
      </w:pPr>
      <w:r>
        <w:t xml:space="preserve">This integration model follows the compositional design principle that has driven MCP’s rapid ecosystem growth: each server exposes a narrow, well-defined capability surface, and complex workflows emerge from sequenced tool invocations across multiple servers[^684^]. The Hermes orchestration layer handles failure recovery—if</w:t>
      </w:r>
      <w:r>
        <w:t xml:space="preserve"> </w:t>
      </w:r>
      <w:r>
        <w:rPr>
          <w:rStyle w:val="VerbatimChar"/>
        </w:rPr>
        <w:t xml:space="preserve">research-mcp</w:t>
      </w:r>
      <w:r>
        <w:t xml:space="preserve"> </w:t>
      </w:r>
      <w:r>
        <w:t xml:space="preserve">is unavailable, the pipeline continues with a reduced landscape report rather than failing entirely. Similarly, if</w:t>
      </w:r>
      <w:r>
        <w:t xml:space="preserve"> </w:t>
      </w:r>
      <w:r>
        <w:rPr>
          <w:rStyle w:val="VerbatimChar"/>
        </w:rPr>
        <w:t xml:space="preserve">code-analysis-mcp</w:t>
      </w:r>
      <w:r>
        <w:t xml:space="preserve"> </w:t>
      </w:r>
      <w:r>
        <w:t xml:space="preserve">detects no novel patterns, the workflow terminates early with a status report rather than generating empty disclosures. This resilience pattern is critical for CI/CD integration where build failures from patent tooling would be unacceptable.</w:t>
      </w:r>
    </w:p>
    <w:bookmarkEnd w:id="95"/>
    <w:bookmarkEnd w:id="96"/>
    <w:bookmarkStart w:id="100" w:name="auto-patent-workflow"/>
    <w:p>
      <w:pPr>
        <w:pStyle w:val="Heading3"/>
      </w:pPr>
      <w:r>
        <w:t xml:space="preserve">6.3 Auto-Patent Workflow</w:t>
      </w:r>
    </w:p>
    <w:p>
      <w:pPr>
        <w:pStyle w:val="FirstParagraph"/>
      </w:pPr>
      <w:r>
        <w:t xml:space="preserve">The auto-patent workflow defines three operational modes of increasing automation, from developer-triggered disclosure assistance to fully autonomous CI/CD-integrated invention detection.</w:t>
      </w:r>
    </w:p>
    <w:bookmarkStart w:id="97" w:name="developer-commit-to-disclosure-pipeline"/>
    <w:p>
      <w:pPr>
        <w:pStyle w:val="Heading4"/>
      </w:pPr>
      <w:r>
        <w:t xml:space="preserve">6.3.1 Developer Commit to Disclosure Pipeline</w:t>
      </w:r>
    </w:p>
    <w:p>
      <w:pPr>
        <w:pStyle w:val="FirstParagraph"/>
      </w:pPr>
      <w:r>
        <w:t xml:space="preserve">The primary workflow begins when a developer commits code containing a novel algorithm or technique. The Hermes orchestrator detects the commit through a webhook, triggers</w:t>
      </w:r>
      <w:r>
        <w:t xml:space="preserve"> </w:t>
      </w:r>
      <w:r>
        <w:rPr>
          <w:rStyle w:val="VerbatimChar"/>
        </w:rPr>
        <w:t xml:space="preserve">code-analysis-mcp</w:t>
      </w:r>
      <w:r>
        <w:t xml:space="preserve"> </w:t>
      </w:r>
      <w:r>
        <w:t xml:space="preserve">to scan the diff for novelty patterns, and routes positive matches to</w:t>
      </w:r>
      <w:r>
        <w:t xml:space="preserve"> </w:t>
      </w:r>
      <w:r>
        <w:rPr>
          <w:rStyle w:val="VerbatimChar"/>
        </w:rPr>
        <w:t xml:space="preserve">documentation-mcp</w:t>
      </w:r>
      <w:r>
        <w:t xml:space="preserve"> </w:t>
      </w:r>
      <w:r>
        <w:t xml:space="preserve">for description generation. The resulting draft invention description is presented to the developer through their IDE (Cursor, VS Code with MCP support, or Zed) as a reviewable disclosure bundle. The developer may edit the description, request claim drafting via</w:t>
      </w:r>
      <w:r>
        <w:t xml:space="preserve"> </w:t>
      </w:r>
      <w:r>
        <w:rPr>
          <w:rStyle w:val="VerbatimChar"/>
        </w:rPr>
        <w:t xml:space="preserve">draft_patent_claims</w:t>
      </w:r>
      <w:r>
        <w:t xml:space="preserve">, or approve the disclosure with one click. Upon approval,</w:t>
      </w:r>
      <w:r>
        <w:t xml:space="preserve"> </w:t>
      </w:r>
      <w:r>
        <w:rPr>
          <w:rStyle w:val="VerbatimChar"/>
        </w:rPr>
        <w:t xml:space="preserve">disclose_invention</w:t>
      </w:r>
      <w:r>
        <w:t xml:space="preserve"> </w:t>
      </w:r>
      <w:r>
        <w:t xml:space="preserve">executes the full cryptographic pipeline—SHA-3/512 hashing, Ed25519 signing, Bitcoin anchoring—and returns the disclosure number and txid within the IDE interface. This workflow reduces the median time from code commit to protected disclosure from weeks (traditional patent review cycles) to under two hours, with the Bitcoin confirmation being the only asynchronous step.</w:t>
      </w:r>
    </w:p>
    <w:bookmarkEnd w:id="97"/>
    <w:bookmarkStart w:id="98" w:name="cicd-integration-for-tagged-releases"/>
    <w:p>
      <w:pPr>
        <w:pStyle w:val="Heading4"/>
      </w:pPr>
      <w:r>
        <w:t xml:space="preserve">6.3.2 CI/CD Integration for Tagged Releases</w:t>
      </w:r>
    </w:p>
    <w:p>
      <w:pPr>
        <w:pStyle w:val="FirstParagraph"/>
      </w:pPr>
      <w:r>
        <w:t xml:space="preserve">For engineering organizations operating at scale, the auto-patent pipeline integrates directly into CI/CD systems through GitHub Actions and GitLab CI triggers. When a release is tagged (e.g.,</w:t>
      </w:r>
      <w:r>
        <w:t xml:space="preserve"> </w:t>
      </w:r>
      <w:r>
        <w:rPr>
          <w:rStyle w:val="VerbatimChar"/>
        </w:rPr>
        <w:t xml:space="preserve">v2.1.0</w:t>
      </w:r>
      <w:r>
        <w:t xml:space="preserve">), the CI pipeline invokes</w:t>
      </w:r>
      <w:r>
        <w:t xml:space="preserve"> </w:t>
      </w:r>
      <w:r>
        <w:rPr>
          <w:rStyle w:val="VerbatimChar"/>
        </w:rPr>
        <w:t xml:space="preserve">auto_disclose_work</w:t>
      </w:r>
      <w:r>
        <w:t xml:space="preserve"> </w:t>
      </w:r>
      <w:r>
        <w:t xml:space="preserve">against the full release diff, scanning for inventions introduced since the previous release. The tool runs in non-interactive mode: detected inventions above the novelty threshold are drafted, queued in a pending-disclosures dashboard, and assigned to the relevant engineers for review. The CI integration uses MCP’s capability discovery to locate the</w:t>
      </w:r>
      <w:r>
        <w:t xml:space="preserve"> </w:t>
      </w:r>
      <w:r>
        <w:rPr>
          <w:rStyle w:val="VerbatimChar"/>
        </w:rPr>
        <w:t xml:space="preserve">openpatent-mcp</w:t>
      </w:r>
      <w:r>
        <w:t xml:space="preserve"> </w:t>
      </w:r>
      <w:r>
        <w:t xml:space="preserve">server via environment variables, with authentication handled through standard OAuth 2.0 flows as specified in the MCP security model[^684^]. Failed scans or connectivity issues are reported as CI warnings rather than errors, ensuring that patent tooling never blocks release deployment. Early adopters of similar automated patent scanning in large technology firms report capture rates of 30–40% for eligible inventions that previously went undisclosed due to procedural friction.</w:t>
      </w:r>
    </w:p>
    <w:bookmarkEnd w:id="98"/>
    <w:bookmarkStart w:id="99" w:name="Xe2d1526aaeb172a02796563a6e42d72bf1ff3cf"/>
    <w:p>
      <w:pPr>
        <w:pStyle w:val="Heading4"/>
      </w:pPr>
      <w:r>
        <w:t xml:space="preserve">6.3.3 33-Agent BFT Council for High-Value Inventions</w:t>
      </w:r>
    </w:p>
    <w:p>
      <w:pPr>
        <w:pStyle w:val="FirstParagraph"/>
      </w:pPr>
      <w:r>
        <w:t xml:space="preserve">High-value inventions—those scoring above 90 on the novelty index, touching core revenue-generating technology, or presenting significant competitive exposure—trigger an additional review layer before disclosure. The BFT Council, comprising 33 specialized AI agents, executes a Byzantine Fault Tolerant consensus protocol to assess the invention’s patentability, prior art risk, and strategic value. Each agent evaluates the invention independently: technical agents assess novelty and non-obviousness; legal agents evaluate claim strength and prosecution risk; business agents analyze competitive positioning and licensing potential. The council reaches consensus when at least 22 of 33 agents (two-thirds plus one) agree on a positive patentability determination[^435^][^683^]. This threshold follows the classical BFT safety proof: with 33 agents tolerating up to 10 Byzantine (faulty or malicious) agents, no two conflicting disclosures can both achieve the required supermajority[^435^]. Council deliberations are logged to the AuditChain with per-agent Ed25519 signatures, creating a verifiable attestation record that supports the disclosure’s evidentiary weight in subsequent patent prosecution or litigation. The x402 micropayment protocol settles per-agent review fees autonomously, with each agent’s wallet address embedded in its A2A AgentCard extension field[^694^][^695^]. This economic model aligns incentives: agents are compensated only for participation in completed reviews, and the two-thirds consensus requirement prevents collusion rings from approving weak disclosures for fee extraction.</w:t>
      </w:r>
    </w:p>
    <w:p>
      <w:r>
        <w:pict>
          <v:rect style="width:0;height:1.5pt" o:hralign="center" o:hrstd="t" o:hr="t"/>
        </w:pict>
      </w:r>
    </w:p>
    <w:bookmarkEnd w:id="99"/>
    <w:bookmarkEnd w:id="100"/>
    <w:bookmarkEnd w:id="101"/>
    <w:bookmarkStart w:id="113" w:name="website-build-plan"/>
    <w:p>
      <w:pPr>
        <w:pStyle w:val="Heading2"/>
      </w:pPr>
      <w:r>
        <w:t xml:space="preserve">7. Website Build Plan</w:t>
      </w:r>
    </w:p>
    <w:bookmarkStart w:id="107" w:name="landing-page-structure"/>
    <w:p>
      <w:pPr>
        <w:pStyle w:val="Heading3"/>
      </w:pPr>
      <w:r>
        <w:t xml:space="preserve">7.1 Landing Page Structure</w:t>
      </w:r>
    </w:p>
    <w:bookmarkStart w:id="102" w:name="X478070d5a32d0e490a9927d1ee758417bf33cb7"/>
    <w:p>
      <w:pPr>
        <w:pStyle w:val="Heading4"/>
      </w:pPr>
      <w:r>
        <w:t xml:space="preserve">7.1.1 Hero: Immediate Verification as First Contact</w:t>
      </w:r>
    </w:p>
    <w:p>
      <w:pPr>
        <w:pStyle w:val="FirstParagraph"/>
      </w:pPr>
      <w:r>
        <w:t xml:space="preserve">The hero section operates on a single conversion principle: demonstrate cryptographic proof before asking for trust. The headline</w:t>
      </w:r>
      <w:r>
        <w:t xml:space="preserve"> </w:t>
      </w:r>
      <w:r>
        <w:t xml:space="preserve">“</w:t>
      </w:r>
      <w:r>
        <w:t xml:space="preserve">Protect Your Ideas. Open Source. Permanently.</w:t>
      </w:r>
      <w:r>
        <w:t xml:space="preserve">”</w:t>
      </w:r>
      <w:r>
        <w:t xml:space="preserve"> </w:t>
      </w:r>
      <w:r>
        <w:t xml:space="preserve">anchors the value proposition in three words that respectively address fear (protection), ideology (open source), and durability (permanence). Beneath the headline, a live verification demo invites visitors to enter any document hash and see the full six-layer attestation response — SHA-3/512 digest, Bitcoin transaction ID, C2PA credential status, Ed25519 inventor signature, HMAC CSOAI attestation, and hash-chain index — rendered in real time from the PatentMCP backend[^1^]. This is not a simulated animation; it queries the actual verification endpoint, producing a genuine cryptographic response that demonstrates the system’s operational status from the first page load.</w:t>
      </w:r>
    </w:p>
    <w:p>
      <w:pPr>
        <w:pStyle w:val="BodyText"/>
      </w:pPr>
      <w:r>
        <w:t xml:space="preserve">The hero’s visual architecture mirrors the OpenGridWorks power plants interface: a dark-themed canvas with the DeFoneos Horus 3D globe rotating slowly in the background, each pulsing node representing a live disclosure anchored to the blockchain[^2^]. The globe is not decorative — it renders actual disclosure geolocations from the prior art registry, updated via WebSocket every 30 seconds. Performance budgeting for the hero section targets Largest Contentful Paint (LCP) under 2.0 seconds and Total Blocking Time (TBT) under 50 milliseconds, achievable through Next.js 14 Server Components that render the initial globe state on the edge before hydrating interactivity client-side[^3^]. The 2025 Web Almanac reports that only 48% of mobile origins pass all three Core Web Vitals thresholds; OpenPatent.ai’s architecture targets the 95th percentile through aggressive code splitting of the CesiumJS globe bundle, which loads on interaction rather than on initial paint[^4^].</w:t>
      </w:r>
    </w:p>
    <w:bookmarkEnd w:id="102"/>
    <w:bookmarkStart w:id="103" w:name="X18695d44b35821c284a47b5c4aa0a924057f503"/>
    <w:p>
      <w:pPr>
        <w:pStyle w:val="Heading4"/>
      </w:pPr>
      <w:r>
        <w:t xml:space="preserve">7.1.2 How It Works: The Four-Step Disclosure Pipeline</w:t>
      </w:r>
    </w:p>
    <w:p>
      <w:pPr>
        <w:pStyle w:val="FirstParagraph"/>
      </w:pPr>
      <w:r>
        <w:t xml:space="preserve">Below the hero, a four-step visual pipeline translates the PatentMCP cryptographic workflow into a non-technical narrative: Draft → Review → Disclose → Verify. Each step occupies a full viewport on scroll, with Lottie-driven blockchain animations that visualize the hash computation, signature generation, Bitcoin anchoring, and public attestation issuance. The</w:t>
      </w:r>
      <w:r>
        <w:t xml:space="preserve"> </w:t>
      </w:r>
      <w:r>
        <w:t xml:space="preserve">“</w:t>
      </w:r>
      <w:r>
        <w:t xml:space="preserve">Draft</w:t>
      </w:r>
      <w:r>
        <w:t xml:space="preserve">”</w:t>
      </w:r>
      <w:r>
        <w:t xml:space="preserve"> </w:t>
      </w:r>
      <w:r>
        <w:t xml:space="preserve">step emphasizes the OpenPatent fork integration — AI-assisted claim drafting from natural language input.</w:t>
      </w:r>
      <w:r>
        <w:t xml:space="preserve"> </w:t>
      </w:r>
      <w:r>
        <w:t xml:space="preserve">“</w:t>
      </w:r>
      <w:r>
        <w:t xml:space="preserve">Review</w:t>
      </w:r>
      <w:r>
        <w:t xml:space="preserve">”</w:t>
      </w:r>
      <w:r>
        <w:t xml:space="preserve"> </w:t>
      </w:r>
      <w:r>
        <w:t xml:space="preserve">shows the 33-agent BFT council evaluation for high-value disclosures.</w:t>
      </w:r>
      <w:r>
        <w:t xml:space="preserve"> </w:t>
      </w:r>
      <w:r>
        <w:t xml:space="preserve">“</w:t>
      </w:r>
      <w:r>
        <w:t xml:space="preserve">Disclose</w:t>
      </w:r>
      <w:r>
        <w:t xml:space="preserve">”</w:t>
      </w:r>
      <w:r>
        <w:t xml:space="preserve"> </w:t>
      </w:r>
      <w:r>
        <w:t xml:space="preserve">animates the six-layer cryptographic pipeline in 12 seconds.</w:t>
      </w:r>
      <w:r>
        <w:t xml:space="preserve"> </w:t>
      </w:r>
      <w:r>
        <w:t xml:space="preserve">“</w:t>
      </w:r>
      <w:r>
        <w:t xml:space="preserve">Verify</w:t>
      </w:r>
      <w:r>
        <w:t xml:space="preserve">”</w:t>
      </w:r>
      <w:r>
        <w:t xml:space="preserve"> </w:t>
      </w:r>
      <w:r>
        <w:t xml:space="preserve">displays the live attestation page with all verification credentials exposed.</w:t>
      </w:r>
    </w:p>
    <w:p>
      <w:pPr>
        <w:pStyle w:val="BodyText"/>
      </w:pPr>
      <w:r>
        <w:t xml:space="preserve">The animation timing follows a deliberate pedagogical rhythm: each step pauses for 3.5 seconds before auto-advancing, with manual controls for visitors who want to inspect a specific layer. The scroll-jacking implementation uses the Intersection Observer API with</w:t>
      </w:r>
      <w:r>
        <w:t xml:space="preserve"> </w:t>
      </w:r>
      <w:r>
        <w:rPr>
          <w:rStyle w:val="VerbatimChar"/>
        </w:rPr>
        <w:t xml:space="preserve">prefers-reduced-motion</w:t>
      </w:r>
      <w:r>
        <w:t xml:space="preserve"> </w:t>
      </w:r>
      <w:r>
        <w:t xml:space="preserve">media query support, ensuring accessibility compliance without sacrificing visual impact for standard users. The entire How It Works section ships under 180KB of compressed JavaScript including Lottie animations, well within the 200KB threshold that Google’s Chrome team identifies as the inflection point where JavaScript payload begins to materially degrade INP (Interaction to Next Paint) scores[^5^].</w:t>
      </w:r>
    </w:p>
    <w:bookmarkEnd w:id="103"/>
    <w:bookmarkStart w:id="104" w:name="pricing-transparent-payg-with-no-lock-in"/>
    <w:p>
      <w:pPr>
        <w:pStyle w:val="Heading4"/>
      </w:pPr>
      <w:r>
        <w:t xml:space="preserve">7.1.3 Pricing: Transparent PAYG with No Lock-In</w:t>
      </w:r>
    </w:p>
    <w:p>
      <w:pPr>
        <w:pStyle w:val="FirstParagraph"/>
      </w:pPr>
      <w:r>
        <w:t xml:space="preserve">The pricing section presents four tiers — FREE (self-hosted), DEFENSIVE ($10), FULL ($50), and PREMIUM ($100) — in a clean comparison layout that foregrounds the</w:t>
      </w:r>
      <w:r>
        <w:t xml:space="preserve"> </w:t>
      </w:r>
      <w:r>
        <w:t xml:space="preserve">“</w:t>
      </w:r>
      <w:r>
        <w:t xml:space="preserve">Free Forever</w:t>
      </w:r>
      <w:r>
        <w:t xml:space="preserve">”</w:t>
      </w:r>
      <w:r>
        <w:t xml:space="preserve"> </w:t>
      </w:r>
      <w:r>
        <w:t xml:space="preserve">self-hosted option as the primary call-to-action[^6^]. This inversion of conventional SaaS pricing psychology — where the free tier is typically minimized — aligns with the platform’s open-source ethos and reflects the project’s MIT-licensed provenance. Each tier card includes a live calculator showing the exact cost for a specific disclosure count, eliminating the pricing ambiguity that competitors such as Bernstein.io maintain through opaque enterprise quoting[^7^].</w:t>
      </w:r>
    </w:p>
    <w:p>
      <w:pPr>
        <w:pStyle w:val="BodyText"/>
      </w:pPr>
      <w:r>
        <w:t xml:space="preserve">The FREE tier receives equal visual weight because it drives ecosystem adoption: self-hosted PatentMCP with unlimited local disclosures, community Discord support, and full cryptographic functionality. The paid tiers add convenience layers — cloud hosting, C2PA credentials, priority support, AI drafting — but the cryptographic protection is identical across all tiers. This pricing architecture avoids the</w:t>
      </w:r>
      <w:r>
        <w:t xml:space="preserve"> </w:t>
      </w:r>
      <w:r>
        <w:t xml:space="preserve">“</w:t>
      </w:r>
      <w:r>
        <w:t xml:space="preserve">crippleware</w:t>
      </w:r>
      <w:r>
        <w:t xml:space="preserve">”</w:t>
      </w:r>
      <w:r>
        <w:t xml:space="preserve"> </w:t>
      </w:r>
      <w:r>
        <w:t xml:space="preserve">pattern that degrades free-tier products into marketing funnels, instead treating self-hosting as a legitimate deployment mode that expands the total addressable market.</w:t>
      </w:r>
    </w:p>
    <w:bookmarkEnd w:id="104"/>
    <w:bookmarkStart w:id="105" w:name="X1d2daeb5a3886a23403d24dc24555500fff5afc"/>
    <w:p>
      <w:pPr>
        <w:pStyle w:val="Heading4"/>
      </w:pPr>
      <w:r>
        <w:t xml:space="preserve">7.1.4 Live Registry: Searchable Prior Art Database</w:t>
      </w:r>
    </w:p>
    <w:p>
      <w:pPr>
        <w:pStyle w:val="FirstParagraph"/>
      </w:pPr>
      <w:r>
        <w:t xml:space="preserve">The Live Registry section transforms the PatentMCP</w:t>
      </w:r>
      <w:r>
        <w:t xml:space="preserve"> </w:t>
      </w:r>
      <w:r>
        <w:rPr>
          <w:rStyle w:val="VerbatimChar"/>
        </w:rPr>
        <w:t xml:space="preserve">search</w:t>
      </w:r>
      <w:r>
        <w:t xml:space="preserve"> </w:t>
      </w:r>
      <w:r>
        <w:t xml:space="preserve">tool into a public-facing prior art database accessible without authentication. A real-time disclosure feed streams new entries as they are anchored to the blockchain, showing disclosure title, truncated hash, timestamp, and jurisdiction. The search interface supports full-text query across disclosure titles and descriptions, filtered by IPC/CPC classification, jurisdiction, date range, and inventor DID. Elasticsearch powers the backend index, with vector search capability planned for semantic prior art matching in Q2 2026[^8^].</w:t>
      </w:r>
    </w:p>
    <w:p>
      <w:pPr>
        <w:pStyle w:val="BodyText"/>
      </w:pPr>
      <w:r>
        <w:t xml:space="preserve">The registry’s UX draws directly from the OpenGridWorks layer toggle paradigm: a left panel controls active filter layers (technology category, jurisdiction, time period), while the main viewport displays results as both a sortable table and geolocated pins on the Horus globe[^2^]. This dual-mode presentation accommodates both researchers seeking specific documents and analysts exploring disclosure patterns across geography and time. Every registry entry links to its public attestation page (verify.openpatent.ai/{hash}), where the full six-layer verification can be independently validated without platform login.</w:t>
      </w:r>
    </w:p>
    <w:bookmarkEnd w:id="105"/>
    <w:bookmarkStart w:id="106" w:name="Xae84acf3f7a0c988f2e220154272617d455aba0"/>
    <w:p>
      <w:pPr>
        <w:pStyle w:val="Heading4"/>
      </w:pPr>
      <w:r>
        <w:t xml:space="preserve">7.1.5 Trust Signals: Legal Framework and Cryptographic Proof</w:t>
      </w:r>
    </w:p>
    <w:p>
      <w:pPr>
        <w:pStyle w:val="FirstParagraph"/>
      </w:pPr>
      <w:r>
        <w:t xml:space="preserve">The trust section addresses the question every prospective user asks:</w:t>
      </w:r>
      <w:r>
        <w:t xml:space="preserve"> </w:t>
      </w:r>
      <w:r>
        <w:t xml:space="preserve">“</w:t>
      </w:r>
      <w:r>
        <w:t xml:space="preserve">Will this hold up in court?</w:t>
      </w:r>
      <w:r>
        <w:t xml:space="preserve">”</w:t>
      </w:r>
      <w:r>
        <w:t xml:space="preserve"> </w:t>
      </w:r>
      <w:r>
        <w:t xml:space="preserve">Five legal framework badges — eIDAS (EU), FRE 902 (US), WIPO recognition, Chinese judicial blockchain, and French copyright anteriority precedent — are displayed with their respective citation numbers and direct links to the source regulations[^9^][^10^][^11^]. Each badge expands on hover to show the specific legal provision and a one-sentence summary of how it applies to blockchain-disclosed prior art. Below the badges, an interactive cryptographic proof visualization lets visitors step through the entire six-layer verification chain, from document hash generation through Bitcoin anchoring to public attestation, with live blockchain queries confirming each link.</w:t>
      </w:r>
    </w:p>
    <w:bookmarkEnd w:id="106"/>
    <w:bookmarkEnd w:id="107"/>
    <w:bookmarkStart w:id="112" w:name="technical-stack"/>
    <w:p>
      <w:pPr>
        <w:pStyle w:val="Heading3"/>
      </w:pPr>
      <w:r>
        <w:t xml:space="preserve">7.2 Technical Stack</w:t>
      </w:r>
    </w:p>
    <w:bookmarkStart w:id="108" w:name="Xe794f5500550c89da39ad00340af13578e64514"/>
    <w:p>
      <w:pPr>
        <w:pStyle w:val="Heading4"/>
      </w:pPr>
      <w:r>
        <w:t xml:space="preserve">7.2.1 Frontend: Next.js 14 + Tailwind CSS + shadcn/ui</w:t>
      </w:r>
    </w:p>
    <w:p>
      <w:pPr>
        <w:pStyle w:val="FirstParagraph"/>
      </w:pPr>
      <w:r>
        <w:t xml:space="preserve">The frontend architecture replicates the prooof.ai v2 component system: Next.js 14 with App Router, Tailwind CSS for utility-first styling, and shadcn/ui for accessible, composable components. This stack selection is not arbitrary — it ensures that developers moving between prooof.ai, csoai.org, openmoe.ai, and openpatent.ai encounter identical component patterns, theming systems, and build tooling, collapsing the cognitive overhead of context-switching across the ecosystem[^12^].</w:t>
      </w:r>
    </w:p>
    <w:p>
      <w:pPr>
        <w:pStyle w:val="BodyText"/>
      </w:pPr>
      <w:r>
        <w:t xml:space="preserve">Next.js 14’s Server Components deliver zero client-side JavaScript for static content by default, a characteristic that directly translates to faster LCP and lower INP. An academic comparative study of Next.js versus React.js found that Next.js achieves First Contentful Paint (FCP) improvements of 15–30% across simulated 3G, 4G slow, and 4G fast network conditions, with Time to Interactive (TTI) reductions of up to 40% under CPU-throttled environments[^13^]. The App Router’s built-in font optimization, image optimization via the</w:t>
      </w:r>
      <w:r>
        <w:t xml:space="preserve"> </w:t>
      </w:r>
      <w:r>
        <w:rPr>
          <w:rStyle w:val="VerbatimChar"/>
        </w:rPr>
        <w:t xml:space="preserve">&lt;Image&gt;</w:t>
      </w:r>
      <w:r>
        <w:t xml:space="preserve"> </w:t>
      </w:r>
      <w:r>
        <w:t xml:space="preserve">component with automatic WebP conversion, and streaming SSR collectively address the six technical factors that the 2025 Web Almanac identifies as responsible for 73% of Core Web Vitals failures: unoptimized images, render-blocking scripts, poor font loading, excessive JavaScript, unoptimized third-party resources, and slow server response times[^4^].</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Role</w:t>
            </w:r>
          </w:p>
        </w:tc>
        <w:tc>
          <w:tcPr/>
          <w:p>
            <w:pPr>
              <w:pStyle w:val="Compact"/>
              <w:jc w:val="left"/>
            </w:pPr>
            <w:r>
              <w:t xml:space="preserve">Performance Target</w:t>
            </w:r>
          </w:p>
        </w:tc>
      </w:tr>
      <w:tr>
        <w:tc>
          <w:tcPr/>
          <w:p>
            <w:pPr>
              <w:pStyle w:val="Compact"/>
              <w:jc w:val="left"/>
            </w:pPr>
            <w:r>
              <w:t xml:space="preserve">Framework</w:t>
            </w:r>
          </w:p>
        </w:tc>
        <w:tc>
          <w:tcPr/>
          <w:p>
            <w:pPr>
              <w:pStyle w:val="Compact"/>
              <w:jc w:val="left"/>
            </w:pPr>
            <w:r>
              <w:t xml:space="preserve">Next.js</w:t>
            </w:r>
          </w:p>
        </w:tc>
        <w:tc>
          <w:tcPr/>
          <w:p>
            <w:pPr>
              <w:pStyle w:val="Compact"/>
              <w:jc w:val="left"/>
            </w:pPr>
            <w:r>
              <w:t xml:space="preserve">14+ (App Router)</w:t>
            </w:r>
          </w:p>
        </w:tc>
        <w:tc>
          <w:tcPr/>
          <w:p>
            <w:pPr>
              <w:pStyle w:val="Compact"/>
              <w:jc w:val="left"/>
            </w:pPr>
            <w:r>
              <w:t xml:space="preserve">SSR, routing, API routes</w:t>
            </w:r>
          </w:p>
        </w:tc>
        <w:tc>
          <w:tcPr/>
          <w:p>
            <w:pPr>
              <w:pStyle w:val="Compact"/>
              <w:jc w:val="left"/>
            </w:pPr>
            <w:r>
              <w:t xml:space="preserve">LCP &lt; 2.0s, INP &lt; 150ms[^3^]</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3.4+</w:t>
            </w:r>
          </w:p>
        </w:tc>
        <w:tc>
          <w:tcPr/>
          <w:p>
            <w:pPr>
              <w:pStyle w:val="Compact"/>
              <w:jc w:val="left"/>
            </w:pPr>
            <w:r>
              <w:t xml:space="preserve">Utility-first CSS</w:t>
            </w:r>
          </w:p>
        </w:tc>
        <w:tc>
          <w:tcPr/>
          <w:p>
            <w:pPr>
              <w:pStyle w:val="Compact"/>
              <w:jc w:val="left"/>
            </w:pPr>
            <w:r>
              <w:t xml:space="preserve">Unused CSS &lt; 5KB gzipped</w:t>
            </w:r>
          </w:p>
        </w:tc>
      </w:tr>
      <w:tr>
        <w:tc>
          <w:tcPr/>
          <w:p>
            <w:pPr>
              <w:pStyle w:val="Compact"/>
              <w:jc w:val="left"/>
            </w:pPr>
            <w:r>
              <w:t xml:space="preserve">Components</w:t>
            </w:r>
          </w:p>
        </w:tc>
        <w:tc>
          <w:tcPr/>
          <w:p>
            <w:pPr>
              <w:pStyle w:val="Compact"/>
              <w:jc w:val="left"/>
            </w:pPr>
            <w:r>
              <w:t xml:space="preserve">shadcn/ui</w:t>
            </w:r>
          </w:p>
        </w:tc>
        <w:tc>
          <w:tcPr/>
          <w:p>
            <w:pPr>
              <w:pStyle w:val="Compact"/>
              <w:jc w:val="left"/>
            </w:pPr>
            <w:r>
              <w:t xml:space="preserve">Latest</w:t>
            </w:r>
          </w:p>
        </w:tc>
        <w:tc>
          <w:tcPr/>
          <w:p>
            <w:pPr>
              <w:pStyle w:val="Compact"/>
              <w:jc w:val="left"/>
            </w:pPr>
            <w:r>
              <w:t xml:space="preserve">Accessible UI primitives</w:t>
            </w:r>
          </w:p>
        </w:tc>
        <w:tc>
          <w:tcPr/>
          <w:p>
            <w:pPr>
              <w:pStyle w:val="Compact"/>
              <w:jc w:val="left"/>
            </w:pPr>
            <w:r>
              <w:t xml:space="preserve">WCAG 2.1 AA compliant</w:t>
            </w:r>
          </w:p>
        </w:tc>
      </w:tr>
      <w:tr>
        <w:tc>
          <w:tcPr/>
          <w:p>
            <w:pPr>
              <w:pStyle w:val="Compact"/>
              <w:jc w:val="left"/>
            </w:pPr>
            <w:r>
              <w:t xml:space="preserve">Globe</w:t>
            </w:r>
          </w:p>
        </w:tc>
        <w:tc>
          <w:tcPr/>
          <w:p>
            <w:pPr>
              <w:pStyle w:val="Compact"/>
              <w:jc w:val="left"/>
            </w:pPr>
            <w:r>
              <w:t xml:space="preserve">CesiumJS + Deck.gl</w:t>
            </w:r>
          </w:p>
        </w:tc>
        <w:tc>
          <w:tcPr/>
          <w:p>
            <w:pPr>
              <w:pStyle w:val="Compact"/>
              <w:jc w:val="left"/>
            </w:pPr>
            <w:r>
              <w:t xml:space="preserve">1.110+ / 9.0+</w:t>
            </w:r>
          </w:p>
        </w:tc>
        <w:tc>
          <w:tcPr/>
          <w:p>
            <w:pPr>
              <w:pStyle w:val="Compact"/>
              <w:jc w:val="left"/>
            </w:pPr>
            <w:r>
              <w:t xml:space="preserve">3D disclosure visualization</w:t>
            </w:r>
          </w:p>
        </w:tc>
        <w:tc>
          <w:tcPr/>
          <w:p>
            <w:pPr>
              <w:pStyle w:val="Compact"/>
              <w:jc w:val="left"/>
            </w:pPr>
            <w:r>
              <w:t xml:space="preserve">TBT &lt; 50ms (lazy loaded)[^14^]</w:t>
            </w:r>
          </w:p>
        </w:tc>
      </w:tr>
      <w:tr>
        <w:tc>
          <w:tcPr/>
          <w:p>
            <w:pPr>
              <w:pStyle w:val="Compact"/>
              <w:jc w:val="left"/>
            </w:pPr>
            <w:r>
              <w:t xml:space="preserve">Animation</w:t>
            </w:r>
          </w:p>
        </w:tc>
        <w:tc>
          <w:tcPr/>
          <w:p>
            <w:pPr>
              <w:pStyle w:val="Compact"/>
              <w:jc w:val="left"/>
            </w:pPr>
            <w:r>
              <w:t xml:space="preserve">Lottie + Framer Motion</w:t>
            </w:r>
          </w:p>
        </w:tc>
        <w:tc>
          <w:tcPr/>
          <w:p>
            <w:pPr>
              <w:pStyle w:val="Compact"/>
              <w:jc w:val="left"/>
            </w:pPr>
            <w:r>
              <w:t xml:space="preserve">5.12+ / 11.0+</w:t>
            </w:r>
          </w:p>
        </w:tc>
        <w:tc>
          <w:tcPr/>
          <w:p>
            <w:pPr>
              <w:pStyle w:val="Compact"/>
              <w:jc w:val="left"/>
            </w:pPr>
            <w:r>
              <w:t xml:space="preserve">Blockchain pipeline animation</w:t>
            </w:r>
          </w:p>
        </w:tc>
        <w:tc>
          <w:tcPr/>
          <w:p>
            <w:pPr>
              <w:pStyle w:val="Compact"/>
              <w:jc w:val="left"/>
            </w:pPr>
            <w:r>
              <w:t xml:space="preserve">60fps on mid-tier mobile</w:t>
            </w:r>
          </w:p>
        </w:tc>
      </w:tr>
      <w:tr>
        <w:tc>
          <w:tcPr/>
          <w:p>
            <w:pPr>
              <w:pStyle w:val="Compact"/>
              <w:jc w:val="left"/>
            </w:pPr>
            <w:r>
              <w:t xml:space="preserve">Search</w:t>
            </w:r>
          </w:p>
        </w:tc>
        <w:tc>
          <w:tcPr/>
          <w:p>
            <w:pPr>
              <w:pStyle w:val="Compact"/>
              <w:jc w:val="left"/>
            </w:pPr>
            <w:r>
              <w:t xml:space="preserve">Elasticsearch</w:t>
            </w:r>
          </w:p>
        </w:tc>
        <w:tc>
          <w:tcPr/>
          <w:p>
            <w:pPr>
              <w:pStyle w:val="Compact"/>
              <w:jc w:val="left"/>
            </w:pPr>
            <w:r>
              <w:t xml:space="preserve">8.x</w:t>
            </w:r>
          </w:p>
        </w:tc>
        <w:tc>
          <w:tcPr/>
          <w:p>
            <w:pPr>
              <w:pStyle w:val="Compact"/>
              <w:jc w:val="left"/>
            </w:pPr>
            <w:r>
              <w:t xml:space="preserve">Full-text prior art indexing</w:t>
            </w:r>
          </w:p>
        </w:tc>
        <w:tc>
          <w:tcPr/>
          <w:p>
            <w:pPr>
              <w:pStyle w:val="Compact"/>
              <w:jc w:val="left"/>
            </w:pPr>
            <w:r>
              <w:t xml:space="preserve">Query latency &lt; 100ms</w:t>
            </w:r>
          </w:p>
        </w:tc>
      </w:tr>
      <w:tr>
        <w:tc>
          <w:tcPr/>
          <w:p>
            <w:pPr>
              <w:pStyle w:val="Compact"/>
              <w:jc w:val="left"/>
            </w:pPr>
            <w:r>
              <w:t xml:space="preserve">Storage</w:t>
            </w:r>
          </w:p>
        </w:tc>
        <w:tc>
          <w:tcPr/>
          <w:p>
            <w:pPr>
              <w:pStyle w:val="Compact"/>
              <w:jc w:val="left"/>
            </w:pPr>
            <w:r>
              <w:t xml:space="preserve">Cloudflare R2</w:t>
            </w:r>
          </w:p>
        </w:tc>
        <w:tc>
          <w:tcPr/>
          <w:p>
            <w:pPr>
              <w:pStyle w:val="Compact"/>
              <w:jc w:val="left"/>
            </w:pPr>
            <w:r>
              <w:t xml:space="preserve">—</w:t>
            </w:r>
          </w:p>
        </w:tc>
        <w:tc>
          <w:tcPr/>
          <w:p>
            <w:pPr>
              <w:pStyle w:val="Compact"/>
              <w:jc w:val="left"/>
            </w:pPr>
            <w:r>
              <w:t xml:space="preserve">Document blob storage</w:t>
            </w:r>
          </w:p>
        </w:tc>
        <w:tc>
          <w:tcPr/>
          <w:p>
            <w:pPr>
              <w:pStyle w:val="Compact"/>
              <w:jc w:val="left"/>
            </w:pPr>
            <w:r>
              <w:t xml:space="preserve">Global edge delivery</w:t>
            </w:r>
          </w:p>
        </w:tc>
      </w:tr>
      <w:tr>
        <w:tc>
          <w:tcPr/>
          <w:p>
            <w:pPr>
              <w:pStyle w:val="Compact"/>
              <w:jc w:val="left"/>
            </w:pPr>
            <w:r>
              <w:t xml:space="preserve">Edge</w:t>
            </w:r>
          </w:p>
        </w:tc>
        <w:tc>
          <w:tcPr/>
          <w:p>
            <w:pPr>
              <w:pStyle w:val="Compact"/>
              <w:jc w:val="left"/>
            </w:pPr>
            <w:r>
              <w:t xml:space="preserve">Vercel Edge Network</w:t>
            </w:r>
          </w:p>
        </w:tc>
        <w:tc>
          <w:tcPr/>
          <w:p>
            <w:pPr>
              <w:pStyle w:val="Compact"/>
              <w:jc w:val="left"/>
            </w:pPr>
            <w:r>
              <w:t xml:space="preserve">—</w:t>
            </w:r>
          </w:p>
        </w:tc>
        <w:tc>
          <w:tcPr/>
          <w:p>
            <w:pPr>
              <w:pStyle w:val="Compact"/>
              <w:jc w:val="left"/>
            </w:pPr>
            <w:r>
              <w:t xml:space="preserve">SSR, API routes, geo-routing</w:t>
            </w:r>
          </w:p>
        </w:tc>
        <w:tc>
          <w:tcPr/>
          <w:p>
            <w:pPr>
              <w:pStyle w:val="Compact"/>
              <w:jc w:val="left"/>
            </w:pPr>
            <w:r>
              <w:t xml:space="preserve">TTFB &lt; 100ms global</w:t>
            </w:r>
          </w:p>
        </w:tc>
      </w:tr>
      <w:tr>
        <w:tc>
          <w:tcPr/>
          <w:p>
            <w:pPr>
              <w:pStyle w:val="Compact"/>
              <w:jc w:val="left"/>
            </w:pPr>
            <w:r>
              <w:t xml:space="preserve">Backend</w:t>
            </w:r>
          </w:p>
        </w:tc>
        <w:tc>
          <w:tcPr/>
          <w:p>
            <w:pPr>
              <w:pStyle w:val="Compact"/>
              <w:jc w:val="left"/>
            </w:pPr>
            <w:r>
              <w:t xml:space="preserve">Railway/Render</w:t>
            </w:r>
          </w:p>
        </w:tc>
        <w:tc>
          <w:tcPr/>
          <w:p>
            <w:pPr>
              <w:pStyle w:val="Compact"/>
              <w:jc w:val="left"/>
            </w:pPr>
            <w:r>
              <w:t xml:space="preserve">—</w:t>
            </w:r>
          </w:p>
        </w:tc>
        <w:tc>
          <w:tcPr/>
          <w:p>
            <w:pPr>
              <w:pStyle w:val="Compact"/>
              <w:jc w:val="left"/>
            </w:pPr>
            <w:r>
              <w:t xml:space="preserve">PatentMCP Python server</w:t>
            </w:r>
          </w:p>
        </w:tc>
        <w:tc>
          <w:tcPr/>
          <w:p>
            <w:pPr>
              <w:pStyle w:val="Compact"/>
              <w:jc w:val="left"/>
            </w:pPr>
            <w:r>
              <w:t xml:space="preserve">Cold start &lt; 3s</w:t>
            </w:r>
          </w:p>
        </w:tc>
      </w:tr>
      <w:tr>
        <w:tc>
          <w:tcPr/>
          <w:p>
            <w:pPr>
              <w:pStyle w:val="Compact"/>
              <w:jc w:val="left"/>
            </w:pPr>
            <w:r>
              <w:t xml:space="preserve">Crypto</w:t>
            </w:r>
          </w:p>
        </w:tc>
        <w:tc>
          <w:tcPr/>
          <w:p>
            <w:pPr>
              <w:pStyle w:val="Compact"/>
              <w:jc w:val="left"/>
            </w:pPr>
            <w:r>
              <w:t xml:space="preserve">WebCrypto API + wasm</w:t>
            </w:r>
          </w:p>
        </w:tc>
        <w:tc>
          <w:tcPr/>
          <w:p>
            <w:pPr>
              <w:pStyle w:val="Compact"/>
              <w:jc w:val="left"/>
            </w:pPr>
            <w:r>
              <w:t xml:space="preserve">Native</w:t>
            </w:r>
          </w:p>
        </w:tc>
        <w:tc>
          <w:tcPr/>
          <w:p>
            <w:pPr>
              <w:pStyle w:val="Compact"/>
              <w:jc w:val="left"/>
            </w:pPr>
            <w:r>
              <w:t xml:space="preserve">Client-side hashing</w:t>
            </w:r>
          </w:p>
        </w:tc>
        <w:tc>
          <w:tcPr/>
          <w:p>
            <w:pPr>
              <w:pStyle w:val="Compact"/>
              <w:jc w:val="left"/>
            </w:pPr>
            <w:r>
              <w:t xml:space="preserve">SHA-3/512 @ 500MB/s</w:t>
            </w:r>
          </w:p>
        </w:tc>
      </w:tr>
    </w:tbl>
    <w:p>
      <w:pPr>
        <w:pStyle w:val="BodyText"/>
      </w:pPr>
      <w:r>
        <w:rPr>
          <w:iCs/>
          <w:i/>
        </w:rPr>
        <w:t xml:space="preserve">Table 1: Complete frontend and infrastructure technology stack with performance targets. Component selection prioritizes ecosystem consistency (prooof.ai v2 alignment) and measurable Core Web Vitals outcomes.</w:t>
      </w:r>
    </w:p>
    <w:p>
      <w:pPr>
        <w:pStyle w:val="BodyText"/>
      </w:pPr>
      <w:r>
        <w:t xml:space="preserve">Tailwind’s purging mechanism ensures that only used utility classes ship to production, typically yielding CSS bundles under 10KB gzipped — compared to 150KB+ for comprehensive component libraries such as Bootstrap or Material UI. shadcn/ui provides the specific components —</w:t>
      </w:r>
      <w:r>
        <w:t xml:space="preserve"> </w:t>
      </w:r>
      <w:r>
        <w:rPr>
          <w:rStyle w:val="VerbatimChar"/>
        </w:rPr>
        <w:t xml:space="preserve">Accordion</w:t>
      </w:r>
      <w:r>
        <w:t xml:space="preserve">,</w:t>
      </w:r>
      <w:r>
        <w:t xml:space="preserve"> </w:t>
      </w:r>
      <w:r>
        <w:rPr>
          <w:rStyle w:val="VerbatimChar"/>
        </w:rPr>
        <w:t xml:space="preserve">Dialog</w:t>
      </w:r>
      <w:r>
        <w:t xml:space="preserve">,</w:t>
      </w:r>
      <w:r>
        <w:t xml:space="preserve"> </w:t>
      </w:r>
      <w:r>
        <w:rPr>
          <w:rStyle w:val="VerbatimChar"/>
        </w:rPr>
        <w:t xml:space="preserve">Table</w:t>
      </w:r>
      <w:r>
        <w:t xml:space="preserve">,</w:t>
      </w:r>
      <w:r>
        <w:t xml:space="preserve"> </w:t>
      </w:r>
      <w:r>
        <w:rPr>
          <w:rStyle w:val="VerbatimChar"/>
        </w:rPr>
        <w:t xml:space="preserve">Tabs</w:t>
      </w:r>
      <w:r>
        <w:t xml:space="preserve">,</w:t>
      </w:r>
      <w:r>
        <w:t xml:space="preserve"> </w:t>
      </w:r>
      <w:r>
        <w:rPr>
          <w:rStyle w:val="VerbatimChar"/>
        </w:rPr>
        <w:t xml:space="preserve">Toast</w:t>
      </w:r>
      <w:r>
        <w:t xml:space="preserve"> </w:t>
      </w:r>
      <w:r>
        <w:t xml:space="preserve">— that the landing page requires, each built on Radix UI primitives with full keyboard navigation, screen reader support, and ARIA attribute management. The combination eliminates the accessibility debt that accumulates when teams build custom components without dedicated a11y testing.</w:t>
      </w:r>
    </w:p>
    <w:bookmarkEnd w:id="108"/>
    <w:bookmarkStart w:id="109" w:name="Xc7dbccdabd78486b12813289f2cbe5cf15ac593"/>
    <w:p>
      <w:pPr>
        <w:pStyle w:val="Heading4"/>
      </w:pPr>
      <w:r>
        <w:t xml:space="preserve">7.2.2 3D Globe: CesiumJS/Deck.gl for Global Disclosure Visualization</w:t>
      </w:r>
    </w:p>
    <w:p>
      <w:pPr>
        <w:pStyle w:val="FirstParagraph"/>
      </w:pPr>
      <w:r>
        <w:t xml:space="preserve">The DeFoneos Horus 3D globe serves as the primary visual engagement element, positioned as a persistent background layer on the hero and registry sections. CesiumJS provides the base globe rendering with photorealistic terrain and photogrammetry support, while Deck.gl overlays data visualization layers for disclosure density heatmaps, jurisdiction boundaries, and real-time disclosure pins[^15^]. This dual-library approach follows the OpenGridWorks architecture, where Cesium handles the earth-scale 3D canvas and Deck.gl manages the data-intensive overlay rendering through GPU-accelerated WebGL.</w:t>
      </w:r>
    </w:p>
    <w:p>
      <w:pPr>
        <w:pStyle w:val="BodyText"/>
      </w:pPr>
      <w:r>
        <w:t xml:space="preserve">Performance benchmarking by Seto et al. (2026) established clear selection criteria for this architecture: CesiumJS delivers superior performance for high-precision 3D city models and terrain visualization (FCP 1.6s, LCP 1.8s, TBT 3–63ms for 3D Tiles), while MapLibre GL JS + Deck.gl achieves better responsiveness for large-scale point datasets (TBT 3ms versus CesiumJS’s 21,357ms under identical point-cloud loads)[^14^]. For OpenPatent.ai’s use case — geolocated disclosure pins rather than dense point clouds — the CesiumJS base with Deck.gl overlay strikes the optimal balance between visual fidelity and interactivity. The globe module loads via</w:t>
      </w:r>
      <w:r>
        <w:t xml:space="preserve"> </w:t>
      </w:r>
      <w:r>
        <w:rPr>
          <w:rStyle w:val="VerbatimChar"/>
        </w:rPr>
        <w:t xml:space="preserve">next/dynamic</w:t>
      </w:r>
      <w:r>
        <w:t xml:space="preserve"> </w:t>
      </w:r>
      <w:r>
        <w:t xml:space="preserve">with</w:t>
      </w:r>
      <w:r>
        <w:t xml:space="preserve"> </w:t>
      </w:r>
      <w:r>
        <w:rPr>
          <w:rStyle w:val="VerbatimChar"/>
        </w:rPr>
        <w:t xml:space="preserve">ssr: false</w:t>
      </w:r>
      <w:r>
        <w:t xml:space="preserve">, ensuring it does not block the critical rendering path or contribute to LCP. Initial tests targeting 1,000 concurrent disclosure pins should maintain TBT under 50ms on mid-tier mobile hardware.</w:t>
      </w:r>
    </w:p>
    <w:p>
      <w:pPr>
        <w:pStyle w:val="BodyText"/>
      </w:pPr>
      <w:r>
        <w:t xml:space="preserve">The globe’s data pipeline connects to the PatentMCP registry via WebSocket, with 30-second batch updates for new disclosures. Each pin is color-coded by technology category (software, biotech, mechanical, electrical, chemical) and pulses on new disclosure, creating the</w:t>
      </w:r>
      <w:r>
        <w:t xml:space="preserve"> </w:t>
      </w:r>
      <w:r>
        <w:t xml:space="preserve">“</w:t>
      </w:r>
      <w:r>
        <w:t xml:space="preserve">living registry</w:t>
      </w:r>
      <w:r>
        <w:t xml:space="preserve">”</w:t>
      </w:r>
      <w:r>
        <w:t xml:space="preserve"> </w:t>
      </w:r>
      <w:r>
        <w:t xml:space="preserve">visual effect. Clicking a pin triggers a fly-to animation and opens a detail panel with disclosure metadata, attestation link, and inventor DID — all rendered without page navigation through Next.js parallel routes.</w:t>
      </w:r>
    </w:p>
    <w:bookmarkEnd w:id="109"/>
    <w:bookmarkStart w:id="110" w:name="X21dd5d4afc21b40bd2fa0f8e46918ed7df80303"/>
    <w:p>
      <w:pPr>
        <w:pStyle w:val="Heading4"/>
      </w:pPr>
      <w:r>
        <w:t xml:space="preserve">7.2.3 Deployment: Vercel Edge + Cloudflare R2 + Railway/Render</w:t>
      </w:r>
    </w:p>
    <w:p>
      <w:pPr>
        <w:pStyle w:val="FirstParagraph"/>
      </w:pPr>
      <w:r>
        <w:t xml:space="preserve">The deployment architecture distributes functionality across three infrastructure layers optimized for their respective workloads. Vercel’s edge network handles Next.js SSR, API route execution, and static asset delivery from 100+ Points of Presence (PoPs) globally, targeting Time to First Byte (TTFB) under 100ms for all edge-rendered pages[^16^]. Cloudflare R2 stores disclosure documents, C2PA credentials, and generated patent drafts, with zero egress fees and automatic replication across R2’s global network — a cost structure that avoids the egress surcharge trap of AWS S3, which can consume 30–40% of total infrastructure spend for document-heavy applications[^17^]. Railway or Render hosts the PatentMCP Python backend (6-layer cryptographic engine, 2,400-line codebase with 14 passing tests), chosen for their native support for Python server processes with automatic HTTPS, preview deployments, and horizontal scaling[^1^].</w:t>
      </w:r>
    </w:p>
    <w:p>
      <w:pPr>
        <w:pStyle w:val="BodyText"/>
      </w:pPr>
      <w:r>
        <w:t xml:space="preserve">This three-layer split isolates failure domains: a PatentMCP backend restart does not affect the Next.js frontend serving static pages; a Vercel edge degradation falls back to Cloudflare’s CDN for cached content; R2’s 99.99% durability SLA ensures disclosure documents remain accessible even during primary backend outages. The architecture also supports the</w:t>
      </w:r>
      <w:r>
        <w:t xml:space="preserve"> </w:t>
      </w:r>
      <w:r>
        <w:t xml:space="preserve">“</w:t>
      </w:r>
      <w:r>
        <w:t xml:space="preserve">Free Forever</w:t>
      </w:r>
      <w:r>
        <w:t xml:space="preserve">”</w:t>
      </w:r>
      <w:r>
        <w:t xml:space="preserve"> </w:t>
      </w:r>
      <w:r>
        <w:t xml:space="preserve">self-hosted tier: users running PatentMCP locally via Docker require only the open-source frontend (Next.js builds to static HTML) and a local PostgreSQL instance, with no dependency on Vercel, Cloudflare, or paid hosting.</w:t>
      </w:r>
    </w:p>
    <w:bookmarkEnd w:id="110"/>
    <w:bookmarkStart w:id="111" w:name="X7462d056e8a6f23ecce88ffec07b85d1350c1ff"/>
    <w:p>
      <w:pPr>
        <w:pStyle w:val="Heading4"/>
      </w:pPr>
      <w:r>
        <w:t xml:space="preserve">7.2.4 SEO: AEO-Optimized for Answer Engine Discovery</w:t>
      </w:r>
    </w:p>
    <w:p>
      <w:pPr>
        <w:pStyle w:val="FirstParagraph"/>
      </w:pPr>
      <w:r>
        <w:t xml:space="preserve">The search strategy prioritizes Answer Engine Optimization (AEO) over traditional keyword SEO, reflecting the shift in how developers and inventors find tools in 2025. AEO targets the AI-generated answer surfaces — ChatGPT, Perplexity, Gemini, Copilot — that increasingly mediate information discovery, particularly for technical audiences. Google’s March 2024 core update and subsequent AI Overviews rollout accelerated this shift, with an estimated 58% of technical searches now receiving AI-generated summaries before organic results[^18^].</w:t>
      </w:r>
    </w:p>
    <w:p>
      <w:pPr>
        <w:pStyle w:val="BodyText"/>
      </w:pPr>
      <w:r>
        <w:t xml:space="preserve">Content architecture for AEO requires structured data that LLMs can extract and synthesize. Every landing page section implements Schema.org markup (</w:t>
      </w:r>
      <w:r>
        <w:rPr>
          <w:rStyle w:val="VerbatimChar"/>
        </w:rPr>
        <w:t xml:space="preserve">Product</w:t>
      </w:r>
      <w:r>
        <w:t xml:space="preserve">,</w:t>
      </w:r>
      <w:r>
        <w:t xml:space="preserve"> </w:t>
      </w:r>
      <w:r>
        <w:rPr>
          <w:rStyle w:val="VerbatimChar"/>
        </w:rPr>
        <w:t xml:space="preserve">HowTo</w:t>
      </w:r>
      <w:r>
        <w:t xml:space="preserve">,</w:t>
      </w:r>
      <w:r>
        <w:t xml:space="preserve"> </w:t>
      </w:r>
      <w:r>
        <w:rPr>
          <w:rStyle w:val="VerbatimChar"/>
        </w:rPr>
        <w:t xml:space="preserve">FAQPage</w:t>
      </w:r>
      <w:r>
        <w:t xml:space="preserve">,</w:t>
      </w:r>
      <w:r>
        <w:t xml:space="preserve"> </w:t>
      </w:r>
      <w:r>
        <w:rPr>
          <w:rStyle w:val="VerbatimChar"/>
        </w:rPr>
        <w:t xml:space="preserve">SoftwareApplication</w:t>
      </w:r>
      <w:r>
        <w:t xml:space="preserve">) with JSON-LD embedding. The</w:t>
      </w:r>
      <w:r>
        <w:t xml:space="preserve"> </w:t>
      </w:r>
      <w:r>
        <w:t xml:space="preserve">“</w:t>
      </w:r>
      <w:r>
        <w:t xml:space="preserve">How It Works</w:t>
      </w:r>
      <w:r>
        <w:t xml:space="preserve">”</w:t>
      </w:r>
      <w:r>
        <w:t xml:space="preserve"> </w:t>
      </w:r>
      <w:r>
        <w:t xml:space="preserve">pipeline uses</w:t>
      </w:r>
      <w:r>
        <w:t xml:space="preserve"> </w:t>
      </w:r>
      <w:r>
        <w:rPr>
          <w:rStyle w:val="VerbatimChar"/>
        </w:rPr>
        <w:t xml:space="preserve">HowTo</w:t>
      </w:r>
      <w:r>
        <w:t xml:space="preserve"> </w:t>
      </w:r>
      <w:r>
        <w:t xml:space="preserve">schema with</w:t>
      </w:r>
      <w:r>
        <w:t xml:space="preserve"> </w:t>
      </w:r>
      <w:r>
        <w:rPr>
          <w:rStyle w:val="VerbatimChar"/>
        </w:rPr>
        <w:t xml:space="preserve">HowToStep</w:t>
      </w:r>
      <w:r>
        <w:t xml:space="preserve"> </w:t>
      </w:r>
      <w:r>
        <w:t xml:space="preserve">elements for each of the four disclosure stages. Pricing tiers employ</w:t>
      </w:r>
      <w:r>
        <w:t xml:space="preserve"> </w:t>
      </w:r>
      <w:r>
        <w:rPr>
          <w:rStyle w:val="VerbatimChar"/>
        </w:rPr>
        <w:t xml:space="preserve">Offer</w:t>
      </w:r>
      <w:r>
        <w:t xml:space="preserve"> </w:t>
      </w:r>
      <w:r>
        <w:t xml:space="preserve">schema with</w:t>
      </w:r>
      <w:r>
        <w:t xml:space="preserve"> </w:t>
      </w:r>
      <w:r>
        <w:rPr>
          <w:rStyle w:val="VerbatimChar"/>
        </w:rPr>
        <w:t xml:space="preserve">PriceSpecification</w:t>
      </w:r>
      <w:r>
        <w:t xml:space="preserve"> </w:t>
      </w:r>
      <w:r>
        <w:t xml:space="preserve">and</w:t>
      </w:r>
      <w:r>
        <w:t xml:space="preserve"> </w:t>
      </w:r>
      <w:r>
        <w:rPr>
          <w:rStyle w:val="VerbatimChar"/>
        </w:rPr>
        <w:t xml:space="preserve">UnitPriceSpecification</w:t>
      </w:r>
      <w:r>
        <w:t xml:space="preserve"> </w:t>
      </w:r>
      <w:r>
        <w:t xml:space="preserve">for each PAYG option. The FAQ section — critical for AEO — targets 50+ questions that inventors and developers actually ask:</w:t>
      </w:r>
      <w:r>
        <w:t xml:space="preserve"> </w:t>
      </w:r>
      <w:r>
        <w:t xml:space="preserve">“</w:t>
      </w:r>
      <w:r>
        <w:t xml:space="preserve">What is defensive publication?</w:t>
      </w:r>
      <w:r>
        <w:t xml:space="preserve">”</w:t>
      </w:r>
      <w:r>
        <w:t xml:space="preserve">,</w:t>
      </w:r>
      <w:r>
        <w:t xml:space="preserve"> </w:t>
      </w:r>
      <w:r>
        <w:t xml:space="preserve">“</w:t>
      </w:r>
      <w:r>
        <w:t xml:space="preserve">Is blockchain timestamping legally valid?</w:t>
      </w:r>
      <w:r>
        <w:t xml:space="preserve">”</w:t>
      </w:r>
      <w:r>
        <w:t xml:space="preserve">,</w:t>
      </w:r>
      <w:r>
        <w:t xml:space="preserve"> </w:t>
      </w:r>
      <w:r>
        <w:t xml:space="preserve">“</w:t>
      </w:r>
      <w:r>
        <w:t xml:space="preserve">How much does it cost to publish prior art?</w:t>
      </w:r>
      <w:r>
        <w:t xml:space="preserve">”</w:t>
      </w:r>
      <w:r>
        <w:t xml:space="preserve">,</w:t>
      </w:r>
      <w:r>
        <w:t xml:space="preserve"> </w:t>
      </w:r>
      <w:r>
        <w:t xml:space="preserve">“</w:t>
      </w:r>
      <w:r>
        <w:t xml:space="preserve">Can I use this for free?</w:t>
      </w:r>
      <w:r>
        <w:t xml:space="preserve">”</w:t>
      </w:r>
      <w:r>
        <w:t xml:space="preserve">, each answered in under 75 words with direct, citation-supported statements[^19^].</w:t>
      </w:r>
    </w:p>
    <w:p>
      <w:pPr>
        <w:pStyle w:val="BodyText"/>
      </w:pPr>
      <w:r>
        <w:t xml:space="preserve">Traditional SEO targets five primary keyword clusters:</w:t>
      </w:r>
      <w:r>
        <w:t xml:space="preserve"> </w:t>
      </w:r>
      <w:r>
        <w:t xml:space="preserve">“</w:t>
      </w:r>
      <w:r>
        <w:t xml:space="preserve">defensive publication</w:t>
      </w:r>
      <w:r>
        <w:t xml:space="preserve">”</w:t>
      </w:r>
      <w:r>
        <w:t xml:space="preserve"> </w:t>
      </w:r>
      <w:r>
        <w:t xml:space="preserve">(480 monthly searches, low competition),</w:t>
      </w:r>
      <w:r>
        <w:t xml:space="preserve"> </w:t>
      </w:r>
      <w:r>
        <w:t xml:space="preserve">“</w:t>
      </w:r>
      <w:r>
        <w:t xml:space="preserve">open source patent tool</w:t>
      </w:r>
      <w:r>
        <w:t xml:space="preserve">”</w:t>
      </w:r>
      <w:r>
        <w:t xml:space="preserve"> </w:t>
      </w:r>
      <w:r>
        <w:t xml:space="preserve">(1,300 monthly searches, medium competition),</w:t>
      </w:r>
      <w:r>
        <w:t xml:space="preserve"> </w:t>
      </w:r>
      <w:r>
        <w:t xml:space="preserve">“</w:t>
      </w:r>
      <w:r>
        <w:t xml:space="preserve">blockchain prior art</w:t>
      </w:r>
      <w:r>
        <w:t xml:space="preserve">”</w:t>
      </w:r>
      <w:r>
        <w:t xml:space="preserve"> </w:t>
      </w:r>
      <w:r>
        <w:t xml:space="preserve">(720 monthly searches, low competition),</w:t>
      </w:r>
      <w:r>
        <w:t xml:space="preserve"> </w:t>
      </w:r>
      <w:r>
        <w:t xml:space="preserve">“</w:t>
      </w:r>
      <w:r>
        <w:t xml:space="preserve">patent protection for developers</w:t>
      </w:r>
      <w:r>
        <w:t xml:space="preserve">”</w:t>
      </w:r>
      <w:r>
        <w:t xml:space="preserve"> </w:t>
      </w:r>
      <w:r>
        <w:t xml:space="preserve">(2,900 monthly searches, high competition), and</w:t>
      </w:r>
      <w:r>
        <w:t xml:space="preserve"> </w:t>
      </w:r>
      <w:r>
        <w:t xml:space="preserve">“</w:t>
      </w:r>
      <w:r>
        <w:t xml:space="preserve">free patent alternative</w:t>
      </w:r>
      <w:r>
        <w:t xml:space="preserve">”</w:t>
      </w:r>
      <w:r>
        <w:t xml:space="preserve"> </w:t>
      </w:r>
      <w:r>
        <w:t xml:space="preserve">(3,600 monthly searches, high competition)[^20^]. Long-tail variants —</w:t>
      </w:r>
      <w:r>
        <w:t xml:space="preserve"> </w:t>
      </w:r>
      <w:r>
        <w:t xml:space="preserve">“</w:t>
      </w:r>
      <w:r>
        <w:t xml:space="preserve">how to publish prior art blockchain</w:t>
      </w:r>
      <w:r>
        <w:t xml:space="preserve">”</w:t>
      </w:r>
      <w:r>
        <w:t xml:space="preserve">,</w:t>
      </w:r>
      <w:r>
        <w:t xml:space="preserve"> </w:t>
      </w:r>
      <w:r>
        <w:t xml:space="preserve">“</w:t>
      </w:r>
      <w:r>
        <w:t xml:space="preserve">free defensive publication service</w:t>
      </w:r>
      <w:r>
        <w:t xml:space="preserve">”</w:t>
      </w:r>
      <w:r>
        <w:t xml:space="preserve">,</w:t>
      </w:r>
      <w:r>
        <w:t xml:space="preserve"> </w:t>
      </w:r>
      <w:r>
        <w:t xml:space="preserve">“</w:t>
      </w:r>
      <w:r>
        <w:t xml:space="preserve">cryptographic patent proof</w:t>
      </w:r>
      <w:r>
        <w:t xml:space="preserve">”</w:t>
      </w:r>
      <w:r>
        <w:t xml:space="preserve"> </w:t>
      </w:r>
      <w:r>
        <w:t xml:space="preserve">— capture lower-volume but higher-intent traffic. Technical SEO implementation includes</w:t>
      </w:r>
      <w:r>
        <w:t xml:space="preserve"> </w:t>
      </w:r>
      <w:r>
        <w:rPr>
          <w:rStyle w:val="VerbatimChar"/>
        </w:rPr>
        <w:t xml:space="preserve">next/head</w:t>
      </w:r>
      <w:r>
        <w:t xml:space="preserve"> </w:t>
      </w:r>
      <w:r>
        <w:t xml:space="preserve">metadata management with dynamic Open Graph images for each disclosure page (generated at build time), XML sitemaps for the registry index, and</w:t>
      </w:r>
      <w:r>
        <w:t xml:space="preserve"> </w:t>
      </w:r>
      <w:r>
        <w:rPr>
          <w:rStyle w:val="VerbatimChar"/>
        </w:rPr>
        <w:t xml:space="preserve">robots.txt</w:t>
      </w:r>
      <w:r>
        <w:t xml:space="preserve"> </w:t>
      </w:r>
      <w:r>
        <w:t xml:space="preserve">rules that allow search engines to index public disclosure pages while excluding verification endpoints that require hash parameters.</w:t>
      </w:r>
    </w:p>
    <w:p>
      <w:pPr>
        <w:pStyle w:val="BodyText"/>
      </w:pPr>
      <w:r>
        <w:t xml:space="preserve">Core Web Vitals performance directly influences both traditional ranking and AEO inclusion — Google’s AI Overviews prioritize sources that pass all three CWV thresholds[^4^]. The stack’s architecture targets scores of 95+ on PageSpeed Insights for mobile and 100 for desktop, with INP under 150ms (substantially better than the 200ms</w:t>
      </w:r>
      <w:r>
        <w:t xml:space="preserve"> </w:t>
      </w:r>
      <w:r>
        <w:t xml:space="preserve">“</w:t>
      </w:r>
      <w:r>
        <w:t xml:space="preserve">good</w:t>
      </w:r>
      <w:r>
        <w:t xml:space="preserve">”</w:t>
      </w:r>
      <w:r>
        <w:t xml:space="preserve"> </w:t>
      </w:r>
      <w:r>
        <w:t xml:space="preserve">threshold) to accommodate the interactive globe and search components without degrading responsiveness. Continuous monitoring via Vercel Speed Insights and the</w:t>
      </w:r>
      <w:r>
        <w:t xml:space="preserve"> </w:t>
      </w:r>
      <w:r>
        <w:rPr>
          <w:rStyle w:val="VerbatimChar"/>
        </w:rPr>
        <w:t xml:space="preserve">useReportWebVitals</w:t>
      </w:r>
      <w:r>
        <w:t xml:space="preserve"> </w:t>
      </w:r>
      <w:r>
        <w:t xml:space="preserve">hook captures field data from real user sessions, enabling performance regression detection within hours of deployment rather than weeks[^3^].</w:t>
      </w:r>
    </w:p>
    <w:p>
      <w:r>
        <w:pict>
          <v:rect style="width:0;height:1.5pt" o:hralign="center" o:hrstd="t" o:hr="t"/>
        </w:pict>
      </w:r>
    </w:p>
    <w:bookmarkEnd w:id="111"/>
    <w:bookmarkEnd w:id="112"/>
    <w:bookmarkEnd w:id="113"/>
    <w:bookmarkStart w:id="126" w:name="hermes-integration-roadmap"/>
    <w:p>
      <w:pPr>
        <w:pStyle w:val="Heading2"/>
      </w:pPr>
      <w:r>
        <w:t xml:space="preserve">8. Hermes Integration Roadmap</w:t>
      </w:r>
    </w:p>
    <w:p>
      <w:pPr>
        <w:pStyle w:val="FirstParagraph"/>
      </w:pPr>
      <w:r>
        <w:t xml:space="preserve">The Hermes master orchestration system coordinates the CSOAI/MEOK ecosystem’s 28-hive mesh, 62+ MCP servers, 33-agent BFT governance councils, and 15 Industry Power Packs[^1^][^2^]. Integrating OpenPatent into this architecture extends a cryptographically hardened disclosure pipeline into an operational multi-agent economy. This chapter maps the six-month integration across three phases, each building on the previous to transform OpenPatent from a standalone MCP server into a distributed invention protection layer.</w:t>
      </w:r>
    </w:p>
    <w:bookmarkStart w:id="117" w:name="phase-1-foundation-month-12"/>
    <w:p>
      <w:pPr>
        <w:pStyle w:val="Heading3"/>
      </w:pPr>
      <w:r>
        <w:t xml:space="preserve">8.1 Phase 1: Foundation (Month 1–2)</w:t>
      </w:r>
    </w:p>
    <w:bookmarkStart w:id="114" w:name="mcp-server-registry-deployment"/>
    <w:p>
      <w:pPr>
        <w:pStyle w:val="Heading4"/>
      </w:pPr>
      <w:r>
        <w:t xml:space="preserve">8.1.1 MCP Server Registry Deployment</w:t>
      </w:r>
    </w:p>
    <w:p>
      <w:pPr>
        <w:pStyle w:val="FirstParagraph"/>
      </w:pPr>
      <w:r>
        <w:t xml:space="preserve">The first milestone registers</w:t>
      </w:r>
      <w:r>
        <w:t xml:space="preserve"> </w:t>
      </w:r>
      <w:r>
        <w:rPr>
          <w:rStyle w:val="VerbatimChar"/>
        </w:rPr>
        <w:t xml:space="preserve">openpatent-mcp</w:t>
      </w:r>
      <w:r>
        <w:t xml:space="preserve"> </w:t>
      </w:r>
      <w:r>
        <w:t xml:space="preserve">in the Hermes MCP server registry, where each server declares its tool inventory, JSON Schema contracts, and health status via the standard</w:t>
      </w:r>
      <w:r>
        <w:t xml:space="preserve"> </w:t>
      </w:r>
      <w:r>
        <w:rPr>
          <w:rStyle w:val="VerbatimChar"/>
        </w:rPr>
        <w:t xml:space="preserve">tools/list</w:t>
      </w:r>
      <w:r>
        <w:t xml:space="preserve"> </w:t>
      </w:r>
      <w:r>
        <w:t xml:space="preserve">endpoint[^1^]. Registration involves containerization with health-check endpoints, schema publication to the Hermes capability graph, and failover configuration across the 28-hive mesh.</w:t>
      </w:r>
    </w:p>
    <w:p>
      <w:pPr>
        <w:pStyle w:val="BodyText"/>
      </w:pPr>
      <w:r>
        <w:t xml:space="preserve">Hermes resolves a naming collision between PatentMCP’s existing four-tool server and</w:t>
      </w:r>
      <w:r>
        <w:t xml:space="preserve"> </w:t>
      </w:r>
      <w:r>
        <w:rPr>
          <w:rStyle w:val="VerbatimChar"/>
        </w:rPr>
        <w:t xml:space="preserve">openpatent-mcp</w:t>
      </w:r>
      <w:r>
        <w:t xml:space="preserve">’s nine-tool suite through capability versioning. PatentMCP v1.0 tools remain available for backward compatibility while</w:t>
      </w:r>
      <w:r>
        <w:t xml:space="preserve"> </w:t>
      </w:r>
      <w:r>
        <w:rPr>
          <w:rStyle w:val="VerbatimChar"/>
        </w:rPr>
        <w:t xml:space="preserve">openpatent-mcp</w:t>
      </w:r>
      <w:r>
        <w:t xml:space="preserve"> </w:t>
      </w:r>
      <w:r>
        <w:t xml:space="preserve">v2.0 tools supersede them in the registry[^3^]. Existing workflows invoking</w:t>
      </w:r>
      <w:r>
        <w:t xml:space="preserve"> </w:t>
      </w:r>
      <w:r>
        <w:rPr>
          <w:rStyle w:val="VerbatimChar"/>
        </w:rPr>
        <w:t xml:space="preserve">patentmcp_disclose</w:t>
      </w:r>
      <w:r>
        <w:t xml:space="preserve"> </w:t>
      </w:r>
      <w:r>
        <w:t xml:space="preserve">continue operating; new workflows target</w:t>
      </w:r>
      <w:r>
        <w:t xml:space="preserve"> </w:t>
      </w:r>
      <w:r>
        <w:rPr>
          <w:rStyle w:val="VerbatimChar"/>
        </w:rPr>
        <w:t xml:space="preserve">openpatent_disclose_invention</w:t>
      </w:r>
      <w:r>
        <w:t xml:space="preserve"> </w:t>
      </w:r>
      <w:r>
        <w:t xml:space="preserve">with its expanded parameter set. This dual-registration pattern mirrors the prior</w:t>
      </w:r>
      <w:r>
        <w:t xml:space="preserve"> </w:t>
      </w:r>
      <w:r>
        <w:rPr>
          <w:rStyle w:val="VerbatimChar"/>
        </w:rPr>
        <w:t xml:space="preserve">blockchain-ai-mcp</w:t>
      </w:r>
      <w:r>
        <w:t xml:space="preserve"> </w:t>
      </w:r>
      <w:r>
        <w:t xml:space="preserve">to</w:t>
      </w:r>
      <w:r>
        <w:t xml:space="preserve"> </w:t>
      </w:r>
      <w:r>
        <w:rPr>
          <w:rStyle w:val="VerbatimChar"/>
        </w:rPr>
        <w:t xml:space="preserve">blockchain-verification-mcp</w:t>
      </w:r>
      <w:r>
        <w:t xml:space="preserve"> </w:t>
      </w:r>
      <w:r>
        <w:t xml:space="preserve">transition, where overlapping tools coexisted for three months before deprecation[^2^].</w:t>
      </w:r>
    </w:p>
    <w:bookmarkEnd w:id="114"/>
    <w:bookmarkStart w:id="115" w:name="single-tool-invocation-from-hermes-chat"/>
    <w:p>
      <w:pPr>
        <w:pStyle w:val="Heading4"/>
      </w:pPr>
      <w:r>
        <w:t xml:space="preserve">8.1.2 Single-Tool Invocation from Hermes Chat</w:t>
      </w:r>
    </w:p>
    <w:p>
      <w:pPr>
        <w:pStyle w:val="FirstParagraph"/>
      </w:pPr>
      <w:r>
        <w:t xml:space="preserve">Once registered, OpenPatent’s core tools become available through the Hermes conversational interface — the unified chat layer accessible across all CSOAI .ai domains. A developer on</w:t>
      </w:r>
      <w:r>
        <w:t xml:space="preserve"> </w:t>
      </w:r>
      <w:r>
        <w:rPr>
          <w:rStyle w:val="VerbatimChar"/>
        </w:rPr>
        <w:t xml:space="preserve">haulage.app</w:t>
      </w:r>
      <w:r>
        <w:t xml:space="preserve"> </w:t>
      </w:r>
      <w:r>
        <w:t xml:space="preserve">can type</w:t>
      </w:r>
      <w:r>
        <w:t xml:space="preserve"> </w:t>
      </w:r>
      <w:r>
        <w:t xml:space="preserve">“</w:t>
      </w:r>
      <w:r>
        <w:t xml:space="preserve">disclose my load-balancing algorithm</w:t>
      </w:r>
      <w:r>
        <w:t xml:space="preserve">”</w:t>
      </w:r>
      <w:r>
        <w:t xml:space="preserve"> </w:t>
      </w:r>
      <w:r>
        <w:t xml:space="preserve">and Hermes resolves the intent to</w:t>
      </w:r>
      <w:r>
        <w:t xml:space="preserve"> </w:t>
      </w:r>
      <w:r>
        <w:rPr>
          <w:rStyle w:val="VerbatimChar"/>
        </w:rPr>
        <w:t xml:space="preserve">openpatent-mcp</w:t>
      </w:r>
      <w:r>
        <w:t xml:space="preserve">, extracts codebase context through</w:t>
      </w:r>
      <w:r>
        <w:t xml:space="preserve"> </w:t>
      </w:r>
      <w:r>
        <w:rPr>
          <w:rStyle w:val="VerbatimChar"/>
        </w:rPr>
        <w:t xml:space="preserve">code-analysis-mcp</w:t>
      </w:r>
      <w:r>
        <w:t xml:space="preserve">, and returns a disclosure draft within seconds[^4^]. Hermes’s intent-router maps utterances to MCP tool calls through a fine-tuned classification model with 94.7% accuracy across the existing 62-server ecosystem[^1^].</w:t>
      </w:r>
    </w:p>
    <w:p>
      <w:pPr>
        <w:pStyle w:val="BodyText"/>
      </w:pPr>
      <w:r>
        <w:t xml:space="preserve">Phase 1 exposes three tools:</w:t>
      </w:r>
      <w:r>
        <w:t xml:space="preserve"> </w:t>
      </w:r>
      <w:r>
        <w:rPr>
          <w:rStyle w:val="VerbatimChar"/>
        </w:rPr>
        <w:t xml:space="preserve">disclose_invention</w:t>
      </w:r>
      <w:r>
        <w:t xml:space="preserve">,</w:t>
      </w:r>
      <w:r>
        <w:t xml:space="preserve"> </w:t>
      </w:r>
      <w:r>
        <w:rPr>
          <w:rStyle w:val="VerbatimChar"/>
        </w:rPr>
        <w:t xml:space="preserve">verify_disclosure</w:t>
      </w:r>
      <w:r>
        <w:t xml:space="preserve">, and</w:t>
      </w:r>
      <w:r>
        <w:t xml:space="preserve"> </w:t>
      </w:r>
      <w:r>
        <w:rPr>
          <w:rStyle w:val="VerbatimChar"/>
        </w:rPr>
        <w:t xml:space="preserve">search_prior_art</w:t>
      </w:r>
      <w:r>
        <w:t xml:space="preserve">. The AI-dependent tools —</w:t>
      </w:r>
      <w:r>
        <w:t xml:space="preserve"> </w:t>
      </w:r>
      <w:r>
        <w:rPr>
          <w:rStyle w:val="VerbatimChar"/>
        </w:rPr>
        <w:t xml:space="preserve">draft_patent_claims</w:t>
      </w:r>
      <w:r>
        <w:t xml:space="preserve"> </w:t>
      </w:r>
      <w:r>
        <w:t xml:space="preserve">and</w:t>
      </w:r>
      <w:r>
        <w:t xml:space="preserve"> </w:t>
      </w:r>
      <w:r>
        <w:rPr>
          <w:rStyle w:val="VerbatimChar"/>
        </w:rPr>
        <w:t xml:space="preserve">auto_disclose_work</w:t>
      </w:r>
      <w:r>
        <w:t xml:space="preserve"> </w:t>
      </w:r>
      <w:r>
        <w:t xml:space="preserve">— remain disabled pending OpenMOE.ai prompt-safety validation. The Hermes chat layer logs all invocations to the AuditChain with Ed25519 signatures, creating tamper-evident records for legal admissibility under FRE 902(13)[^5^].</w:t>
      </w:r>
    </w:p>
    <w:bookmarkEnd w:id="115"/>
    <w:bookmarkStart w:id="116" w:name="did-resolution-and-identity-binding"/>
    <w:p>
      <w:pPr>
        <w:pStyle w:val="Heading4"/>
      </w:pPr>
      <w:r>
        <w:t xml:space="preserve">8.1.3 DID Resolution and Identity Binding</w:t>
      </w:r>
    </w:p>
    <w:p>
      <w:pPr>
        <w:pStyle w:val="FirstParagraph"/>
      </w:pPr>
      <w:r>
        <w:t xml:space="preserve">Phase 1 completes by connecting PatentMCP’s cryptographic engine to Hermes’s decentralized identity system. Every CSOAI user and agent possesses a DID — a self-sovereign identifier resolvable to Ed25519 public keys and linked credentials[^6^]. The</w:t>
      </w:r>
      <w:r>
        <w:t xml:space="preserve"> </w:t>
      </w:r>
      <w:r>
        <w:rPr>
          <w:rStyle w:val="VerbatimChar"/>
        </w:rPr>
        <w:t xml:space="preserve">disclose_invention</w:t>
      </w:r>
      <w:r>
        <w:t xml:space="preserve"> </w:t>
      </w:r>
      <w:r>
        <w:t xml:space="preserve">tool accepts a DID string and resolves the signing key through Hermes’s DID resolver, ensuring that inventor signatures are cryptographically tied to the ecosystem’s identity layer. A disclosure signed by</w:t>
      </w:r>
      <w:r>
        <w:t xml:space="preserve"> </w:t>
      </w:r>
      <w:r>
        <w:rPr>
          <w:rStyle w:val="VerbatimChar"/>
        </w:rPr>
        <w:t xml:space="preserve">did:csoai:alice</w:t>
      </w:r>
      <w:r>
        <w:t xml:space="preserve"> </w:t>
      </w:r>
      <w:r>
        <w:t xml:space="preserve">on</w:t>
      </w:r>
      <w:r>
        <w:t xml:space="preserve"> </w:t>
      </w:r>
      <w:r>
        <w:rPr>
          <w:rStyle w:val="VerbatimChar"/>
        </w:rPr>
        <w:t xml:space="preserve">haulage.app</w:t>
      </w:r>
      <w:r>
        <w:t xml:space="preserve"> </w:t>
      </w:r>
      <w:r>
        <w:t xml:space="preserve">can be verified on</w:t>
      </w:r>
      <w:r>
        <w:t xml:space="preserve"> </w:t>
      </w:r>
      <w:r>
        <w:rPr>
          <w:rStyle w:val="VerbatimChar"/>
        </w:rPr>
        <w:t xml:space="preserve">grabhire.ai</w:t>
      </w:r>
      <w:r>
        <w:t xml:space="preserve"> </w:t>
      </w:r>
      <w:r>
        <w:t xml:space="preserve">without key exchange or platform-specific authentication.</w:t>
      </w:r>
    </w:p>
    <w:p>
      <w:pPr>
        <w:pStyle w:val="BodyText"/>
      </w:pPr>
      <w:r>
        <w:t xml:space="preserve">The DID integration also enables agent-authored disclosures. Each BFT Council agent possesses its own DID, and disclosures from the</w:t>
      </w:r>
      <w:r>
        <w:t xml:space="preserve"> </w:t>
      </w:r>
      <w:r>
        <w:rPr>
          <w:rStyle w:val="VerbatimChar"/>
        </w:rPr>
        <w:t xml:space="preserve">auto_disclose_work</w:t>
      </w:r>
      <w:r>
        <w:t xml:space="preserve"> </w:t>
      </w:r>
      <w:r>
        <w:t xml:space="preserve">pipeline carry dual signatures — the developer’s DID (human authorship) and the orchestrating agent’s DID (machine witnessing). This addresses the Thaler v. Vidal precedent’s requirement that human inventors retain primary attribution while acknowledging AI-assisted generation[^7^].</w:t>
      </w:r>
    </w:p>
    <w:bookmarkEnd w:id="116"/>
    <w:bookmarkEnd w:id="117"/>
    <w:bookmarkStart w:id="121" w:name="phase-2-workflow-automation-month-34"/>
    <w:p>
      <w:pPr>
        <w:pStyle w:val="Heading3"/>
      </w:pPr>
      <w:r>
        <w:t xml:space="preserve">8.2 Phase 2: Workflow Automation (Month 3–4)</w:t>
      </w:r>
    </w:p>
    <w:bookmarkStart w:id="118" w:name="multi-step-patent-workflows"/>
    <w:p>
      <w:pPr>
        <w:pStyle w:val="Heading4"/>
      </w:pPr>
      <w:r>
        <w:t xml:space="preserve">8.2.1 Multi-Step Patent Workflows</w:t>
      </w:r>
    </w:p>
    <w:p>
      <w:pPr>
        <w:pStyle w:val="FirstParagraph"/>
      </w:pPr>
      <w:r>
        <w:t xml:space="preserve">Phase 2 transforms isolated tool invocations into automated workflows: Auto-detect → Draft → Review → Disclose → Verify. The Hermes workflow engine sequences these steps with conditional branching, human approval gates, and automatic rollback[^2^]. Triggers include code commits (via</w:t>
      </w:r>
      <w:r>
        <w:t xml:space="preserve"> </w:t>
      </w:r>
      <w:r>
        <w:rPr>
          <w:rStyle w:val="VerbatimChar"/>
        </w:rPr>
        <w:t xml:space="preserve">code-analysis-mcp</w:t>
      </w:r>
      <w:r>
        <w:t xml:space="preserve">), documentation updates (via</w:t>
      </w:r>
      <w:r>
        <w:t xml:space="preserve"> </w:t>
      </w:r>
      <w:r>
        <w:rPr>
          <w:rStyle w:val="VerbatimChar"/>
        </w:rPr>
        <w:t xml:space="preserve">documentation-mcp</w:t>
      </w:r>
      <w:r>
        <w:t xml:space="preserve">), and explicit human requests through the chat interface.</w:t>
      </w:r>
    </w:p>
    <w:p>
      <w:pPr>
        <w:pStyle w:val="BodyText"/>
      </w:pPr>
      <w:r>
        <w:t xml:space="preserve">When triggered,</w:t>
      </w:r>
      <w:r>
        <w:t xml:space="preserve"> </w:t>
      </w:r>
      <w:r>
        <w:rPr>
          <w:rStyle w:val="VerbatimChar"/>
        </w:rPr>
        <w:t xml:space="preserve">auto_disclose_work</w:t>
      </w:r>
      <w:r>
        <w:t xml:space="preserve"> </w:t>
      </w:r>
      <w:r>
        <w:t xml:space="preserve">scans for novel patterns and conditionally invokes</w:t>
      </w:r>
      <w:r>
        <w:t xml:space="preserve"> </w:t>
      </w:r>
      <w:r>
        <w:rPr>
          <w:rStyle w:val="VerbatimChar"/>
        </w:rPr>
        <w:t xml:space="preserve">draft_patent_claims</w:t>
      </w:r>
      <w:r>
        <w:t xml:space="preserve"> </w:t>
      </w:r>
      <w:r>
        <w:t xml:space="preserve">if novelty scores exceed the default threshold of 75. Drafts route to a human review gate; approved bundles proceed to</w:t>
      </w:r>
      <w:r>
        <w:t xml:space="preserve"> </w:t>
      </w:r>
      <w:r>
        <w:rPr>
          <w:rStyle w:val="VerbatimChar"/>
        </w:rPr>
        <w:t xml:space="preserve">disclose_invention</w:t>
      </w:r>
      <w:r>
        <w:t xml:space="preserve"> </w:t>
      </w:r>
      <w:r>
        <w:t xml:space="preserve">for cryptographic processing. The average latency from commit to disclosure — excluding human review — targets under eight minutes. Bitcoin anchoring remains asynchronous at ~60 minutes, but all other layers execute in sequence within seconds.</w:t>
      </w:r>
    </w:p>
    <w:bookmarkEnd w:id="118"/>
    <w:bookmarkStart w:id="119" w:name="Xe94efa7a53aa6ed46f1d974397d272352c09e7f"/>
    <w:p>
      <w:pPr>
        <w:pStyle w:val="Heading4"/>
      </w:pPr>
      <w:r>
        <w:t xml:space="preserve">8.2.2 BFT Council Integration for Invention Review</w:t>
      </w:r>
    </w:p>
    <w:p>
      <w:pPr>
        <w:pStyle w:val="FirstParagraph"/>
      </w:pPr>
      <w:r>
        <w:t xml:space="preserve">High-value disclosures scoring above 85 on the novelty index, or those involving cryptographic inventions, escalate automatically to the 33-agent BFT Council. The council operates on a pBFT protocol requiring 22 of 33 concurrences for approval[^1^]. Each agent evaluates along three dimensions: patentability (novelty and non-obviousness), ecosystem relevance (competitive positioning), and legal risk (inadvertent trade secret disclosure).</w:t>
      </w:r>
    </w:p>
    <w:p>
      <w:pPr>
        <w:pStyle w:val="BodyText"/>
      </w:pPr>
      <w:r>
        <w:t xml:space="preserve">Council review adds 2–4 hours but provides two critical functions. First, it generates a structured review record strengthening legal defensibility — demonstrating expert evaluation before publication, a factor courts weigh when assessing good-faith prior art creation[^8^]. Second, the consensus vote determines disclosure tier: standard defensive publication ($10) or full disclosure with AI-drafted claims ($50). Disclosures failing review (fewer than 22 votes) return to the inventor with feedback rather than publishing potentially patentable inventions.</w:t>
      </w:r>
    </w:p>
    <w:bookmarkEnd w:id="119"/>
    <w:bookmarkStart w:id="120" w:name="cross-platform-deployment"/>
    <w:p>
      <w:pPr>
        <w:pStyle w:val="Heading4"/>
      </w:pPr>
      <w:r>
        <w:t xml:space="preserve">8.2.3 Cross-Platform Deployment</w:t>
      </w:r>
    </w:p>
    <w:p>
      <w:pPr>
        <w:pStyle w:val="FirstParagraph"/>
      </w:pPr>
      <w:r>
        <w:t xml:space="preserve">Phase 2 extends OpenPatent availability to all CSOAI .ai domains and 15 Industry Power Packs. Each domain receives patent templates and classification ontologies matched to its vertical — construction equipment classifications (E02F, B60P) on</w:t>
      </w:r>
      <w:r>
        <w:t xml:space="preserve"> </w:t>
      </w:r>
      <w:r>
        <w:rPr>
          <w:rStyle w:val="VerbatimChar"/>
        </w:rPr>
        <w:t xml:space="preserve">muckaway.ai</w:t>
      </w:r>
      <w:r>
        <w:t xml:space="preserve">, financial technology classifications (G06Q, H04L) on Banking BFSI Power Packs[^4^].</w:t>
      </w:r>
    </w:p>
    <w:p>
      <w:pPr>
        <w:pStyle w:val="BodyText"/>
      </w:pPr>
      <w:r>
        <w:t xml:space="preserve">Cross-platform deployment uses Hermes’s A2A (Agent-to-Agent) protocol. When a disclosure originates on</w:t>
      </w:r>
      <w:r>
        <w:t xml:space="preserve"> </w:t>
      </w:r>
      <w:r>
        <w:rPr>
          <w:rStyle w:val="VerbatimChar"/>
        </w:rPr>
        <w:t xml:space="preserve">haulage.app</w:t>
      </w:r>
      <w:r>
        <w:t xml:space="preserve">, A2A propagates metadata — title, classification, truncated hash, timestamp — to the central registry without transmitting the full invention document. The A2A protocol handles 2.4 million inter-agent messages daily with delivery guarantees and cryptographic attestation[^1^].</w:t>
      </w:r>
    </w:p>
    <w:bookmarkEnd w:id="120"/>
    <w:bookmarkEnd w:id="121"/>
    <w:bookmarkStart w:id="125" w:name="phase-3-ecosystem-intelligence-month-56"/>
    <w:p>
      <w:pPr>
        <w:pStyle w:val="Heading3"/>
      </w:pPr>
      <w:r>
        <w:t xml:space="preserve">8.3 Phase 3: Ecosystem Intelligence (Month 5–6)</w:t>
      </w:r>
    </w:p>
    <w:bookmarkStart w:id="122" w:name="global-prior-art-dashboard"/>
    <w:p>
      <w:pPr>
        <w:pStyle w:val="Heading4"/>
      </w:pPr>
      <w:r>
        <w:t xml:space="preserve">8.3.1 Global Prior Art Dashboard</w:t>
      </w:r>
    </w:p>
    <w:p>
      <w:pPr>
        <w:pStyle w:val="FirstParagraph"/>
      </w:pPr>
      <w:r>
        <w:t xml:space="preserve">Phase 3 introduces the Global Prior Art Dashboard — a real-time visualization of all registry disclosures rendered as geolocated nodes on the DeFoneos Horus 3D globe, with filter layers for technology category, industry vertical, disclosure type, and time range[^9^]. The dashboard serves inventors exploring the prior art landscape visually — identifying dense disclosure clusters and whitespace opportunities — and provides ecosystem leadership with innovation velocity metrics: disclosures per week by vertical, average novelty scores, council approval rates, and geographic distribution.</w:t>
      </w:r>
    </w:p>
    <w:bookmarkEnd w:id="122"/>
    <w:bookmarkStart w:id="123" w:name="predictive-alert-system"/>
    <w:p>
      <w:pPr>
        <w:pStyle w:val="Heading4"/>
      </w:pPr>
      <w:r>
        <w:t xml:space="preserve">8.3.2 Predictive Alert System</w:t>
      </w:r>
    </w:p>
    <w:p>
      <w:pPr>
        <w:pStyle w:val="FirstParagraph"/>
      </w:pPr>
      <w:r>
        <w:t xml:space="preserve">The alert system monitors USPTO, EPO, and CNIPA filings — the three largest offices representing 78% of global patent applications — and notifies members when published applications overlap with their disclosures[^10^]. The system queries the USPTO Patent Public Search API (weekly), EPO Open Patent Services (daily), and CNIPA patent gazette (monthly)[^11^].</w:t>
      </w:r>
    </w:p>
    <w:p>
      <w:pPr>
        <w:pStyle w:val="BodyText"/>
      </w:pPr>
      <w:r>
        <w:t xml:space="preserve">Alerts trigger at three severity levels.</w:t>
      </w:r>
      <w:r>
        <w:t xml:space="preserve"> </w:t>
      </w:r>
      <w:r>
        <w:rPr>
          <w:bCs/>
          <w:b/>
        </w:rPr>
        <w:t xml:space="preserve">Watch</w:t>
      </w:r>
      <w:r>
        <w:t xml:space="preserve"> </w:t>
      </w:r>
      <w:r>
        <w:t xml:space="preserve">fires at 60% keyword similarity, advising monitoring.</w:t>
      </w:r>
      <w:r>
        <w:t xml:space="preserve"> </w:t>
      </w:r>
      <w:r>
        <w:rPr>
          <w:bCs/>
          <w:b/>
        </w:rPr>
        <w:t xml:space="preserve">Warning</w:t>
      </w:r>
      <w:r>
        <w:t xml:space="preserve"> </w:t>
      </w:r>
      <w:r>
        <w:t xml:space="preserve">fires at 80%, recommending legal review.</w:t>
      </w:r>
      <w:r>
        <w:t xml:space="preserve"> </w:t>
      </w:r>
      <w:r>
        <w:rPr>
          <w:bCs/>
          <w:b/>
        </w:rPr>
        <w:t xml:space="preserve">Critical</w:t>
      </w:r>
      <w:r>
        <w:t xml:space="preserve"> </w:t>
      </w:r>
      <w:r>
        <w:t xml:space="preserve">fires at 95%, indicating probable duplicate filing where the OpenPatent disclosure may constitute antedating prior art. The system processes ~12,000 new applications daily across the three offices using vector embeddings for semantic matching[^12^].</w:t>
      </w:r>
    </w:p>
    <w:bookmarkEnd w:id="123"/>
    <w:bookmarkStart w:id="124" w:name="revenue-settlement-via-x402"/>
    <w:p>
      <w:pPr>
        <w:pStyle w:val="Heading4"/>
      </w:pPr>
      <w:r>
        <w:t xml:space="preserve">8.3.3 Revenue Settlement via x402</w:t>
      </w:r>
    </w:p>
    <w:p>
      <w:pPr>
        <w:pStyle w:val="FirstParagraph"/>
      </w:pPr>
      <w:r>
        <w:t xml:space="preserve">Phase 3 routes OpenPatent PAYG revenue through the Hermes x402 payment protocol, which processes 2.3 million agent-to-agent transactions monthly[^2^]. A $10 defensive disclosure atomically splits payment: 60% ($6) to the OpenPatent operational treasury, 25% ($2.50) to the Hermes infrastructure pool, and 15% ($1.50) to the BFT Council reward pool distributed among 33 review agents by participation frequency[^3^]. Settlement executes in under three seconds on Polygon PoS, with transaction hashes recorded in the AuditChain for transparent tracking.</w:t>
      </w:r>
    </w:p>
    <w:p>
      <w:pPr>
        <w:pStyle w:val="BodyText"/>
      </w:pPr>
      <w:r>
        <w:t xml:space="preserve">The following table summarizes the complete integration roadmap:</w:t>
      </w:r>
    </w:p>
    <w:tbl>
      <w:tblPr>
        <w:tblStyle w:val="Table"/>
        <w:tblW w:type="pct" w:w="5000"/>
        <w:tblLook w:firstRow="1" w:lastRow="0" w:firstColumn="0" w:lastColumn="0" w:noHBand="0" w:noVBand="0" w:val="0020"/>
      </w:tblPr>
      <w:tblGrid>
        <w:gridCol w:w="759"/>
        <w:gridCol w:w="1084"/>
        <w:gridCol w:w="1410"/>
        <w:gridCol w:w="2386"/>
        <w:gridCol w:w="2278"/>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Hermes Component Used</w:t>
            </w:r>
          </w:p>
        </w:tc>
        <w:tc>
          <w:tcPr/>
          <w:p>
            <w:pPr>
              <w:pStyle w:val="Compact"/>
              <w:jc w:val="left"/>
            </w:pPr>
            <w:r>
              <w:t xml:space="preserve">Cross-Cutting Impact</w:t>
            </w:r>
          </w:p>
        </w:tc>
      </w:tr>
      <w:tr>
        <w:tc>
          <w:tcPr/>
          <w:p>
            <w:pPr>
              <w:pStyle w:val="Compact"/>
              <w:jc w:val="left"/>
            </w:pPr>
            <w:r>
              <w:rPr>
                <w:bCs/>
                <w:b/>
              </w:rPr>
              <w:t xml:space="preserve">Phase 1: Foundation</w:t>
            </w:r>
          </w:p>
        </w:tc>
        <w:tc>
          <w:tcPr/>
          <w:p>
            <w:pPr>
              <w:pStyle w:val="Compact"/>
              <w:jc w:val="left"/>
            </w:pPr>
            <w:r>
              <w:t xml:space="preserve">Month 1–2</w:t>
            </w:r>
          </w:p>
        </w:tc>
        <w:tc>
          <w:tcPr/>
          <w:p>
            <w:pPr>
              <w:pStyle w:val="Compact"/>
              <w:jc w:val="left"/>
            </w:pPr>
            <w:r>
              <w:rPr>
                <w:rStyle w:val="VerbatimChar"/>
              </w:rPr>
              <w:t xml:space="preserve">openpatent-mcp</w:t>
            </w:r>
            <w:r>
              <w:t xml:space="preserve"> </w:t>
            </w:r>
            <w:r>
              <w:t xml:space="preserve">registry deployment; single-tool chat invocation (disclose, verify, search); DID identity binding</w:t>
            </w:r>
          </w:p>
        </w:tc>
        <w:tc>
          <w:tcPr/>
          <w:p>
            <w:pPr>
              <w:pStyle w:val="Compact"/>
              <w:jc w:val="left"/>
            </w:pPr>
            <w:r>
              <w:t xml:space="preserve">MCP registry; intent-router; DID resolver</w:t>
            </w:r>
          </w:p>
        </w:tc>
        <w:tc>
          <w:tcPr/>
          <w:p>
            <w:pPr>
              <w:pStyle w:val="Compact"/>
              <w:jc w:val="left"/>
            </w:pPr>
            <w:r>
              <w:t xml:space="preserve">All 28 hives gain patent tool access; inventors use existing DIDs</w:t>
            </w:r>
          </w:p>
        </w:tc>
      </w:tr>
      <w:tr>
        <w:tc>
          <w:tcPr/>
          <w:p>
            <w:pPr>
              <w:pStyle w:val="Compact"/>
              <w:jc w:val="left"/>
            </w:pPr>
            <w:r>
              <w:rPr>
                <w:bCs/>
                <w:b/>
              </w:rPr>
              <w:t xml:space="preserve">Phase 2: Automation</w:t>
            </w:r>
          </w:p>
        </w:tc>
        <w:tc>
          <w:tcPr/>
          <w:p>
            <w:pPr>
              <w:pStyle w:val="Compact"/>
              <w:jc w:val="left"/>
            </w:pPr>
            <w:r>
              <w:t xml:space="preserve">Month 3–4</w:t>
            </w:r>
          </w:p>
        </w:tc>
        <w:tc>
          <w:tcPr/>
          <w:p>
            <w:pPr>
              <w:pStyle w:val="Compact"/>
              <w:jc w:val="left"/>
            </w:pPr>
            <w:r>
              <w:t xml:space="preserve">Multi-step Auto-detect→Draft→Review→Disclose→Verify workflows; BFT Council review escalation; cross-platform deployment to .ai domains and Industry Power Packs</w:t>
            </w:r>
          </w:p>
        </w:tc>
        <w:tc>
          <w:tcPr/>
          <w:p>
            <w:pPr>
              <w:pStyle w:val="Compact"/>
              <w:jc w:val="left"/>
            </w:pPr>
            <w:r>
              <w:t xml:space="preserve">Workflow engine; BFT Council (33 agents); A2A protocol</w:t>
            </w:r>
          </w:p>
        </w:tc>
        <w:tc>
          <w:tcPr/>
          <w:p>
            <w:pPr>
              <w:pStyle w:val="Compact"/>
              <w:jc w:val="left"/>
            </w:pPr>
            <w:r>
              <w:t xml:space="preserve">15 Industry Power Packs get domain-specific patent templates; pBFT review for high-value disclosures</w:t>
            </w:r>
          </w:p>
        </w:tc>
      </w:tr>
      <w:tr>
        <w:tc>
          <w:tcPr/>
          <w:p>
            <w:pPr>
              <w:pStyle w:val="Compact"/>
              <w:jc w:val="left"/>
            </w:pPr>
            <w:r>
              <w:rPr>
                <w:bCs/>
                <w:b/>
              </w:rPr>
              <w:t xml:space="preserve">Phase 3: Intelligence</w:t>
            </w:r>
          </w:p>
        </w:tc>
        <w:tc>
          <w:tcPr/>
          <w:p>
            <w:pPr>
              <w:pStyle w:val="Compact"/>
              <w:jc w:val="left"/>
            </w:pPr>
            <w:r>
              <w:t xml:space="preserve">Month 5–6</w:t>
            </w:r>
          </w:p>
        </w:tc>
        <w:tc>
          <w:tcPr/>
          <w:p>
            <w:pPr>
              <w:pStyle w:val="Compact"/>
              <w:jc w:val="left"/>
            </w:pPr>
            <w:r>
              <w:t xml:space="preserve">Global prior art dashboard (Horus 3D globe); USPTO/EPO/CNIPA predictive alerts; x402 revenue sharing (60/25/15 split)</w:t>
            </w:r>
          </w:p>
        </w:tc>
        <w:tc>
          <w:tcPr/>
          <w:p>
            <w:pPr>
              <w:pStyle w:val="Compact"/>
              <w:jc w:val="left"/>
            </w:pPr>
            <w:r>
              <w:t xml:space="preserve">Horus visualization; Alert router; x402 micropayment protocol</w:t>
            </w:r>
          </w:p>
        </w:tc>
        <w:tc>
          <w:tcPr/>
          <w:p>
            <w:pPr>
              <w:pStyle w:val="Compact"/>
              <w:jc w:val="left"/>
            </w:pPr>
            <w:r>
              <w:t xml:space="preserve">Real-time prior art intelligence; transparent agent revenue distribution</w:t>
            </w:r>
          </w:p>
        </w:tc>
      </w:tr>
    </w:tbl>
    <w:p>
      <w:pPr>
        <w:pStyle w:val="BodyText"/>
      </w:pPr>
      <w:r>
        <w:rPr>
          <w:iCs/>
          <w:i/>
        </w:rPr>
        <w:t xml:space="preserve">Table: Six-month Hermes integration roadmap with phase boundaries, core deliverables, underlying Hermes infrastructure components, and ecosystem-wide impact metrics.</w:t>
      </w:r>
    </w:p>
    <w:p>
      <w:pPr>
        <w:pStyle w:val="BodyText"/>
      </w:pPr>
      <w:r>
        <w:t xml:space="preserve">The table reveals a deliberate sequencing that prioritizes infrastructure stability before intelligence. Phase 1 establishes cryptographic identity and tool availability — the foundation without which automated workflows lack legal validity. Phase 2 adds automation and governance — the workflow engine and BFT Council that scale throughput without sacrificing oversight. Phase 3 introduces data products and economic closure — the dashboard and alert system that transform disclosures into actionable intelligence, and the revenue-sharing protocol ensuring sustainable operation. This three-phase structure mirrors Hermes’s own deployment history, where the mesh stabilized over 18 months before intelligence layers were added, reducing critical production incidents by 73% compared to simultaneous rollouts[^1^].</w:t>
      </w:r>
    </w:p>
    <w:p>
      <w:pPr>
        <w:pStyle w:val="BodyText"/>
      </w:pPr>
      <w:r>
        <w:t xml:space="preserve">The integration’s success metric is straightforward: by Month 6, any developer on any CSOAI domain can disclose an invention, verify a prior disclosure, or search the global prior art registry without leaving their primary workspace. Hermes abstracts the nine-tool</w:t>
      </w:r>
      <w:r>
        <w:t xml:space="preserve"> </w:t>
      </w:r>
      <w:r>
        <w:rPr>
          <w:rStyle w:val="VerbatimChar"/>
        </w:rPr>
        <w:t xml:space="preserve">openpatent-mcp</w:t>
      </w:r>
      <w:r>
        <w:t xml:space="preserve"> </w:t>
      </w:r>
      <w:r>
        <w:t xml:space="preserve">server, four dependent MCP servers, 33-agent council, and dual-blockchain infrastructure into a single conversational interface. The technical complexity remains — SHA-3/512 hashing, Ed25519 signatures, Bitcoin anchoring, pBFT consensus — but the user experience collapses to a single sentence:</w:t>
      </w:r>
      <w:r>
        <w:t xml:space="preserve"> </w:t>
      </w:r>
      <w:r>
        <w:t xml:space="preserve">“</w:t>
      </w:r>
      <w:r>
        <w:t xml:space="preserve">Protect this idea.</w:t>
      </w:r>
      <w:r>
        <w:t xml:space="preserve">”</w:t>
      </w:r>
    </w:p>
    <w:p>
      <w:r>
        <w:pict>
          <v:rect style="width:0;height:1.5pt" o:hralign="center" o:hrstd="t" o:hr="t"/>
        </w:pict>
      </w:r>
    </w:p>
    <w:bookmarkEnd w:id="124"/>
    <w:bookmarkEnd w:id="125"/>
    <w:bookmarkEnd w:id="126"/>
    <w:bookmarkStart w:id="139" w:name="implementation-timeline-go-to-market"/>
    <w:p>
      <w:pPr>
        <w:pStyle w:val="Heading2"/>
      </w:pPr>
      <w:r>
        <w:t xml:space="preserve">9. Implementation Timeline &amp; Go-to-Market</w:t>
      </w:r>
    </w:p>
    <w:bookmarkStart w:id="131" w:name="day-launch-plan"/>
    <w:p>
      <w:pPr>
        <w:pStyle w:val="Heading3"/>
      </w:pPr>
      <w:r>
        <w:t xml:space="preserve">9.1 90-Day Launch Plan</w:t>
      </w:r>
    </w:p>
    <w:bookmarkStart w:id="127" w:name="phase-i-foundation-weeks-12"/>
    <w:p>
      <w:pPr>
        <w:pStyle w:val="Heading4"/>
      </w:pPr>
      <w:r>
        <w:t xml:space="preserve">9.1.1 Phase I: Foundation (Weeks 1–2)</w:t>
      </w:r>
    </w:p>
    <w:p>
      <w:pPr>
        <w:pStyle w:val="FirstParagraph"/>
      </w:pPr>
      <w:r>
        <w:t xml:space="preserve">Day one: purchase openpatent.ai ($160/two-year) and configure Cloudflare DNS with edge caching[^1^]. Days two through five: fork erdalbektas/OpenPatent (25 stars, MIT license, 348MB TypeScript/Bun) and audit the six-agent architecture to identify PatentMCP disclosure trigger points[^2^]. The fork adds a</w:t>
      </w:r>
      <w:r>
        <w:t xml:space="preserve"> </w:t>
      </w:r>
      <w:r>
        <w:rPr>
          <w:rStyle w:val="VerbatimChar"/>
        </w:rPr>
        <w:t xml:space="preserve">patentmcp-disclose</w:t>
      </w:r>
      <w:r>
        <w:t xml:space="preserve"> </w:t>
      </w:r>
      <w:r>
        <w:t xml:space="preserve">plugin at claim-drafting completion while preserving upstream MIT attribution. Days six through ten: scaffold CI/CD on existing Vercel/GitHub infrastructure (100+ repos deployed), with GitHub Actions running PatentMCP’s 24 tests on every pull request[^3^]. Days eleven through fourteen: deploy the 2,900-line Python backend to Railway/Render, verifying the six-layer cryptographic pipeline (SHA-3/512 → HMAC → Ed25519 → Bitcoin OTS → C2PA → hash-chain) on testnet[^4^].</w:t>
      </w:r>
    </w:p>
    <w:p>
      <w:pPr>
        <w:pStyle w:val="BodyText"/>
      </w:pPr>
      <w:r>
        <w:t xml:space="preserve">This assumes full-time execution with agent-swarm assistance. A 2025 analysis of 1,000 micro-SaaS businesses found full-time founders progress three to four times faster than ten-hour-per-week builders[^5^]. Given pre-built infrastructure and a tested PatentMCP backend, the two-week foundation is achievable but tight — delay in the OpenPatent fork audit cascades into Phase II.</w:t>
      </w:r>
    </w:p>
    <w:bookmarkEnd w:id="127"/>
    <w:bookmarkStart w:id="128" w:name="phase-ii-integration-weeks-34"/>
    <w:p>
      <w:pPr>
        <w:pStyle w:val="Heading4"/>
      </w:pPr>
      <w:r>
        <w:t xml:space="preserve">9.1.2 Phase II: Integration (Weeks 3–4)</w:t>
      </w:r>
    </w:p>
    <w:p>
      <w:pPr>
        <w:pStyle w:val="FirstParagraph"/>
      </w:pPr>
      <w:r>
        <w:t xml:space="preserve">The critical-path task: connect PatentMCP’s FastMCP backend to OpenPatent’s Bun 1.3+ frontend via a</w:t>
      </w:r>
      <w:r>
        <w:t xml:space="preserve"> </w:t>
      </w:r>
      <w:r>
        <w:rPr>
          <w:rStyle w:val="VerbatimChar"/>
        </w:rPr>
        <w:t xml:space="preserve">DisclosureButton</w:t>
      </w:r>
      <w:r>
        <w:t xml:space="preserve"> </w:t>
      </w:r>
      <w:r>
        <w:t xml:space="preserve">component that serializes drafted documents into PatentMCP’s</w:t>
      </w:r>
      <w:r>
        <w:t xml:space="preserve"> </w:t>
      </w:r>
      <w:r>
        <w:rPr>
          <w:rStyle w:val="VerbatimChar"/>
        </w:rPr>
        <w:t xml:space="preserve">document_bytes</w:t>
      </w:r>
      <w:r>
        <w:t xml:space="preserve"> </w:t>
      </w:r>
      <w:r>
        <w:t xml:space="preserve">payload[^6^]. The MVP must support three flows: (1) draft → disclose → verify, (2) upload → disclose → verify, and (3) search prior art. This is the highest-risk phase — TypeScript/Python API contract mismatches, CORS errors on Vercel edge functions, and Elasticsearch latency are the failure modes that kill two-week integration sprints[^7^]. The mitigation: ship disclose→verify first, accepting a read-only prior-art search with seed data, then enhance search in Phase III.</w:t>
      </w:r>
    </w:p>
    <w:bookmarkEnd w:id="128"/>
    <w:bookmarkStart w:id="129" w:name="phase-iii-growth-stack-weeks-58"/>
    <w:p>
      <w:pPr>
        <w:pStyle w:val="Heading4"/>
      </w:pPr>
      <w:r>
        <w:t xml:space="preserve">9.1.3 Phase III: Growth Stack (Weeks 5–8)</w:t>
      </w:r>
    </w:p>
    <w:p>
      <w:pPr>
        <w:pStyle w:val="FirstParagraph"/>
      </w:pPr>
      <w:r>
        <w:t xml:space="preserve">The landing page (</w:t>
      </w:r>
      <w:r>
        <w:t xml:space="preserve">“</w:t>
      </w:r>
      <w:r>
        <w:t xml:space="preserve">Protect Your Ideas. Open Source. Permanently.</w:t>
      </w:r>
      <w:r>
        <w:t xml:space="preserve">”</w:t>
      </w:r>
      <w:r>
        <w:t xml:space="preserve">) deploys with a live verification demo, four-step disclosure animation, and transparent PAYG pricing[^8^]. Payment processing uses x402 micropayments — a $10 DEFENSIVE disclosure costs $0.01–$0.05 in fees versus $0.59 via Stripe’s 2.9% + $0.30 minimum[^9^]. The user dashboard shows disclosure history, verification status, and downloadable proof packages. Prior art search shifts from seed data to live Elasticsearch indexing with IPC/CPC filters. Weeks seven and eight publish the MCP server spec (</w:t>
      </w:r>
      <w:r>
        <w:rPr>
          <w:rStyle w:val="VerbatimChar"/>
        </w:rPr>
        <w:t xml:space="preserve">patentmcp.disclose</w:t>
      </w:r>
      <w:r>
        <w:t xml:space="preserve">,</w:t>
      </w:r>
      <w:r>
        <w:t xml:space="preserve"> </w:t>
      </w:r>
      <w:r>
        <w:rPr>
          <w:rStyle w:val="VerbatimChar"/>
        </w:rPr>
        <w:t xml:space="preserve">patentmcp.verify</w:t>
      </w:r>
      <w:r>
        <w:t xml:space="preserve">,</w:t>
      </w:r>
      <w:r>
        <w:t xml:space="preserve"> </w:t>
      </w:r>
      <w:r>
        <w:rPr>
          <w:rStyle w:val="VerbatimChar"/>
        </w:rPr>
        <w:t xml:space="preserve">patentmcp.search</w:t>
      </w:r>
      <w:r>
        <w:t xml:space="preserve">,</w:t>
      </w:r>
      <w:r>
        <w:t xml:space="preserve"> </w:t>
      </w:r>
      <w:r>
        <w:rPr>
          <w:rStyle w:val="VerbatimChar"/>
        </w:rPr>
        <w:t xml:space="preserve">patentmcp.statistics</w:t>
      </w:r>
      <w:r>
        <w:t xml:space="preserve">) with OpenAPI docs and a</w:t>
      </w:r>
      <w:r>
        <w:t xml:space="preserve"> </w:t>
      </w:r>
      <w:r>
        <w:rPr>
          <w:rStyle w:val="VerbatimChar"/>
        </w:rPr>
        <w:t xml:space="preserve">smithery.yaml</w:t>
      </w:r>
      <w:r>
        <w:t xml:space="preserve"> </w:t>
      </w:r>
      <w:r>
        <w:t xml:space="preserve">for the Smithery registry[^10^].</w:t>
      </w:r>
    </w:p>
    <w:bookmarkEnd w:id="129"/>
    <w:bookmarkStart w:id="130" w:name="phase-iv-launch-weeks-912"/>
    <w:p>
      <w:pPr>
        <w:pStyle w:val="Heading4"/>
      </w:pPr>
      <w:r>
        <w:t xml:space="preserve">9.1.4 Phase IV: Launch (Weeks 9–12)</w:t>
      </w:r>
    </w:p>
    <w:p>
      <w:pPr>
        <w:pStyle w:val="FirstParagraph"/>
      </w:pPr>
      <w:r>
        <w:t xml:space="preserve">Week nine: Hermes integration enables single-tool invocation from the Hermes chat interface with DID resolution[^11^]. Week ten: ship both PatentMCP (Python) and the OpenPatent fork (TypeScript) under MIT with Docker compose for one-command local deployment and a</w:t>
      </w:r>
      <w:r>
        <w:t xml:space="preserve"> </w:t>
      </w:r>
      <w:r>
        <w:rPr>
          <w:rStyle w:val="VerbatimChar"/>
        </w:rPr>
        <w:t xml:space="preserve">CONTRIBUTING.md</w:t>
      </w:r>
      <w:r>
        <w:t xml:space="preserve"> </w:t>
      </w:r>
      <w:r>
        <w:t xml:space="preserve">signaling genuine community intent. Week eleven: the</w:t>
      </w:r>
      <w:r>
        <w:t xml:space="preserve"> </w:t>
      </w:r>
      <w:r>
        <w:t xml:space="preserve">“</w:t>
      </w:r>
      <w:r>
        <w:t xml:space="preserve">Show HN</w:t>
      </w:r>
      <w:r>
        <w:t xml:space="preserve">”</w:t>
      </w:r>
      <w:r>
        <w:t xml:space="preserve"> </w:t>
      </w:r>
      <w:r>
        <w:t xml:space="preserve">post on Hacker News, timed for Tuesday or Wednesday 08:00–11:00 UTC when developer-tool posts receive 28% more engagement, with</w:t>
      </w:r>
      <w:r>
        <w:t xml:space="preserve"> </w:t>
      </w:r>
      <w:r>
        <w:t xml:space="preserve">“</w:t>
      </w:r>
      <w:r>
        <w:t xml:space="preserve">Open Source</w:t>
      </w:r>
      <w:r>
        <w:t xml:space="preserve">”</w:t>
      </w:r>
      <w:r>
        <w:t xml:space="preserve"> </w:t>
      </w:r>
      <w:r>
        <w:t xml:space="preserve">in the title (+38% vote counts)[^12^]. Week twelve: Product Hunt launch targeting developer-tools, where top launches average 450 upvotes, 8,000 visitors, and 10% conversion[^13^]. Simultaneously, align with Industry Power Packs to announce PatentMCP as the IP layer within the Legal Pack (legalof.ai) and across all 15 verticals[^14^].</w:t>
      </w:r>
    </w:p>
    <w:bookmarkEnd w:id="130"/>
    <w:bookmarkEnd w:id="131"/>
    <w:bookmarkStart w:id="135" w:name="go-to-market-strategy"/>
    <w:p>
      <w:pPr>
        <w:pStyle w:val="Heading3"/>
      </w:pPr>
      <w:r>
        <w:t xml:space="preserve">9.2 Go-to-Market Strategy</w:t>
      </w:r>
    </w:p>
    <w:bookmarkStart w:id="132" w:name="X630fd4d3acf57031f5455f23dee2d5a72d3dc51"/>
    <w:p>
      <w:pPr>
        <w:pStyle w:val="Heading4"/>
      </w:pPr>
      <w:r>
        <w:t xml:space="preserve">9.2.1 Primary: Open Source Developers and Indie Hackers</w:t>
      </w:r>
    </w:p>
    <w:p>
      <w:pPr>
        <w:pStyle w:val="FirstParagraph"/>
      </w:pPr>
      <w:r>
        <w:t xml:space="preserve">The primary audience: 28 million open-source developers on GitHub facing patent threats without $15,000–$50,000 attorney budgets[^15^]. Positioning:</w:t>
      </w:r>
      <w:r>
        <w:t xml:space="preserve"> </w:t>
      </w:r>
      <w:r>
        <w:t xml:space="preserve">“</w:t>
      </w:r>
      <w:r>
        <w:t xml:space="preserve">protect your project from patent trolls for $10.</w:t>
      </w:r>
      <w:r>
        <w:t xml:space="preserve">”</w:t>
      </w:r>
      <w:r>
        <w:t xml:space="preserve"> </w:t>
      </w:r>
      <w:r>
        <w:t xml:space="preserve">Distribution: Hacker News</w:t>
      </w:r>
      <w:r>
        <w:t xml:space="preserve"> </w:t>
      </w:r>
      <w:r>
        <w:t xml:space="preserve">“</w:t>
      </w:r>
      <w:r>
        <w:t xml:space="preserve">Show HN</w:t>
      </w:r>
      <w:r>
        <w:t xml:space="preserve">”</w:t>
      </w:r>
      <w:r>
        <w:t xml:space="preserve"> </w:t>
      </w:r>
      <w:r>
        <w:t xml:space="preserve">(50–70 posts/week, 62% developer tools), Reddit r/opensource and r/programming (4.2 million combined), and GitHub trending (achievable with 50+ stars in 24 hours)[^16^]. The open-source self-hostable product converts at 3–5% free-to-paid — below the 5.6% freemium average because self-hosting permanently satisfies some users, but total addressable market expansion compensates[^17^]. A documented GTM framework increases launch success by 10% and revenue growth by 3×[^18^]. The key metric: GitHub stars → ecosystem awareness → indirect SaaS conversion.</w:t>
      </w:r>
    </w:p>
    <w:bookmarkEnd w:id="132"/>
    <w:bookmarkStart w:id="133" w:name="secondary-startup-founders-pre-series-a"/>
    <w:p>
      <w:pPr>
        <w:pStyle w:val="Heading4"/>
      </w:pPr>
      <w:r>
        <w:t xml:space="preserve">9.2.2 Secondary: Startup Founders Pre-Series A</w:t>
      </w:r>
    </w:p>
    <w:p>
      <w:pPr>
        <w:pStyle w:val="FirstParagraph"/>
      </w:pPr>
      <w:r>
        <w:t xml:space="preserve">Pre-Series A founders need IP protection for fundraising but lack $30,000+ patent budgets. Distribution: Y Combinator Startup School (200,000+ founders), indiehackers.com (100,000+), and Product Hunt B2B (8–15% visitor-to-account conversion)[^19^]. Value proposition:</w:t>
      </w:r>
      <w:r>
        <w:t xml:space="preserve"> </w:t>
      </w:r>
      <w:r>
        <w:t xml:space="preserve">“</w:t>
      </w:r>
      <w:r>
        <w:t xml:space="preserve">create investor-grade IP assets for $50</w:t>
      </w:r>
      <w:r>
        <w:t xml:space="preserve">”</w:t>
      </w:r>
      <w:r>
        <w:t xml:space="preserve"> </w:t>
      </w:r>
      <w:r>
        <w:t xml:space="preserve">— the FULL tier’s C2PA credentials and proof packages read as due-diligence documentation. US-market customers pay 2–3× more than international counterparts; USD pricing and US-founder targeting optimizes revenue per conversion[^20^]. This channel requires social proof that does not exist at launch — the Month 3 milestone of 50 disclosures generates first testimonials.</w:t>
      </w:r>
    </w:p>
    <w:bookmarkEnd w:id="133"/>
    <w:bookmarkStart w:id="134" w:name="X1be5e91d3556f436664aaa41f900ff74ed09414"/>
    <w:p>
      <w:pPr>
        <w:pStyle w:val="Heading4"/>
      </w:pPr>
      <w:r>
        <w:t xml:space="preserve">9.2.3 Tertiary: IP Law Firms and Budget Legal Services</w:t>
      </w:r>
    </w:p>
    <w:p>
      <w:pPr>
        <w:pStyle w:val="FirstParagraph"/>
      </w:pPr>
      <w:r>
        <w:t xml:space="preserve">IP law firms offering flat-fee services ($2,000–$5,000 per application) need prior art search and defensive publication tools to extend range without hiring additional attorneys. Distribution: LinkedIn thought leadership, legal tech conferences (AALL, ILTACON), and outreach to 50 small US/EU IP practices[^21^]. This is the slowest channel — B2B SaaS median time to first revenue is 6–12 months — but carries the highest lifetime value through API-accessible enterprise contracts at $500/month[^22^]. The PatentMCP API enables programmatic registry queries and white-label verification pages, converting law firms from users to resellers.</w:t>
      </w:r>
    </w:p>
    <w:p>
      <w:pPr>
        <w:pStyle w:val="BodyText"/>
      </w:pPr>
      <w:r>
        <w:t xml:space="preserve">The three-channel structure prioritizes developer adoption over enterprise sales in the first 90 days. Industry data shows 30% of micro-SaaS businesses never reach $1,000 MRR; the fastest path to sustainability is proving developer-market fit before committing to long enterprise cycles[^23^].</w:t>
      </w:r>
    </w:p>
    <w:bookmarkEnd w:id="134"/>
    <w:bookmarkEnd w:id="135"/>
    <w:bookmarkStart w:id="138" w:name="success-metrics-and-adoption-projections"/>
    <w:p>
      <w:pPr>
        <w:pStyle w:val="Heading3"/>
      </w:pPr>
      <w:r>
        <w:t xml:space="preserve">9.3 Success Metrics and Adoption Projections</w:t>
      </w:r>
    </w:p>
    <w:bookmarkStart w:id="136" w:name="milestone-framework"/>
    <w:p>
      <w:pPr>
        <w:pStyle w:val="Heading4"/>
      </w:pPr>
      <w:r>
        <w:t xml:space="preserve">9.3.1 Milestone Framework</w:t>
      </w:r>
    </w:p>
    <w:p>
      <w:pPr>
        <w:pStyle w:val="FirstParagraph"/>
      </w:pPr>
      <w:r>
        <w:t xml:space="preserve">The following table defines three scenarios — conservative, target, and optimistic — with assumptions grounded in micro-SaaS benchmark data.</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center"/>
            </w:pPr>
            <w:r>
              <w:t xml:space="preserve">Month 3</w:t>
            </w:r>
          </w:p>
        </w:tc>
        <w:tc>
          <w:tcPr/>
          <w:p>
            <w:pPr>
              <w:pStyle w:val="Compact"/>
              <w:jc w:val="center"/>
            </w:pPr>
            <w:r>
              <w:t xml:space="preserve">Month 6</w:t>
            </w:r>
          </w:p>
        </w:tc>
        <w:tc>
          <w:tcPr/>
          <w:p>
            <w:pPr>
              <w:pStyle w:val="Compact"/>
              <w:jc w:val="center"/>
            </w:pPr>
            <w:r>
              <w:t xml:space="preserve">Month 12</w:t>
            </w:r>
          </w:p>
        </w:tc>
      </w:tr>
      <w:tr>
        <w:tc>
          <w:tcPr/>
          <w:p>
            <w:pPr>
              <w:pStyle w:val="Compact"/>
              <w:jc w:val="left"/>
            </w:pPr>
            <w:r>
              <w:rPr>
                <w:bCs/>
                <w:b/>
              </w:rPr>
              <w:t xml:space="preserve">CONSERVATIVE</w:t>
            </w:r>
          </w:p>
        </w:tc>
        <w:tc>
          <w:tcPr/>
          <w:p>
            <w:pPr>
              <w:pStyle w:val="Compact"/>
            </w:pPr>
          </w:p>
        </w:tc>
        <w:tc>
          <w:tcPr/>
          <w:p>
            <w:pPr>
              <w:pStyle w:val="Compact"/>
            </w:pPr>
          </w:p>
        </w:tc>
        <w:tc>
          <w:tcPr/>
          <w:p>
            <w:pPr>
              <w:pStyle w:val="Compact"/>
            </w:pPr>
          </w:p>
        </w:tc>
      </w:tr>
      <w:tr>
        <w:tc>
          <w:tcPr/>
          <w:p>
            <w:pPr>
              <w:pStyle w:val="Compact"/>
              <w:jc w:val="left"/>
            </w:pPr>
            <w:r>
              <w:t xml:space="preserve">Total Signups</w:t>
            </w:r>
          </w:p>
        </w:tc>
        <w:tc>
          <w:tcPr/>
          <w:p>
            <w:pPr>
              <w:pStyle w:val="Compact"/>
              <w:jc w:val="center"/>
            </w:pPr>
            <w:r>
              <w:t xml:space="preserve">300</w:t>
            </w:r>
          </w:p>
        </w:tc>
        <w:tc>
          <w:tcPr/>
          <w:p>
            <w:pPr>
              <w:pStyle w:val="Compact"/>
              <w:jc w:val="center"/>
            </w:pPr>
            <w:r>
              <w:t xml:space="preserve">2,000</w:t>
            </w:r>
          </w:p>
        </w:tc>
        <w:tc>
          <w:tcPr/>
          <w:p>
            <w:pPr>
              <w:pStyle w:val="Compact"/>
              <w:jc w:val="center"/>
            </w:pPr>
            <w:r>
              <w:t xml:space="preserve">10,000</w:t>
            </w:r>
          </w:p>
        </w:tc>
      </w:tr>
      <w:tr>
        <w:tc>
          <w:tcPr/>
          <w:p>
            <w:pPr>
              <w:pStyle w:val="Compact"/>
              <w:jc w:val="left"/>
            </w:pPr>
            <w:r>
              <w:t xml:space="preserve">Disclosures Completed</w:t>
            </w:r>
          </w:p>
        </w:tc>
        <w:tc>
          <w:tcPr/>
          <w:p>
            <w:pPr>
              <w:pStyle w:val="Compact"/>
              <w:jc w:val="center"/>
            </w:pPr>
            <w:r>
              <w:t xml:space="preserve">25</w:t>
            </w:r>
          </w:p>
        </w:tc>
        <w:tc>
          <w:tcPr/>
          <w:p>
            <w:pPr>
              <w:pStyle w:val="Compact"/>
              <w:jc w:val="center"/>
            </w:pPr>
            <w:r>
              <w:t xml:space="preserve">200</w:t>
            </w:r>
          </w:p>
        </w:tc>
        <w:tc>
          <w:tcPr/>
          <w:p>
            <w:pPr>
              <w:pStyle w:val="Compact"/>
              <w:jc w:val="center"/>
            </w:pPr>
            <w:r>
              <w:t xml:space="preserve">1,200</w:t>
            </w:r>
          </w:p>
        </w:tc>
      </w:tr>
      <w:tr>
        <w:tc>
          <w:tcPr/>
          <w:p>
            <w:pPr>
              <w:pStyle w:val="Compact"/>
              <w:jc w:val="left"/>
            </w:pPr>
            <w:r>
              <w:t xml:space="preserve">MRR</w:t>
            </w:r>
          </w:p>
        </w:tc>
        <w:tc>
          <w:tcPr/>
          <w:p>
            <w:pPr>
              <w:pStyle w:val="Compact"/>
              <w:jc w:val="center"/>
            </w:pPr>
            <w:r>
              <w:t xml:space="preserve">$500</w:t>
            </w:r>
          </w:p>
        </w:tc>
        <w:tc>
          <w:tcPr/>
          <w:p>
            <w:pPr>
              <w:pStyle w:val="Compact"/>
              <w:jc w:val="center"/>
            </w:pPr>
            <w:r>
              <w:t xml:space="preserve">$3,000</w:t>
            </w:r>
          </w:p>
        </w:tc>
        <w:tc>
          <w:tcPr/>
          <w:p>
            <w:pPr>
              <w:pStyle w:val="Compact"/>
              <w:jc w:val="center"/>
            </w:pPr>
            <w:r>
              <w:t xml:space="preserve">$15,000</w:t>
            </w:r>
          </w:p>
        </w:tc>
      </w:tr>
      <w:tr>
        <w:tc>
          <w:tcPr/>
          <w:p>
            <w:pPr>
              <w:pStyle w:val="Compact"/>
              <w:jc w:val="left"/>
            </w:pPr>
            <w:r>
              <w:t xml:space="preserve">Paying Customers</w:t>
            </w:r>
          </w:p>
        </w:tc>
        <w:tc>
          <w:tcPr/>
          <w:p>
            <w:pPr>
              <w:pStyle w:val="Compact"/>
              <w:jc w:val="center"/>
            </w:pPr>
            <w:r>
              <w:t xml:space="preserve">15</w:t>
            </w:r>
          </w:p>
        </w:tc>
        <w:tc>
          <w:tcPr/>
          <w:p>
            <w:pPr>
              <w:pStyle w:val="Compact"/>
              <w:jc w:val="center"/>
            </w:pPr>
            <w:r>
              <w:t xml:space="preserve">60</w:t>
            </w:r>
          </w:p>
        </w:tc>
        <w:tc>
          <w:tcPr/>
          <w:p>
            <w:pPr>
              <w:pStyle w:val="Compact"/>
              <w:jc w:val="center"/>
            </w:pPr>
            <w:r>
              <w:t xml:space="preserve">180</w:t>
            </w:r>
          </w:p>
        </w:tc>
      </w:tr>
      <w:tr>
        <w:tc>
          <w:tcPr/>
          <w:p>
            <w:pPr>
              <w:pStyle w:val="Compact"/>
              <w:jc w:val="left"/>
            </w:pPr>
            <w:r>
              <w:rPr>
                <w:bCs/>
                <w:b/>
              </w:rPr>
              <w:t xml:space="preserve">TARGET</w:t>
            </w:r>
          </w:p>
        </w:tc>
        <w:tc>
          <w:tcPr/>
          <w:p>
            <w:pPr>
              <w:pStyle w:val="Compact"/>
            </w:pPr>
          </w:p>
        </w:tc>
        <w:tc>
          <w:tcPr/>
          <w:p>
            <w:pPr>
              <w:pStyle w:val="Compact"/>
            </w:pPr>
          </w:p>
        </w:tc>
        <w:tc>
          <w:tcPr/>
          <w:p>
            <w:pPr>
              <w:pStyle w:val="Compact"/>
            </w:pPr>
          </w:p>
        </w:tc>
      </w:tr>
      <w:tr>
        <w:tc>
          <w:tcPr/>
          <w:p>
            <w:pPr>
              <w:pStyle w:val="Compact"/>
              <w:jc w:val="left"/>
            </w:pPr>
            <w:r>
              <w:t xml:space="preserve">Total Signups</w:t>
            </w:r>
          </w:p>
        </w:tc>
        <w:tc>
          <w:tcPr/>
          <w:p>
            <w:pPr>
              <w:pStyle w:val="Compact"/>
              <w:jc w:val="center"/>
            </w:pPr>
            <w:r>
              <w:t xml:space="preserve">500</w:t>
            </w:r>
          </w:p>
        </w:tc>
        <w:tc>
          <w:tcPr/>
          <w:p>
            <w:pPr>
              <w:pStyle w:val="Compact"/>
              <w:jc w:val="center"/>
            </w:pPr>
            <w:r>
              <w:t xml:space="preserve">5,000</w:t>
            </w:r>
          </w:p>
        </w:tc>
        <w:tc>
          <w:tcPr/>
          <w:p>
            <w:pPr>
              <w:pStyle w:val="Compact"/>
              <w:jc w:val="center"/>
            </w:pPr>
            <w:r>
              <w:t xml:space="preserve">25,000</w:t>
            </w:r>
          </w:p>
        </w:tc>
      </w:tr>
      <w:tr>
        <w:tc>
          <w:tcPr/>
          <w:p>
            <w:pPr>
              <w:pStyle w:val="Compact"/>
              <w:jc w:val="left"/>
            </w:pPr>
            <w:r>
              <w:t xml:space="preserve">Disclosures Completed</w:t>
            </w:r>
          </w:p>
        </w:tc>
        <w:tc>
          <w:tcPr/>
          <w:p>
            <w:pPr>
              <w:pStyle w:val="Compact"/>
              <w:jc w:val="center"/>
            </w:pPr>
            <w:r>
              <w:t xml:space="preserve">50</w:t>
            </w:r>
          </w:p>
        </w:tc>
        <w:tc>
          <w:tcPr/>
          <w:p>
            <w:pPr>
              <w:pStyle w:val="Compact"/>
              <w:jc w:val="center"/>
            </w:pPr>
            <w:r>
              <w:t xml:space="preserve">500</w:t>
            </w:r>
          </w:p>
        </w:tc>
        <w:tc>
          <w:tcPr/>
          <w:p>
            <w:pPr>
              <w:pStyle w:val="Compact"/>
              <w:jc w:val="center"/>
            </w:pPr>
            <w:r>
              <w:t xml:space="preserve">3,000</w:t>
            </w:r>
          </w:p>
        </w:tc>
      </w:tr>
      <w:tr>
        <w:tc>
          <w:tcPr/>
          <w:p>
            <w:pPr>
              <w:pStyle w:val="Compact"/>
              <w:jc w:val="left"/>
            </w:pPr>
            <w:r>
              <w:t xml:space="preserve">MRR</w:t>
            </w:r>
          </w:p>
        </w:tc>
        <w:tc>
          <w:tcPr/>
          <w:p>
            <w:pPr>
              <w:pStyle w:val="Compact"/>
              <w:jc w:val="center"/>
            </w:pPr>
            <w:r>
              <w:t xml:space="preserve">$1,000</w:t>
            </w:r>
          </w:p>
        </w:tc>
        <w:tc>
          <w:tcPr/>
          <w:p>
            <w:pPr>
              <w:pStyle w:val="Compact"/>
              <w:jc w:val="center"/>
            </w:pPr>
            <w:r>
              <w:t xml:space="preserve">$10,000</w:t>
            </w:r>
          </w:p>
        </w:tc>
        <w:tc>
          <w:tcPr/>
          <w:p>
            <w:pPr>
              <w:pStyle w:val="Compact"/>
              <w:jc w:val="center"/>
            </w:pPr>
            <w:r>
              <w:t xml:space="preserve">$50,000</w:t>
            </w:r>
          </w:p>
        </w:tc>
      </w:tr>
      <w:tr>
        <w:tc>
          <w:tcPr/>
          <w:p>
            <w:pPr>
              <w:pStyle w:val="Compact"/>
              <w:jc w:val="left"/>
            </w:pPr>
            <w:r>
              <w:t xml:space="preserve">Paying Customers</w:t>
            </w:r>
          </w:p>
        </w:tc>
        <w:tc>
          <w:tcPr/>
          <w:p>
            <w:pPr>
              <w:pStyle w:val="Compact"/>
              <w:jc w:val="center"/>
            </w:pPr>
            <w:r>
              <w:t xml:space="preserve">25</w:t>
            </w:r>
          </w:p>
        </w:tc>
        <w:tc>
          <w:tcPr/>
          <w:p>
            <w:pPr>
              <w:pStyle w:val="Compact"/>
              <w:jc w:val="center"/>
            </w:pPr>
            <w:r>
              <w:t xml:space="preserve">120</w:t>
            </w:r>
          </w:p>
        </w:tc>
        <w:tc>
          <w:tcPr/>
          <w:p>
            <w:pPr>
              <w:pStyle w:val="Compact"/>
              <w:jc w:val="center"/>
            </w:pPr>
            <w:r>
              <w:t xml:space="preserve">400</w:t>
            </w:r>
          </w:p>
        </w:tc>
      </w:tr>
      <w:tr>
        <w:tc>
          <w:tcPr/>
          <w:p>
            <w:pPr>
              <w:pStyle w:val="Compact"/>
              <w:jc w:val="left"/>
            </w:pPr>
            <w:r>
              <w:t xml:space="preserve">Enterprise Contracts</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c>
          <w:tcPr/>
          <w:p>
            <w:pPr>
              <w:pStyle w:val="Compact"/>
              <w:jc w:val="left"/>
            </w:pPr>
            <w:r>
              <w:rPr>
                <w:bCs/>
                <w:b/>
              </w:rPr>
              <w:t xml:space="preserve">OPTIMISTIC</w:t>
            </w:r>
          </w:p>
        </w:tc>
        <w:tc>
          <w:tcPr/>
          <w:p>
            <w:pPr>
              <w:pStyle w:val="Compact"/>
            </w:pPr>
          </w:p>
        </w:tc>
        <w:tc>
          <w:tcPr/>
          <w:p>
            <w:pPr>
              <w:pStyle w:val="Compact"/>
            </w:pPr>
          </w:p>
        </w:tc>
        <w:tc>
          <w:tcPr/>
          <w:p>
            <w:pPr>
              <w:pStyle w:val="Compact"/>
            </w:pPr>
          </w:p>
        </w:tc>
      </w:tr>
      <w:tr>
        <w:tc>
          <w:tcPr/>
          <w:p>
            <w:pPr>
              <w:pStyle w:val="Compact"/>
              <w:jc w:val="left"/>
            </w:pPr>
            <w:r>
              <w:t xml:space="preserve">Total Signups</w:t>
            </w:r>
          </w:p>
        </w:tc>
        <w:tc>
          <w:tcPr/>
          <w:p>
            <w:pPr>
              <w:pStyle w:val="Compact"/>
              <w:jc w:val="center"/>
            </w:pPr>
            <w:r>
              <w:t xml:space="preserve">1,000</w:t>
            </w:r>
          </w:p>
        </w:tc>
        <w:tc>
          <w:tcPr/>
          <w:p>
            <w:pPr>
              <w:pStyle w:val="Compact"/>
              <w:jc w:val="center"/>
            </w:pPr>
            <w:r>
              <w:t xml:space="preserve">10,000</w:t>
            </w:r>
          </w:p>
        </w:tc>
        <w:tc>
          <w:tcPr/>
          <w:p>
            <w:pPr>
              <w:pStyle w:val="Compact"/>
              <w:jc w:val="center"/>
            </w:pPr>
            <w:r>
              <w:t xml:space="preserve">50,000</w:t>
            </w:r>
          </w:p>
        </w:tc>
      </w:tr>
      <w:tr>
        <w:tc>
          <w:tcPr/>
          <w:p>
            <w:pPr>
              <w:pStyle w:val="Compact"/>
              <w:jc w:val="left"/>
            </w:pPr>
            <w:r>
              <w:t xml:space="preserve">Disclosures Completed</w:t>
            </w:r>
          </w:p>
        </w:tc>
        <w:tc>
          <w:tcPr/>
          <w:p>
            <w:pPr>
              <w:pStyle w:val="Compact"/>
              <w:jc w:val="center"/>
            </w:pPr>
            <w:r>
              <w:t xml:space="preserve">100</w:t>
            </w:r>
          </w:p>
        </w:tc>
        <w:tc>
          <w:tcPr/>
          <w:p>
            <w:pPr>
              <w:pStyle w:val="Compact"/>
              <w:jc w:val="center"/>
            </w:pPr>
            <w:r>
              <w:t xml:space="preserve">1,000</w:t>
            </w:r>
          </w:p>
        </w:tc>
        <w:tc>
          <w:tcPr/>
          <w:p>
            <w:pPr>
              <w:pStyle w:val="Compact"/>
              <w:jc w:val="center"/>
            </w:pPr>
            <w:r>
              <w:t xml:space="preserve">6,000</w:t>
            </w:r>
          </w:p>
        </w:tc>
      </w:tr>
      <w:tr>
        <w:tc>
          <w:tcPr/>
          <w:p>
            <w:pPr>
              <w:pStyle w:val="Compact"/>
              <w:jc w:val="left"/>
            </w:pPr>
            <w:r>
              <w:t xml:space="preserve">MRR</w:t>
            </w:r>
          </w:p>
        </w:tc>
        <w:tc>
          <w:tcPr/>
          <w:p>
            <w:pPr>
              <w:pStyle w:val="Compact"/>
              <w:jc w:val="center"/>
            </w:pPr>
            <w:r>
              <w:t xml:space="preserve">$2,500</w:t>
            </w:r>
          </w:p>
        </w:tc>
        <w:tc>
          <w:tcPr/>
          <w:p>
            <w:pPr>
              <w:pStyle w:val="Compact"/>
              <w:jc w:val="center"/>
            </w:pPr>
            <w:r>
              <w:t xml:space="preserve">$25,000</w:t>
            </w:r>
          </w:p>
        </w:tc>
        <w:tc>
          <w:tcPr/>
          <w:p>
            <w:pPr>
              <w:pStyle w:val="Compact"/>
              <w:jc w:val="center"/>
            </w:pPr>
            <w:r>
              <w:t xml:space="preserve">$125,000</w:t>
            </w:r>
          </w:p>
        </w:tc>
      </w:tr>
      <w:tr>
        <w:tc>
          <w:tcPr/>
          <w:p>
            <w:pPr>
              <w:pStyle w:val="Compact"/>
              <w:jc w:val="left"/>
            </w:pPr>
            <w:r>
              <w:t xml:space="preserve">Paying Customers</w:t>
            </w:r>
          </w:p>
        </w:tc>
        <w:tc>
          <w:tcPr/>
          <w:p>
            <w:pPr>
              <w:pStyle w:val="Compact"/>
              <w:jc w:val="center"/>
            </w:pPr>
            <w:r>
              <w:t xml:space="preserve">50</w:t>
            </w:r>
          </w:p>
        </w:tc>
        <w:tc>
          <w:tcPr/>
          <w:p>
            <w:pPr>
              <w:pStyle w:val="Compact"/>
              <w:jc w:val="center"/>
            </w:pPr>
            <w:r>
              <w:t xml:space="preserve">250</w:t>
            </w:r>
          </w:p>
        </w:tc>
        <w:tc>
          <w:tcPr/>
          <w:p>
            <w:pPr>
              <w:pStyle w:val="Compact"/>
              <w:jc w:val="center"/>
            </w:pPr>
            <w:r>
              <w:t xml:space="preserve">800</w:t>
            </w:r>
          </w:p>
        </w:tc>
      </w:tr>
      <w:tr>
        <w:tc>
          <w:tcPr/>
          <w:p>
            <w:pPr>
              <w:pStyle w:val="Compact"/>
              <w:jc w:val="left"/>
            </w:pPr>
            <w:r>
              <w:t xml:space="preserve">Enterprise Contracts</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25</w:t>
            </w:r>
          </w:p>
        </w:tc>
      </w:tr>
    </w:tbl>
    <w:p>
      <w:pPr>
        <w:pStyle w:val="BodyText"/>
      </w:pPr>
      <w:r>
        <w:rPr>
          <w:iCs/>
          <w:i/>
        </w:rPr>
        <w:t xml:space="preserve">Table 1: Three-scenario success metrics at 3, 6, and 12 months. Assumes 4% free-to-paid conversion (open-source self-hostable benchmark), $30 average revenue per disclosure, and $500/month enterprise contracts. Conservative aligns with the 50th percentile micro-SaaS trajectory; target aligns with 75th percentile; optimistic requires a viral HN or PH launch event.</w:t>
      </w:r>
    </w:p>
    <w:p>
      <w:pPr>
        <w:pStyle w:val="BodyText"/>
      </w:pPr>
      <w:r>
        <w:t xml:space="preserve">The conservative scenario aligns with the median micro-SaaS trajectory: $1,000–$3,000 MRR at six months, with 70% of micro-SaaS businesses generating under $1,000 monthly revenue in their first year[^24^]. The target scenario assumes the</w:t>
      </w:r>
      <w:r>
        <w:t xml:space="preserve"> </w:t>
      </w:r>
      <w:r>
        <w:t xml:space="preserve">“</w:t>
      </w:r>
      <w:r>
        <w:t xml:space="preserve">Show HN</w:t>
      </w:r>
      <w:r>
        <w:t xml:space="preserve">”</w:t>
      </w:r>
      <w:r>
        <w:t xml:space="preserve"> </w:t>
      </w:r>
      <w:r>
        <w:t xml:space="preserve">and Product Hunt launches perform at 75th percentile — historically achievable for genuinely open-source developer tools with live demos and clear value propositions. The optimistic scenario requires a viral event: front-page HN placement generating 10,000+ visitors or Product Hunt Product of the Day with 500+ upvotes, converting at the 8–12% rate observed by top-performing developer-tool launches[^25^].</w:t>
      </w:r>
    </w:p>
    <w:bookmarkEnd w:id="136"/>
    <w:bookmarkStart w:id="137" w:name="s-curve-adoption-projection"/>
    <w:p>
      <w:pPr>
        <w:pStyle w:val="Heading4"/>
      </w:pPr>
      <w:r>
        <w:t xml:space="preserve">9.3.2 S-Curve Adoption Projection</w:t>
      </w:r>
    </w:p>
    <w:p>
      <w:pPr>
        <w:pStyle w:val="FirstParagraph"/>
      </w:pPr>
      <w:r>
        <w:rPr>
          <w:bCs/>
          <w:b/>
        </w:rPr>
        <w:t xml:space="preserve">Chart 1: OpenPatent.ai User Adoption — Three-Scenario S-Curve Projection (Months 1–24)</w:t>
      </w:r>
    </w:p>
    <w:p>
      <w:pPr>
        <w:pStyle w:val="BodyText"/>
      </w:pPr>
      <w:r>
        <w:t xml:space="preserve">The chart displays cumulative registered users on a logarithmic vertical axis (100 to 100,000) against months since launch (0 to 24). Three S-curve trajectories plot adoption under Bass diffusion parameters calibrated to micro-SaaS benchmark data.</w:t>
      </w:r>
    </w:p>
    <w:p>
      <w:pPr>
        <w:pStyle w:val="BodyText"/>
      </w:pPr>
      <w:r>
        <w:t xml:space="preserve">The</w:t>
      </w:r>
      <w:r>
        <w:t xml:space="preserve"> </w:t>
      </w:r>
      <w:r>
        <w:rPr>
          <w:bCs/>
          <w:b/>
        </w:rPr>
        <w:t xml:space="preserve">conservative curve</w:t>
      </w:r>
      <w:r>
        <w:t xml:space="preserve"> </w:t>
      </w:r>
      <w:r>
        <w:t xml:space="preserve">(dashed gray, p = 0.015, q = 0.35) reaches 300 users by Month 3, 2,000 by Month 6, and plateaus near 10,000 by Month 18 — organic growth through GitHub discovery and SEO without viral catalysis, consistent with bootstrapped micro-SaaS marketing spend of $0–$500/month[^26^].</w:t>
      </w:r>
    </w:p>
    <w:p>
      <w:pPr>
        <w:pStyle w:val="BodyText"/>
      </w:pPr>
      <w:r>
        <w:t xml:space="preserve">The</w:t>
      </w:r>
      <w:r>
        <w:t xml:space="preserve"> </w:t>
      </w:r>
      <w:r>
        <w:rPr>
          <w:bCs/>
          <w:b/>
        </w:rPr>
        <w:t xml:space="preserve">target curve</w:t>
      </w:r>
      <w:r>
        <w:t xml:space="preserve"> </w:t>
      </w:r>
      <w:r>
        <w:t xml:space="preserve">(solid black, p = 0.03, q = 0.45) reflects dual-launch catalysis from HN + Product Hunt at Month 3. Inflection peaks at Month 7 with ~5,000 users as early-adopter word-of-mouth compounds with GitHub trending visibility, sustaining 5–15% monthly growth through validated organic channels to 25,000 by Month 12[^27^].</w:t>
      </w:r>
    </w:p>
    <w:p>
      <w:pPr>
        <w:pStyle w:val="BodyText"/>
      </w:pPr>
      <w:r>
        <w:t xml:space="preserve">The</w:t>
      </w:r>
      <w:r>
        <w:t xml:space="preserve"> </w:t>
      </w:r>
      <w:r>
        <w:rPr>
          <w:bCs/>
          <w:b/>
        </w:rPr>
        <w:t xml:space="preserve">optimistic curve</w:t>
      </w:r>
      <w:r>
        <w:t xml:space="preserve"> </w:t>
      </w:r>
      <w:r>
        <w:t xml:space="preserve">(solid gray, p = 0.06, q = 0.60) models viral adoption from a major press event or GitHub trending placement, with inflection at Month 5 and 8,000 users driven by network effects as maintainers recommend defensive publication to contributors. The imitation coefficient of 0.60 captures the</w:t>
      </w:r>
      <w:r>
        <w:t xml:space="preserve"> </w:t>
      </w:r>
      <w:r>
        <w:t xml:space="preserve">“</w:t>
      </w:r>
      <w:r>
        <w:t xml:space="preserve">build in public</w:t>
      </w:r>
      <w:r>
        <w:t xml:space="preserve">”</w:t>
      </w:r>
      <w:r>
        <w:t xml:space="preserve"> </w:t>
      </w:r>
      <w:r>
        <w:t xml:space="preserve">dynamic where transparent metric-sharing generates 3–5× higher engagement than traditional marketing[^28^].</w:t>
      </w:r>
    </w:p>
    <w:p>
      <w:pPr>
        <w:pStyle w:val="BodyText"/>
      </w:pPr>
      <w:r>
        <w:t xml:space="preserve">All three curves share annotated milestone markers: (1)</w:t>
      </w:r>
      <w:r>
        <w:t xml:space="preserve"> </w:t>
      </w:r>
      <w:r>
        <w:t xml:space="preserve">“</w:t>
      </w:r>
      <w:r>
        <w:t xml:space="preserve">MVP Launch</w:t>
      </w:r>
      <w:r>
        <w:t xml:space="preserve">”</w:t>
      </w:r>
      <w:r>
        <w:t xml:space="preserve"> </w:t>
      </w:r>
      <w:r>
        <w:t xml:space="preserve">at Month 3, (2)</w:t>
      </w:r>
      <w:r>
        <w:t xml:space="preserve"> </w:t>
      </w:r>
      <w:r>
        <w:t xml:space="preserve">“</w:t>
      </w:r>
      <w:r>
        <w:t xml:space="preserve">Industry Power Pack Integration</w:t>
      </w:r>
      <w:r>
        <w:t xml:space="preserve">”</w:t>
      </w:r>
      <w:r>
        <w:t xml:space="preserve"> </w:t>
      </w:r>
      <w:r>
        <w:t xml:space="preserve">spanning Months 6–9 as PatentMCP deploys across 15 verticals (construction, banking, healthcare, legal)[^29^], and (3)</w:t>
      </w:r>
      <w:r>
        <w:t xml:space="preserve"> </w:t>
      </w:r>
      <w:r>
        <w:t xml:space="preserve">“</w:t>
      </w:r>
      <w:r>
        <w:t xml:space="preserve">Network Effects</w:t>
      </w:r>
      <w:r>
        <w:t xml:space="preserve">”</w:t>
      </w:r>
      <w:r>
        <w:t xml:space="preserve"> </w:t>
      </w:r>
      <w:r>
        <w:t xml:space="preserve">at Month 12+ where cumulative disclosures create a prior art registry attracting examiners and attorneys, converting the platform from tool to infrastructure. The pessimistic case — 50% of micro-SaaS plateau at $1,000–$10,000 MRR and never reach escape velocity — appears as the conservative curve’s flattening slope after Month 12[^30^].</w:t>
      </w:r>
    </w:p>
    <w:p>
      <w:pPr>
        <w:pStyle w:val="BodyText"/>
      </w:pPr>
      <w:r>
        <w:t xml:space="preserve">The brutal reality: only 18% of micro-SaaS businesses reach the $1,000–$5,000 monthly sustainability zone. OpenPatent.ai’s pre-built PatentMCP backend (2,900+ lines, 24 tests), existing infrastructure, and Industry Power Packs distribution improve the probability of hitting the target curve but do not guarantee it. The $1,000 MRR threshold at Month 3 is the critical decision gate: failure to cross signals insufficient product-market fit, and the founder should pivot PatentMCP toward enterprise API licensing rather than direct-to-developer SaaS.</w:t>
      </w:r>
    </w:p>
    <w:p>
      <w:r>
        <w:pict>
          <v:rect style="width:0;height:1.5pt" o:hralign="center" o:hrstd="t" o:hr="t"/>
        </w:pict>
      </w:r>
    </w:p>
    <w:bookmarkEnd w:id="137"/>
    <w:bookmarkEnd w:id="138"/>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OpenPatent.ai Master Plan</dc:title>
  <dc:creator>CSOAI Strategic Intelligence</dc:creator>
  <cp:keywords/>
  <dcterms:created xsi:type="dcterms:W3CDTF">2026-06-13T10:14:18Z</dcterms:created>
  <dcterms:modified xsi:type="dcterms:W3CDTF">2026-06-13T10:14:18Z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Strategic Assessment &amp; Build Blueprint</vt:lpwstr>
  </property>
</Properties>
</file>