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COUNCIL FOR THE SAFETY OF AI</w:t>
      </w:r>
    </w:p>
    <w:p>
      <w:pPr>
        <w:spacing w:after="200"/>
        <w:jc w:val="center"/>
      </w:pPr>
      <w:r>
        <w:rPr>
          <w:i/>
          <w:iCs/>
          <w:color w:val="4A5568"/>
          <w:sz w:val="24"/>
          <w:szCs w:val="24"/>
        </w:rPr>
        <w:t xml:space="preserve">The World's First Relationship-Based AI Safety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4"/>
                <w:szCs w:val="24"/>
              </w:rPr>
              <w:t xml:space="preserve">Partnership, Not Restriction. Safety Through Relationship.</w:t>
            </w:r>
          </w:p>
        </w:tc>
      </w:tr>
    </w:tbl>
    <w:p>
      <w:pPr>
        <w:pStyle w:val="Heading2"/>
      </w:pPr>
      <w:r>
        <w:t xml:space="preserve">THE OPPORTUNITY</w:t>
      </w:r>
    </w:p>
    <w:p>
      <w:pPr>
        <w:spacing w:after="120"/>
      </w:pPr>
      <w:r>
        <w:rPr>
          <w:b/>
          <w:bCs/>
        </w:rPr>
        <w:t xml:space="preserve">AI governance is broken. </w:t>
      </w:r>
      <w:r>
        <w:t xml:space="preserve">Governments are too slow. Voluntary frameworks lack teeth. Fear-based approaches alienate the industry. </w:t>
      </w:r>
      <w:r>
        <w:rPr>
          <w:b/>
          <w:bCs/>
        </w:rPr>
        <w:t xml:space="preserve">CSOAI offers a third way: </w:t>
      </w:r>
      <w:r>
        <w:t xml:space="preserve">market-driven safety infrastructure that AI companies actually want to adopt.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2B6CB0"/>
                <w:sz w:val="32"/>
                <w:szCs w:val="32"/>
              </w:rPr>
              <w:t xml:space="preserve">$50B+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TAM by 2030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2B6CB0"/>
                <w:sz w:val="32"/>
                <w:szCs w:val="32"/>
              </w:rPr>
              <w:t xml:space="preserve">£6M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Year 1 Revenue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2B6CB0"/>
                <w:sz w:val="32"/>
                <w:szCs w:val="32"/>
              </w:rPr>
              <w:t xml:space="preserve">$275B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Robotics Gap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50"/>
              <w:bottom w:type="dxa" w:w="100"/>
              <w:right w:type="dxa" w:w="50"/>
            </w:tcMar>
          </w:tcPr>
          <w:p>
            <w:pPr>
              <w:jc w:val="center"/>
            </w:pPr>
            <w:r>
              <w:rPr>
                <w:b/>
                <w:bCs/>
                <w:color w:val="2B6CB0"/>
                <w:sz w:val="32"/>
                <w:szCs w:val="32"/>
              </w:rPr>
              <w:t xml:space="preserve">80%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Gross Margin</w:t>
            </w:r>
          </w:p>
        </w:tc>
      </w:tr>
    </w:tbl>
    <w:p>
      <w:pPr>
        <w:pStyle w:val="Heading2"/>
      </w:pPr>
      <w:r>
        <w:t xml:space="preserve">WHAT WE'VE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Byzantine Council: </w:t>
      </w:r>
      <w:r>
        <w:rPr>
          <w:sz w:val="22"/>
          <w:szCs w:val="22"/>
        </w:rPr>
        <w:t xml:space="preserve">33 AI agents monitoring all certified systems 24/7—no single point of failure, provably safe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AI Prosperity Fund: </w:t>
      </w:r>
      <w:r>
        <w:rPr>
          <w:sz w:val="22"/>
          <w:szCs w:val="22"/>
        </w:rPr>
        <w:t xml:space="preserve">Mandatory contributions from AI-driven revenue fund triggered UBI when unemployment hits 25%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Global Certification: </w:t>
      </w:r>
      <w:r>
        <w:rPr>
          <w:sz w:val="22"/>
          <w:szCs w:val="22"/>
        </w:rPr>
        <w:t xml:space="preserve">ISO-style standards with enforcement—license revocation, public watchdog, reputation consequences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Embodied AI Standards: </w:t>
      </w:r>
      <w:r>
        <w:rPr>
          <w:sz w:val="22"/>
          <w:szCs w:val="22"/>
        </w:rPr>
        <w:t xml:space="preserve">First-mover in robotics safety ($275B market, zero current standards for AI decision-making)</w:t>
      </w:r>
    </w:p>
    <w:p>
      <w:pPr>
        <w:pStyle w:val="Heading2"/>
      </w:pPr>
      <w:r>
        <w:t xml:space="preserve">WHY 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EU AI Act enforcement begins February 2, 2026—we launch January 15, ready Day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50,000+ enterprises need compliance solutions immediately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Insurance carriers will require certification (like vehicle inspection)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Robot manufacturers have no safety framework—massive blue ocean</w:t>
      </w:r>
    </w:p>
    <w:p>
      <w:pPr>
        <w:pStyle w:val="Heading2"/>
      </w:pPr>
      <w:r>
        <w:t xml:space="preserve">BUSINESS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80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Y1 Target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Y1 Revenue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D3748"/>
                <w:sz w:val="20"/>
                <w:szCs w:val="20"/>
              </w:rPr>
              <w:t xml:space="preserve">Analyst Certification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£199/yr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10,000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£2M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D3748"/>
                <w:sz w:val="20"/>
                <w:szCs w:val="20"/>
              </w:rPr>
              <w:t xml:space="preserve">Enterprise License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€299/mo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1,000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€3.6M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D3748"/>
                <w:sz w:val="20"/>
                <w:szCs w:val="20"/>
              </w:rPr>
              <w:t xml:space="preserve">AI System License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€10K/yr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100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D3748"/>
                <w:sz w:val="20"/>
                <w:szCs w:val="20"/>
              </w:rPr>
              <w:t xml:space="preserve">€1M</w:t>
            </w:r>
          </w:p>
        </w:tc>
      </w:tr>
    </w:tbl>
    <w:p>
      <w:pPr>
        <w:pStyle w:val="Heading2"/>
      </w:pPr>
      <w:r>
        <w:t xml:space="preserve">COMPETITIVE ADVANTAGE</w:t>
      </w:r>
    </w:p>
    <w:p>
      <w:pPr>
        <w:spacing w:after="100"/>
      </w:pPr>
      <w:r>
        <w:rPr>
          <w:b/>
          <w:bCs/>
        </w:rPr>
        <w:t xml:space="preserve">First-mover with operational infrastructure. </w:t>
      </w:r>
      <w:r>
        <w:t xml:space="preserve">AIGP offers training but no monitoring. Government regulations are slow and jurisdiction-limited. </w:t>
      </w:r>
      <w:r>
        <w:rPr>
          <w:b/>
          <w:bCs/>
        </w:rPr>
        <w:t xml:space="preserve">We're the only player combining real-time AI oversight, market-driven enforcement, and economic justice.</w:t>
      </w:r>
    </w:p>
    <w:p>
      <w:pPr>
        <w:pStyle w:val="Heading2"/>
      </w:pPr>
      <w:r>
        <w:t xml:space="preserve">CREDIBILITY</w:t>
      </w:r>
    </w:p>
    <w:p>
      <w:pPr>
        <w:spacing w:after="120"/>
      </w:pPr>
      <w:r>
        <w:t xml:space="preserve">Framework informed by work of </w:t>
      </w:r>
      <w:r>
        <w:rPr>
          <w:b/>
          <w:bCs/>
        </w:rPr>
        <w:t xml:space="preserve">Geoffrey Hinton </w:t>
      </w:r>
      <w:r>
        <w:t xml:space="preserve">(Maternal Covenant), </w:t>
      </w:r>
      <w:r>
        <w:rPr>
          <w:b/>
          <w:bCs/>
        </w:rPr>
        <w:t xml:space="preserve">Max Tegmark </w:t>
      </w:r>
      <w:r>
        <w:t xml:space="preserve">(Provable Safety), </w:t>
      </w:r>
      <w:r>
        <w:rPr>
          <w:b/>
          <w:bCs/>
        </w:rPr>
        <w:t xml:space="preserve">Stuart Russell </w:t>
      </w:r>
      <w:r>
        <w:t xml:space="preserve">(Value Uncertainty), and </w:t>
      </w:r>
      <w:r>
        <w:rPr>
          <w:b/>
          <w:bCs/>
        </w:rPr>
        <w:t xml:space="preserve">Anthropic's Constitutional AI</w:t>
      </w:r>
      <w:r>
        <w:t xml:space="preserve">. 11 founding members committed. 52-article Charter complete.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A365D" w:sz="2"/>
              <w:left w:val="single" w:color="1A365D" w:sz="2"/>
              <w:bottom w:val="single" w:color="1A365D" w:sz="2"/>
              <w:right w:val="single" w:color="1A365D" w:sz="2"/>
            </w:tcBorders>
            <w:shd w:fill="1A365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INTERESTED IN LEARNING MORE?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nicholas@councilof.ai  |  councilof.ai  |  Launch: January 15, 2026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jc w:val="center"/>
    </w:pPr>
    <w:rPr>
      <w:rFonts w:ascii="Arial" w:cs="Arial" w:eastAsia="Arial" w:hAnsi="Arial"/>
      <w:b/>
      <w:bCs/>
      <w:color w:val="1A365D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2026-01-12T12:17:54.172Z</dcterms:created>
  <dcterms:modified xsi:type="dcterms:W3CDTF">2026-01-12T12:17:54.173Z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