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CSOAI PARTNERSHIP CHARTER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ARTICLE 8: MANDATORY PROSPERITY CONTRIBUTIONS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(Simplified Provisions for Commercial AI Entities)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 (Simplified)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15, 2026, 09:00 GMT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 Article - Economic Framework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PREAMBLE</w:t>
      </w:r>
    </w:p>
    <w:p>
      <w:pPr>
        <w:spacing w:after="200"/>
      </w:pPr>
      <w:r>
        <w:t xml:space="preserve">This Article establishes the economic foundation of responsible AI development: </w:t>
      </w:r>
      <w:r>
        <w:rPr>
          <w:b/>
          <w:bCs/>
        </w:rPr>
        <w:t xml:space="preserve">shared prosperity</w:t>
      </w:r>
      <w:r>
        <w:t xml:space="preserve">. As artificial intelligence creates unprecedented economic value, that value must be distributed equitably to benefit humanity. This is not optional charity—it is a fundamental requirement for commercial AI deployment under the CSOAI framework.</w:t>
      </w:r>
    </w:p>
    <w:p>
      <w:pPr>
        <w:spacing w:after="200"/>
      </w:pPr>
      <w:r>
        <w:rPr>
          <w:b/>
          <w:bCs/>
        </w:rPr>
        <w:t xml:space="preserve">Core Principle: </w:t>
      </w:r>
      <w:r>
        <w:t xml:space="preserve">All entities that profit from AI systems—corporations, organizations, and CSOAI itself—must contribute to collective human welfare through the AI Prosperity Fund. No exceptions for commercial deployments.</w:t>
      </w:r>
    </w:p>
    <w:p>
      <w:pPr>
        <w:spacing w:after="200"/>
      </w:pPr>
      <w:r>
        <w:rPr>
          <w:b/>
          <w:bCs/>
        </w:rPr>
        <w:t xml:space="preserve">Legal Precedents: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Alaska Permanent Fund (1982-present): </w:t>
      </w:r>
      <w:r>
        <w:t xml:space="preserve">43 years of proven universal basic income, funded by resource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India Companies Act 2013, Section 135: </w:t>
      </w:r>
      <w:r>
        <w:t xml:space="preserve">Mandatory 2% CSR contributions, raising over $10B+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EU Digital Services Tax Framework: </w:t>
      </w:r>
      <w:r>
        <w:t xml:space="preserve">Revenue-based contributions from technology platforms</w:t>
      </w:r>
    </w:p>
    <w:p>
      <w:pPr>
        <w:pStyle w:val="Heading1"/>
      </w:pPr>
      <w:r>
        <w:t xml:space="preserve">8.1 AI PROSPERITY FUND STRUCTURE</w:t>
      </w:r>
    </w:p>
    <w:p>
      <w:pPr>
        <w:pStyle w:val="Heading2"/>
      </w:pPr>
      <w:r>
        <w:t xml:space="preserve">8.1.1 Legal Entity</w:t>
      </w:r>
    </w:p>
    <w:p>
      <w:pPr>
        <w:spacing w:after="200"/>
      </w:pPr>
      <w:r>
        <w:rPr>
          <w:b/>
          <w:bCs/>
        </w:rPr>
        <w:t xml:space="preserve">Entity Type: </w:t>
      </w:r>
      <w:r>
        <w:t xml:space="preserve">Independent charitable trust, legally separate from CSOAI Ltd</w:t>
      </w:r>
    </w:p>
    <w:p>
      <w:pPr>
        <w:spacing w:after="100"/>
      </w:pPr>
      <w:r>
        <w:rPr>
          <w:b/>
          <w:bCs/>
        </w:rPr>
        <w:t xml:space="preserve">Registrations:</w:t>
      </w:r>
    </w:p>
    <w:p>
      <w:pPr>
        <w:pStyle w:val="ListParagraph"/>
        <w:numPr>
          <w:ilvl w:val="0"/>
          <w:numId w:val="2"/>
        </w:numPr>
      </w:pPr>
      <w:r>
        <w:t xml:space="preserve">UK Charity Commission (primary jurisdiction)</w:t>
      </w:r>
    </w:p>
    <w:p>
      <w:pPr>
        <w:pStyle w:val="ListParagraph"/>
        <w:numPr>
          <w:ilvl w:val="0"/>
          <w:numId w:val="2"/>
        </w:numPr>
      </w:pPr>
      <w:r>
        <w:t xml:space="preserve">US 501(c)(3) non-profit status</w:t>
      </w:r>
    </w:p>
    <w:p>
      <w:pPr>
        <w:pStyle w:val="ListParagraph"/>
        <w:numPr>
          <w:ilvl w:val="0"/>
          <w:numId w:val="2"/>
        </w:numPr>
      </w:pPr>
      <w:r>
        <w:t xml:space="preserve">EU charitable recognition</w:t>
      </w:r>
    </w:p>
    <w:p>
      <w:pPr>
        <w:pStyle w:val="ListParagraph"/>
        <w:numPr>
          <w:ilvl w:val="0"/>
          <w:numId w:val="2"/>
        </w:numPr>
      </w:pPr>
      <w:r>
        <w:t xml:space="preserve">International recognition under OECD guidelines</w:t>
      </w:r>
    </w:p>
    <w:p>
      <w:pPr>
        <w:pStyle w:val="Heading2"/>
      </w:pPr>
      <w:r>
        <w:t xml:space="preserve">8.1.2 Separation of Funds</w:t>
      </w:r>
    </w:p>
    <w:p>
      <w:pPr>
        <w:spacing w:after="200"/>
      </w:pPr>
      <w:r>
        <w:rPr>
          <w:b/>
          <w:bCs/>
        </w:rPr>
        <w:t xml:space="preserve">Critical Separation: </w:t>
      </w:r>
      <w:r>
        <w:t xml:space="preserve">CSOAI administers the Prosperity Fund but does NOT own it.</w:t>
      </w:r>
    </w:p>
    <w:p>
      <w:pPr>
        <w:pStyle w:val="ListParagraph"/>
        <w:numPr>
          <w:ilvl w:val="0"/>
          <w:numId w:val="2"/>
        </w:numPr>
      </w:pPr>
      <w:r>
        <w:t xml:space="preserve">CSOAI operating revenue ≠ Prosperity Fund assets</w:t>
      </w:r>
    </w:p>
    <w:p>
      <w:pPr>
        <w:pStyle w:val="ListParagraph"/>
        <w:numPr>
          <w:ilvl w:val="0"/>
          <w:numId w:val="2"/>
        </w:numPr>
      </w:pPr>
      <w:r>
        <w:t xml:space="preserve">CSOAI contributes TO the Fund like all other entities</w:t>
      </w:r>
    </w:p>
    <w:p>
      <w:pPr>
        <w:pStyle w:val="ListParagraph"/>
        <w:numPr>
          <w:ilvl w:val="0"/>
          <w:numId w:val="2"/>
        </w:numPr>
      </w:pPr>
      <w:r>
        <w:t xml:space="preserve">Independent accounting with separate bank accounts</w:t>
      </w:r>
    </w:p>
    <w:p>
      <w:pPr>
        <w:pStyle w:val="ListParagraph"/>
        <w:numPr>
          <w:ilvl w:val="0"/>
          <w:numId w:val="2"/>
        </w:numPr>
      </w:pPr>
      <w:r>
        <w:t xml:space="preserve">Annual independent audits required</w:t>
      </w:r>
    </w:p>
    <w:p>
      <w:pPr>
        <w:pStyle w:val="ListParagraph"/>
        <w:numPr>
          <w:ilvl w:val="0"/>
          <w:numId w:val="2"/>
        </w:numPr>
      </w:pPr>
      <w:r>
        <w:t xml:space="preserve">No commingling of funds permitted</w:t>
      </w:r>
    </w:p>
    <w:p>
      <w:pPr>
        <w:pStyle w:val="Heading2"/>
      </w:pPr>
      <w:r>
        <w:t xml:space="preserve">8.1.3 Governance Structure</w:t>
      </w:r>
    </w:p>
    <w:p>
      <w:pPr>
        <w:spacing w:after="100"/>
      </w:pPr>
      <w:r>
        <w:rPr>
          <w:b/>
          <w:bCs/>
        </w:rPr>
        <w:t xml:space="preserve">Board of Trustees (7 members):</w:t>
      </w:r>
    </w:p>
    <w:p>
      <w:pPr>
        <w:pStyle w:val="ListParagraph"/>
        <w:numPr>
          <w:ilvl w:val="0"/>
          <w:numId w:val="3"/>
        </w:numPr>
      </w:pPr>
      <w:r>
        <w:t xml:space="preserve">3 appointed by CSOAI Board (AI safety and economics expertise)</w:t>
      </w:r>
    </w:p>
    <w:p>
      <w:pPr>
        <w:pStyle w:val="ListParagraph"/>
        <w:numPr>
          <w:ilvl w:val="0"/>
          <w:numId w:val="3"/>
        </w:numPr>
      </w:pPr>
      <w:r>
        <w:t xml:space="preserve">2 elected by contributing corporations (weighted by contribution)</w:t>
      </w:r>
    </w:p>
    <w:p>
      <w:pPr>
        <w:pStyle w:val="ListParagraph"/>
        <w:numPr>
          <w:ilvl w:val="0"/>
          <w:numId w:val="3"/>
        </w:numPr>
      </w:pPr>
      <w:r>
        <w:t xml:space="preserve">2 elected by citizen representatives (beneficiary voice)</w:t>
      </w:r>
    </w:p>
    <w:p>
      <w:pPr>
        <w:spacing w:after="200"/>
      </w:pPr>
      <w:r>
        <w:rPr>
          <w:b/>
          <w:bCs/>
        </w:rPr>
        <w:t xml:space="preserve">Conflict Prevention: </w:t>
      </w:r>
      <w:r>
        <w:t xml:space="preserve">No individual may simultaneously serve on CSOAI Board and Fund Board of Trustees.</w:t>
      </w:r>
    </w:p>
    <w:p>
      <w:r>
        <w:br w:type="page"/>
      </w:r>
    </w:p>
    <w:p>
      <w:pPr>
        <w:pStyle w:val="Heading1"/>
      </w:pPr>
      <w:r>
        <w:t xml:space="preserve">8.2 MANDATORY CONTRIBUTION FRAMEWORK</w:t>
      </w:r>
    </w:p>
    <w:p>
      <w:pPr>
        <w:pStyle w:val="Heading2"/>
      </w:pPr>
      <w:r>
        <w:t xml:space="preserve">8.2.1 Who Must Contribute</w:t>
      </w:r>
    </w:p>
    <w:p>
      <w:pPr>
        <w:spacing w:after="200"/>
      </w:pPr>
      <w:r>
        <w:rPr>
          <w:b/>
          <w:bCs/>
        </w:rPr>
        <w:t xml:space="preserve">Universal Requirement: </w:t>
      </w:r>
      <w:r>
        <w:t xml:space="preserve">All entities that profit from AI systems must obtain a CSOAI license AND contribute to the Prosperity Fund. This includes: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 Developers: </w:t>
      </w:r>
      <w:r>
        <w:t xml:space="preserve">Companies creating AI models, systems, or services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 Deployers: </w:t>
      </w:r>
      <w:r>
        <w:t xml:space="preserve">Organizations using AI systems for commercial purposes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Infrastructure Providers: </w:t>
      </w:r>
      <w:r>
        <w:t xml:space="preserve">Cloud computing and GPU providers serving AI workloads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AI-Enabled Businesses: </w:t>
      </w:r>
      <w:r>
        <w:t xml:space="preserve">Companies using AI to generate significant revenue or cost savings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CSOAI Ltd: </w:t>
      </w:r>
      <w:r>
        <w:t xml:space="preserve">Leading by example with its own contributions</w:t>
      </w:r>
    </w:p>
    <w:p>
      <w:pPr>
        <w:pStyle w:val="Heading2"/>
      </w:pPr>
      <w:r>
        <w:t xml:space="preserve">8.2.2 Progressive Contribution Rates</w:t>
      </w:r>
    </w:p>
    <w:p>
      <w:pPr>
        <w:spacing w:after="200"/>
      </w:pPr>
      <w:r>
        <w:rPr>
          <w:b/>
          <w:bCs/>
        </w:rPr>
        <w:t xml:space="preserve">Philosophy: </w:t>
      </w:r>
      <w:r>
        <w:t xml:space="preserve">Higher profits require higher contribution percentages. This is sustainable because AI companies achieve extraordinary profit margins compared to traditional businesses.</w:t>
      </w:r>
    </w:p>
    <w:p>
      <w:pPr>
        <w:spacing w:after="200"/>
      </w:pPr>
      <w:r>
        <w:rPr>
          <w:b/>
          <w:bCs/>
        </w:rPr>
        <w:t xml:space="preserve">Profit-Based Contribution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Annual AI Profit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Rate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&lt;$10M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$5M → $50K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$10M-$100M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$50M → $1.5M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$100M-$1B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$500M → $30M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$1B-$10B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$5B → $600M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&gt;$10B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$50B → $10B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8.3 COMPLIANCE AND ENFORCEMENT</w:t>
      </w:r>
    </w:p>
    <w:p>
      <w:pPr>
        <w:pStyle w:val="Heading2"/>
      </w:pPr>
      <w:r>
        <w:t xml:space="preserve">8.3.1 Mandatory Licensing</w:t>
      </w:r>
    </w:p>
    <w:p>
      <w:pPr>
        <w:spacing w:after="200"/>
      </w:pPr>
      <w:r>
        <w:rPr>
          <w:b/>
          <w:bCs/>
        </w:rPr>
        <w:t xml:space="preserve">Requirement: </w:t>
      </w:r>
      <w:r>
        <w:t xml:space="preserve">To operate ANY AI system subject to this Charter, an entity MUST hold a valid CSOAI license.</w:t>
      </w:r>
    </w:p>
    <w:p>
      <w:pPr>
        <w:spacing w:after="100"/>
      </w:pPr>
      <w:r>
        <w:rPr>
          <w:b/>
          <w:bCs/>
        </w:rPr>
        <w:t xml:space="preserve">License Application Requirements:</w:t>
      </w:r>
    </w:p>
    <w:p>
      <w:pPr>
        <w:pStyle w:val="ListParagraph"/>
        <w:numPr>
          <w:ilvl w:val="0"/>
          <w:numId w:val="2"/>
        </w:numPr>
      </w:pPr>
      <w:r>
        <w:t xml:space="preserve">Detailed description of AI systems deployed</w:t>
      </w:r>
    </w:p>
    <w:p>
      <w:pPr>
        <w:pStyle w:val="ListParagraph"/>
        <w:numPr>
          <w:ilvl w:val="0"/>
          <w:numId w:val="2"/>
        </w:numPr>
      </w:pPr>
      <w:r>
        <w:t xml:space="preserve">Revenue and profit projections</w:t>
      </w:r>
    </w:p>
    <w:p>
      <w:pPr>
        <w:pStyle w:val="ListParagraph"/>
        <w:numPr>
          <w:ilvl w:val="0"/>
          <w:numId w:val="2"/>
        </w:numPr>
      </w:pPr>
      <w:r>
        <w:t xml:space="preserve">Contribution calculation methodology</w:t>
      </w:r>
    </w:p>
    <w:p>
      <w:pPr>
        <w:pStyle w:val="ListParagraph"/>
        <w:numPr>
          <w:ilvl w:val="0"/>
          <w:numId w:val="2"/>
        </w:numPr>
      </w:pPr>
      <w:r>
        <w:t xml:space="preserve">Proposed payment schedule</w:t>
      </w:r>
    </w:p>
    <w:p>
      <w:pPr>
        <w:pStyle w:val="ListParagraph"/>
        <w:numPr>
          <w:ilvl w:val="0"/>
          <w:numId w:val="2"/>
        </w:numPr>
      </w:pPr>
      <w:r>
        <w:t xml:space="preserve">Signed Prosperity Fund contribution agreement</w:t>
      </w:r>
    </w:p>
    <w:p>
      <w:pPr>
        <w:pStyle w:val="Heading2"/>
      </w:pPr>
      <w:r>
        <w:t xml:space="preserve">8.3.2 Payment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Payment Type</w:t>
            </w:r>
          </w:p>
        </w:tc>
        <w:tc>
          <w:tcPr>
            <w:tcW w:type="dxa" w:w="62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license fees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1st of each 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license fees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year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percentages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 (within 30 days of quarter end)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Profit-based contributions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60 days of fiscal year end</w:t>
            </w:r>
          </w:p>
        </w:tc>
      </w:tr>
    </w:tbl>
    <w:p>
      <w:pPr>
        <w:pStyle w:val="Heading2"/>
      </w:pPr>
      <w:r>
        <w:t xml:space="preserve">8.3.3 Verification Mechanisms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Annual Financial Audit: </w:t>
      </w:r>
      <w:r>
        <w:t xml:space="preserve">Required for companies with &gt;$10M revenue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Spot Audits: </w:t>
      </w:r>
      <w:r>
        <w:t xml:space="preserve">Random selection of 5% of licensees annually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Blockchain Tracking: </w:t>
      </w:r>
      <w:r>
        <w:t xml:space="preserve">All contributions recorded on immutable ledger for transparency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Whistleblower Protections: </w:t>
      </w:r>
      <w:r>
        <w:t xml:space="preserve">Anonymous reporting mechanisms for non-compliance</w:t>
      </w:r>
    </w:p>
    <w:p>
      <w:pPr>
        <w:pStyle w:val="Heading2"/>
      </w:pPr>
      <w:r>
        <w:t xml:space="preserve">8.3.4 Penalties for Non-Compliance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Violation</w:t>
            </w:r>
          </w:p>
        </w:tc>
        <w:tc>
          <w:tcPr>
            <w:tcW w:type="dxa" w:w="46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Penalty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2× amount owed + license suspension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Intentional fraud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5× amount owed + license revocation + referral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 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1% interest per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without license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cease operations + €1M fine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8.4 EXEMPTIONS AND SPECIAL PROVISIONS</w:t>
      </w:r>
    </w:p>
    <w:p>
      <w:pPr>
        <w:pStyle w:val="Heading2"/>
      </w:pPr>
      <w:r>
        <w:t xml:space="preserve">8.4.1 Full Exemptions</w:t>
      </w:r>
    </w:p>
    <w:p>
      <w:pPr>
        <w:spacing w:after="100"/>
      </w:pPr>
      <w:r>
        <w:t xml:space="preserve">The following entities are exempt from contribution requirements: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Non-profit research: </w:t>
      </w:r>
      <w:r>
        <w:t xml:space="preserve">Academic and pure research organizations with budgets &lt;$1M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Open-source contributors: </w:t>
      </w:r>
      <w:r>
        <w:t xml:space="preserve">Projects with no commercial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Individual hobbyists: </w:t>
      </w:r>
      <w:r>
        <w:t xml:space="preserve">Personal use generating &lt;$50K/year in AI-related income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Disaster response AI: </w:t>
      </w:r>
      <w:r>
        <w:t xml:space="preserve">Temporary exemption during declared emergencies</w:t>
      </w:r>
    </w:p>
    <w:p>
      <w:pPr>
        <w:pStyle w:val="Heading2"/>
      </w:pPr>
      <w:r>
        <w:t xml:space="preserve">8.4.2 Reduced 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 Type</w:t>
            </w:r>
          </w:p>
        </w:tc>
        <w:tc>
          <w:tcPr>
            <w:tcW w:type="dxa" w:w="46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businesses (&lt;50 employees)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 discount on all fees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Mission-aligned nonprofits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 discount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Educational institutions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 discount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Government agencies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Administrative fees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Developing nations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50-75% discount for 5 years</w:t>
            </w:r>
          </w:p>
        </w:tc>
      </w:tr>
    </w:tbl>
    <w:p>
      <w:pPr>
        <w:pStyle w:val="Heading2"/>
      </w:pPr>
      <w:r>
        <w:t xml:space="preserve">8.4.3 Hardship Provisions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Early-stage startups (&lt;2 years old): </w:t>
      </w:r>
      <w:r>
        <w:t xml:space="preserve">Payment deferred until profitable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distress: </w:t>
      </w:r>
      <w:r>
        <w:t xml:space="preserve">Extended payment plans up to 3 years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Force majeure: </w:t>
      </w:r>
      <w:r>
        <w:t xml:space="preserve">Temporary suspension during qualifying events</w:t>
      </w:r>
    </w:p>
    <w:p>
      <w:r>
        <w:br w:type="page"/>
      </w:r>
    </w:p>
    <w:p>
      <w:pPr>
        <w:pStyle w:val="Heading1"/>
      </w:pPr>
      <w:r>
        <w:t xml:space="preserve">8.5 FUND ALLOCATION AND DISTRIBUTION</w:t>
      </w:r>
    </w:p>
    <w:p>
      <w:pPr>
        <w:pStyle w:val="Heading2"/>
      </w:pPr>
      <w:r>
        <w:t xml:space="preserve">8.5.1 Primary Uses</w:t>
      </w:r>
    </w:p>
    <w:p>
      <w:pPr>
        <w:spacing w:after="100"/>
      </w:pPr>
      <w:r>
        <w:t xml:space="preserve">The Prosperity Fund shall be allocated as follows: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Triggered Universal Basic Income (60%): </w:t>
      </w:r>
      <w:r>
        <w:t xml:space="preserve">Payments to citizens when AI-caused job displacement reaches defined thresholds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Universal AI Oversight Wage (15%): </w:t>
      </w:r>
      <w:r>
        <w:t xml:space="preserve">Compensation for Human Council participation and AI oversight activities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Safety Research (15%): </w:t>
      </w:r>
      <w:r>
        <w:t xml:space="preserve">Funding for alignment research and safety initiatives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Administrative Operations (10%): </w:t>
      </w:r>
      <w:r>
        <w:t xml:space="preserve">Fund management, compliance monitoring, and operational costs</w:t>
      </w:r>
    </w:p>
    <w:p>
      <w:pPr>
        <w:pStyle w:val="Heading2"/>
      </w:pPr>
      <w:r>
        <w:t xml:space="preserve">8.5.2 UBI Trigger Mechanism</w:t>
      </w:r>
    </w:p>
    <w:p>
      <w:pPr>
        <w:spacing w:after="200"/>
      </w:pPr>
      <w:r>
        <w:rPr>
          <w:b/>
          <w:bCs/>
        </w:rPr>
        <w:t xml:space="preserve">Automatic Activation: </w:t>
      </w:r>
      <w:r>
        <w:t xml:space="preserve">UBI payments activate when verified AI-caused unemployment reaches 10% of the workforce in any participating jurisdiction. This removes political discretion from activation decisions.</w:t>
      </w:r>
    </w:p>
    <w:p>
      <w:pPr>
        <w:spacing w:after="100"/>
      </w:pPr>
      <w:r>
        <w:rPr>
          <w:b/>
          <w:bCs/>
        </w:rPr>
        <w:t xml:space="preserve">Measurement Methodology:</w:t>
      </w:r>
    </w:p>
    <w:p>
      <w:pPr>
        <w:pStyle w:val="ListParagraph"/>
        <w:numPr>
          <w:ilvl w:val="0"/>
          <w:numId w:val="2"/>
        </w:numPr>
      </w:pPr>
      <w:r>
        <w:t xml:space="preserve">Official government labor statistics (primary source)</w:t>
      </w:r>
    </w:p>
    <w:p>
      <w:pPr>
        <w:pStyle w:val="ListParagraph"/>
        <w:numPr>
          <w:ilvl w:val="0"/>
          <w:numId w:val="2"/>
        </w:numPr>
      </w:pPr>
      <w:r>
        <w:t xml:space="preserve">Independent economic research verification</w:t>
      </w:r>
    </w:p>
    <w:p>
      <w:pPr>
        <w:pStyle w:val="ListParagraph"/>
        <w:numPr>
          <w:ilvl w:val="0"/>
          <w:numId w:val="2"/>
        </w:numPr>
      </w:pPr>
      <w:r>
        <w:t xml:space="preserve">AI job displacement attribution analysis</w:t>
      </w:r>
    </w:p>
    <w:p>
      <w:pPr>
        <w:pStyle w:val="ListParagraph"/>
        <w:numPr>
          <w:ilvl w:val="0"/>
          <w:numId w:val="2"/>
        </w:numPr>
      </w:pPr>
      <w:r>
        <w:t xml:space="preserve">Quarterly review by Fund Board of Trustees</w:t>
      </w:r>
    </w:p>
    <w:p>
      <w:pPr>
        <w:pStyle w:val="Heading2"/>
      </w:pPr>
      <w:r>
        <w:t xml:space="preserve">8.5.3 Investment Strategy</w:t>
      </w:r>
    </w:p>
    <w:p>
      <w:pPr>
        <w:spacing w:after="200"/>
      </w:pPr>
      <w:r>
        <w:rPr>
          <w:b/>
          <w:bCs/>
        </w:rPr>
        <w:t xml:space="preserve">Conservative Approach: </w:t>
      </w:r>
      <w:r>
        <w:t xml:space="preserve">Fund assets shall be managed conservatively to ensure long-term sustainability, following the Alaska Permanent Fund model.</w:t>
      </w:r>
    </w:p>
    <w:p>
      <w:pPr>
        <w:spacing w:after="100"/>
      </w:pPr>
      <w:r>
        <w:rPr>
          <w:b/>
          <w:bCs/>
        </w:rPr>
        <w:t xml:space="preserve">Asset Allocation:</w:t>
      </w:r>
    </w:p>
    <w:p>
      <w:pPr>
        <w:pStyle w:val="ListParagraph"/>
        <w:numPr>
          <w:ilvl w:val="0"/>
          <w:numId w:val="2"/>
        </w:numPr>
      </w:pPr>
      <w:r>
        <w:t xml:space="preserve">40% Global diversified equity index funds</w:t>
      </w:r>
    </w:p>
    <w:p>
      <w:pPr>
        <w:pStyle w:val="ListParagraph"/>
        <w:numPr>
          <w:ilvl w:val="0"/>
          <w:numId w:val="2"/>
        </w:numPr>
      </w:pPr>
      <w:r>
        <w:t xml:space="preserve">30% Government and AAA corporate bonds</w:t>
      </w:r>
    </w:p>
    <w:p>
      <w:pPr>
        <w:pStyle w:val="ListParagraph"/>
        <w:numPr>
          <w:ilvl w:val="0"/>
          <w:numId w:val="2"/>
        </w:numPr>
      </w:pPr>
      <w:r>
        <w:t xml:space="preserve">15% Commercial real estate and REITs</w:t>
      </w:r>
    </w:p>
    <w:p>
      <w:pPr>
        <w:pStyle w:val="ListParagraph"/>
        <w:numPr>
          <w:ilvl w:val="0"/>
          <w:numId w:val="2"/>
        </w:numPr>
      </w:pPr>
      <w:r>
        <w:t xml:space="preserve">10% Inflation hedges (gold, commodities)</w:t>
      </w:r>
    </w:p>
    <w:p>
      <w:pPr>
        <w:pStyle w:val="ListParagraph"/>
        <w:numPr>
          <w:ilvl w:val="0"/>
          <w:numId w:val="2"/>
        </w:numPr>
      </w:pPr>
      <w:r>
        <w:t xml:space="preserve">5% Cash for liquidity</w:t>
      </w:r>
    </w:p>
    <w:p>
      <w:pPr>
        <w:spacing w:after="200"/>
      </w:pPr>
      <w:r>
        <w:rPr>
          <w:b/>
          <w:bCs/>
        </w:rPr>
        <w:t xml:space="preserve">Ethical Restrictions: </w:t>
      </w:r>
      <w:r>
        <w:t xml:space="preserve">No investments in weapons manufacturing, tobacco, fossil fuel extraction, or predatory lending.</w:t>
      </w:r>
    </w:p>
    <w:p>
      <w:r>
        <w:br w:type="page"/>
      </w:r>
    </w:p>
    <w:p>
      <w:pPr>
        <w:pStyle w:val="Heading1"/>
      </w:pPr>
      <w:r>
        <w:t xml:space="preserve">8.6 MARKET ENFORCEMENT MECHANISMS</w:t>
      </w:r>
    </w:p>
    <w:p>
      <w:pPr>
        <w:spacing w:after="200"/>
      </w:pPr>
      <w:r>
        <w:t xml:space="preserve">Beyond direct penalties, market forces provide powerful enforcement through commercial and reputational consequences:</w:t>
      </w:r>
    </w:p>
    <w:p>
      <w:pPr>
        <w:pStyle w:val="Heading2"/>
      </w:pPr>
      <w:r>
        <w:t xml:space="preserve">8.6.1 Commercial Pressure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Insurance: </w:t>
      </w:r>
      <w:r>
        <w:t xml:space="preserve">Carriers will not cover AI systems without CSOAI license and verified contributions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Procurement: </w:t>
      </w:r>
      <w:r>
        <w:t xml:space="preserve">Enterprise buyers will require compliance as vendor qualification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Investment: </w:t>
      </w:r>
      <w:r>
        <w:t xml:space="preserve">VC and PE funds will mandate compliance as investment condition</w:t>
      </w:r>
    </w:p>
    <w:p>
      <w:pPr>
        <w:pStyle w:val="Heading2"/>
      </w:pPr>
      <w:r>
        <w:t xml:space="preserve">8.6.2 Reputational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Dashboard: </w:t>
      </w:r>
      <w:r>
        <w:t xml:space="preserve">Real-time contribution tracking at csoai.org/prosperity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Prosperity Partner Certification: </w:t>
      </w:r>
      <w:r>
        <w:t xml:space="preserve">Positive marketing badge for compliant companies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Non-Compliance Disclosure: </w:t>
      </w:r>
      <w:r>
        <w:t xml:space="preserve">Public flagging of companies failing contribution requirements</w:t>
      </w:r>
    </w:p>
    <w:p>
      <w:pPr>
        <w:pStyle w:val="Heading2"/>
      </w:pPr>
      <w:r>
        <w:t xml:space="preserve">8.6.3 Regulatory Integration</w:t>
      </w:r>
    </w:p>
    <w:p>
      <w:pPr>
        <w:spacing w:after="200"/>
      </w:pPr>
      <w:r>
        <w:t xml:space="preserve">CSOAI will work with national governments to integrate Charter requirements into domestic law:</w:t>
      </w:r>
    </w:p>
    <w:p>
      <w:pPr>
        <w:pStyle w:val="ListParagraph"/>
        <w:numPr>
          <w:ilvl w:val="0"/>
          <w:numId w:val="2"/>
        </w:numPr>
      </w:pPr>
      <w:r>
        <w:t xml:space="preserve">Model legislation for CSOAI license requirements</w:t>
      </w:r>
    </w:p>
    <w:p>
      <w:pPr>
        <w:pStyle w:val="ListParagraph"/>
        <w:numPr>
          <w:ilvl w:val="0"/>
          <w:numId w:val="2"/>
        </w:numPr>
      </w:pPr>
      <w:r>
        <w:t xml:space="preserve">Tax deductibility alignment for contributions</w:t>
      </w:r>
    </w:p>
    <w:p>
      <w:pPr>
        <w:pStyle w:val="ListParagraph"/>
        <w:numPr>
          <w:ilvl w:val="0"/>
          <w:numId w:val="2"/>
        </w:numPr>
      </w:pPr>
      <w:r>
        <w:t xml:space="preserve">Enforcement coordination with national regulators</w:t>
      </w:r>
    </w:p>
    <w:p>
      <w:pPr>
        <w:pStyle w:val="ListParagraph"/>
        <w:numPr>
          <w:ilvl w:val="0"/>
          <w:numId w:val="2"/>
        </w:numPr>
      </w:pPr>
      <w:r>
        <w:t xml:space="preserve">International treaty recognition of CSOAI standards</w:t>
      </w:r>
    </w:p>
    <w:p>
      <w:pPr>
        <w:pStyle w:val="Heading1"/>
      </w:pPr>
      <w:r>
        <w:t xml:space="preserve">8.7 TRANSPARENCY AND ACCOUNTABILITY</w:t>
      </w:r>
    </w:p>
    <w:p>
      <w:pPr>
        <w:spacing w:after="100"/>
      </w:pPr>
      <w:r>
        <w:rPr>
          <w:b/>
          <w:bCs/>
        </w:rPr>
        <w:t xml:space="preserve">All Fund operations shall maintain full transparency:</w:t>
      </w:r>
    </w:p>
    <w:p>
      <w:pPr>
        <w:pStyle w:val="ListParagraph"/>
        <w:numPr>
          <w:ilvl w:val="0"/>
          <w:numId w:val="2"/>
        </w:numPr>
      </w:pPr>
      <w:r>
        <w:t xml:space="preserve">All contributions tracked on public blockchain (Ethereum or Hyperledger)</w:t>
      </w:r>
    </w:p>
    <w:p>
      <w:pPr>
        <w:pStyle w:val="ListParagraph"/>
        <w:numPr>
          <w:ilvl w:val="0"/>
          <w:numId w:val="2"/>
        </w:numPr>
      </w:pPr>
      <w:r>
        <w:t xml:space="preserve">Quarterly financial reports published publicly</w:t>
      </w:r>
    </w:p>
    <w:p>
      <w:pPr>
        <w:pStyle w:val="ListParagraph"/>
        <w:numPr>
          <w:ilvl w:val="0"/>
          <w:numId w:val="2"/>
        </w:numPr>
      </w:pPr>
      <w:r>
        <w:t xml:space="preserve">Annual independent audit by Big Four accounting firm</w:t>
      </w:r>
    </w:p>
    <w:p>
      <w:pPr>
        <w:pStyle w:val="ListParagraph"/>
        <w:numPr>
          <w:ilvl w:val="0"/>
          <w:numId w:val="2"/>
        </w:numPr>
      </w:pPr>
      <w:r>
        <w:t xml:space="preserve">Real-time dashboard showing contributions and distributions</w:t>
      </w:r>
    </w:p>
    <w:p>
      <w:pPr>
        <w:pStyle w:val="ListParagraph"/>
        <w:numPr>
          <w:ilvl w:val="0"/>
          <w:numId w:val="2"/>
        </w:numPr>
      </w:pPr>
      <w:r>
        <w:t xml:space="preserve">Annual report to all stakeholders</w:t>
      </w:r>
    </w:p>
    <w:p>
      <w:pPr>
        <w:spacing w:before="400"/>
      </w:pPr>
    </w:p>
    <w:p>
      <w:pPr>
        <w:spacing w:before="400"/>
        <w:jc w:val="center"/>
      </w:pPr>
      <w:r>
        <w:rPr>
          <w:b/>
          <w:bCs/>
          <w:i/>
          <w:iCs/>
        </w:rPr>
        <w:t xml:space="preserve">— END OF ARTICLE 8 (SIMPLIFIED) —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Effective Date: January 15, 2026, 09:00 GMT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20"/>
        <w:szCs w:val="20"/>
      </w:rPr>
      <w:t xml:space="preserve">CSOAI Partnership Charter - Article 8 (Simplified)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2026-01-12T11:31:30.559Z</dcterms:created>
  <dcterms:modified xsi:type="dcterms:W3CDTF">2026-01-12T11:31:30.560Z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