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Multi-Agent Report Writer — Résumé Material</w:t>
      </w:r>
    </w:p>
    <w:p>
      <w:r>
        <w:t>Bullets, numbers and talking points for putting this project on a CV or in an interview. Every figure is taken from results/comparison.json, results/cost.json or the individual run records — none is estimated.</w:t>
      </w:r>
    </w:p>
    <w:p>
      <w:r>
        <w:t>The product — the page a stranger can type a question into — is the thing to lead with. The evaluation is what makes it credible: plenty of people can wire four agents together, and very few can tell you whether it was worth doing.</w:t>
      </w:r>
    </w:p>
    <w:p>
      <w:pPr>
        <w:pStyle w:val="Heading1"/>
      </w:pPr>
      <w:r>
        <w:t>1. The three-line version</w:t>
      </w:r>
    </w:p>
    <w:p>
      <w:r>
        <w:t>For a CV with a tight projects section. Lead with the product, land on the finding.</w:t>
      </w:r>
    </w:p>
    <w:p>
      <w:pPr>
        <w:pStyle w:val="ListBullet"/>
      </w:pPr>
      <w:r>
        <w:t>Built and shipped a full-stack AI research product: type a question, watch a six-node LangGraph pipeline run live over SSE, and get a cited briefing with PDF/DOCX export — FastAPI backend, dependency-free front end, 96 tests across ~10,700 lines.</w:t>
      </w:r>
    </w:p>
    <w:p>
      <w:pPr>
        <w:pStyle w:val="ListBullet"/>
      </w:pPr>
      <w:r>
        <w:t>Designed a controlled evaluation of multi-agent orchestration against a single-agent baseline over six frozen topics, scored blind by both an LLM judge and a human: +28% token cost, 0.75× latency, and no quality difference detectable above either instrument's own measured noise.</w:t>
      </w:r>
    </w:p>
    <w:p>
      <w:pPr>
        <w:pStyle w:val="ListBullet"/>
      </w:pPr>
      <w:r>
        <w:t>Cut pipeline cost 36.7% by instrumenting the research loop and proving with a matched-pair experiment that its 77 extra findings were crowding first-pass evidence out of the report rather than adding to it.</w:t>
      </w:r>
    </w:p>
    <w:p>
      <w:pPr>
        <w:pStyle w:val="Heading1"/>
      </w:pPr>
      <w:r>
        <w:t>2. The full version</w:t>
      </w:r>
    </w:p>
    <w:p>
      <w:r>
        <w:t>Seven bullets for a portfolio, a projects page, or the long form of a CV. Pick five.</w:t>
      </w:r>
    </w:p>
    <w:p>
      <w:pPr>
        <w:pStyle w:val="Heading2"/>
      </w:pPr>
      <w:r>
        <w:t>Product and engineering</w:t>
      </w:r>
    </w:p>
    <w:p>
      <w:pPr>
        <w:pStyle w:val="ListBullet"/>
      </w:pPr>
      <w:r>
        <w:t>Shipped a streaming research product on FastAPI and LangGraph: a six-node supervisor graph (researcher → analyst → writer → critic) whose state is pushed to the browser over Server-Sent Events as each node completes, so a user watches the pipeline reason rather than waiting on a spinner.</w:t>
      </w:r>
    </w:p>
    <w:p>
      <w:pPr>
        <w:pStyle w:val="ListBullet"/>
      </w:pPr>
      <w:r>
        <w:t>Built the front end with no framework and no build step — ~1,500 lines of HTML, CSS and vanilla JS — sharing one trace renderer between the public page and an internal instrumentation view, after an earlier duplicated renderer drifted until the two pages disagreed about what a run looked like.</w:t>
      </w:r>
    </w:p>
    <w:p>
      <w:pPr>
        <w:pStyle w:val="ListBullet"/>
      </w:pPr>
      <w:r>
        <w:t>Added a zero-cost replay: recorded runs play back through the same renderer with play, pause and a scrubber, so a visitor sees exactly what the button does without spending the 30–50k tokens a live run costs. Per-event timing is reconstructed from the token ledger rather than faked — a trace event's token count identifies the contiguous run of model calls behind it, recovering real durations (24.5s for the first research pass, 2.2s for the critic).</w:t>
      </w:r>
    </w:p>
    <w:p>
      <w:pPr>
        <w:pStyle w:val="ListBullet"/>
      </w:pPr>
      <w:r>
        <w:t>Implemented server-side export to PDF and DOCX from a single markdown parser, with a 23-font picker that measures which families are actually installed rather than naming them and silently falling back. PDFs embed the real TrueType file — indexing 185 families from the OS font directory — so a document opens correctly on a machine that does not have the font.</w:t>
      </w:r>
    </w:p>
    <w:p>
      <w:pPr>
        <w:pStyle w:val="Heading2"/>
      </w:pPr>
      <w:r>
        <w:t>Evaluation and analysis</w:t>
      </w:r>
    </w:p>
    <w:p>
      <w:pPr>
        <w:pStyle w:val="ListBullet"/>
      </w:pPr>
      <w:r>
        <w:t>Built the measurement instrument before the experiment and validated it: position control across both presentation orders from a stable hash, a calibration gate that damages a clean report four known ways and fails the run if the judge does not notice, an enforced ban on the judge model matching the pipeline model, and blinding shared by the automated and human scorers through one code path so the two definitions cannot drift.</w:t>
      </w:r>
    </w:p>
    <w:p>
      <w:pPr>
        <w:pStyle w:val="ListBullet"/>
      </w:pPr>
      <w:r>
        <w:t>Measured both instruments' repeat noise on byte-identical reports — 2.0 points of 25 for the LLM judge, 5.0 for the human — and used it to show that the observed quality gaps (−0.32 judge, +0.20 human) fall inside the measurement error, converting an apparent contradiction between two instruments into a defensible null result.</w:t>
      </w:r>
    </w:p>
    <w:p>
      <w:pPr>
        <w:pStyle w:val="ListBullet"/>
      </w:pPr>
      <w:r>
        <w:t>Localised a structural defect the automated judge could not see: it scored argument-free reports 4.83/5, at its ceiling, while blind human reading found 0 of 6 reports closing on a synthesis against 6 of 6 for the control. Rewriting the writer's prompt contract moved blind structural coherence from −1.00 to +0.67 while the judge's score did not move at all.</w:t>
      </w:r>
    </w:p>
    <w:p>
      <w:pPr>
        <w:pStyle w:val="Heading1"/>
      </w:pPr>
      <w:r>
        <w:t>3. The product, feature by feature</w:t>
      </w:r>
    </w:p>
    <w:p>
      <w:r>
        <w:t>What to demo, and what each part is evidence of. The order is the order to show them in.</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What it demonstrates</w:t>
            </w:r>
          </w:p>
        </w:tc>
      </w:tr>
      <w:tr>
        <w:tc>
          <w:tcPr>
            <w:tcW w:type="dxa" w:w="4320"/>
          </w:tcPr>
          <w:p>
            <w:r>
              <w:t>Live trace over SSE — nodes appear as they finish, with a placeholder for the one currently working</w:t>
            </w:r>
          </w:p>
        </w:tc>
        <w:tc>
          <w:tcPr>
            <w:tcW w:type="dxa" w:w="4320"/>
          </w:tcPr>
          <w:p>
            <w:r>
              <w:t>Streaming architecture, async Python, and a UI that reflects a long-running backend honestly instead of hiding it</w:t>
            </w:r>
          </w:p>
        </w:tc>
      </w:tr>
      <w:tr>
        <w:tc>
          <w:tcPr>
            <w:tcW w:type="dxa" w:w="4320"/>
          </w:tcPr>
          <w:p>
            <w:r>
              <w:t>Replay of a recorded run: play, pause, scrub, 1×/2×/4×</w:t>
            </w:r>
          </w:p>
        </w:tc>
        <w:tc>
          <w:tcPr>
            <w:tcW w:type="dxa" w:w="4320"/>
          </w:tcPr>
          <w:p>
            <w:r>
              <w:t>That the demo costs a visitor nothing, and that timing was reconstructed from real data rather than invented</w:t>
            </w:r>
          </w:p>
        </w:tc>
      </w:tr>
      <w:tr>
        <w:tc>
          <w:tcPr>
            <w:tcW w:type="dxa" w:w="4320"/>
          </w:tcPr>
          <w:p>
            <w:r>
              <w:t>Cited briefing with an evidence panel — press a figure and it explains what it counts; press "sources" and the pages behind the citations list out</w:t>
            </w:r>
          </w:p>
        </w:tc>
        <w:tc>
          <w:tcPr>
            <w:tcW w:type="dxa" w:w="4320"/>
          </w:tcPr>
          <w:p>
            <w:r>
              <w:t>Grounding. The reports cite evidence and the citations are checkable, which is the whole difference from a chatbot</w:t>
            </w:r>
          </w:p>
        </w:tc>
      </w:tr>
      <w:tr>
        <w:tc>
          <w:tcPr>
            <w:tcW w:type="dxa" w:w="4320"/>
          </w:tcPr>
          <w:p>
            <w:r>
              <w:t>"Looked for and not found" — declared evidence gaps</w:t>
            </w:r>
          </w:p>
        </w:tc>
        <w:tc>
          <w:tcPr>
            <w:tcW w:type="dxa" w:w="4320"/>
          </w:tcPr>
          <w:p>
            <w:r>
              <w:t>A property the single-agent control cannot produce at all. The system knows what it failed to establish</w:t>
            </w:r>
          </w:p>
        </w:tc>
      </w:tr>
      <w:tr>
        <w:tc>
          <w:tcPr>
            <w:tcW w:type="dxa" w:w="4320"/>
          </w:tcPr>
          <w:p>
            <w:r>
              <w:t>Stop mid-run; the question box freezes and clears only on success</w:t>
            </w:r>
          </w:p>
        </w:tc>
        <w:tc>
          <w:tcPr>
            <w:tcW w:type="dxa" w:w="4320"/>
          </w:tcPr>
          <w:p>
            <w:r>
              <w:t>State management across four exit paths, and an honest one: stopping cancels the graph but cannot refund spent tokens, so the trace stays on screen</w:t>
            </w:r>
          </w:p>
        </w:tc>
      </w:tr>
      <w:tr>
        <w:tc>
          <w:tcPr>
            <w:tcW w:type="dxa" w:w="4320"/>
          </w:tcPr>
          <w:p>
            <w:r>
              <w:t>Font picker and PDF/DOCX download</w:t>
            </w:r>
          </w:p>
        </w:tc>
        <w:tc>
          <w:tcPr>
            <w:tcW w:type="dxa" w:w="4320"/>
          </w:tcPr>
          <w:p>
            <w:r>
              <w:t>Document generation, font embedding, and availability detection rather than silent fallback</w:t>
            </w:r>
          </w:p>
        </w:tc>
      </w:tr>
      <w:tr>
        <w:tc>
          <w:tcPr>
            <w:tcW w:type="dxa" w:w="4320"/>
          </w:tcPr>
          <w:p>
            <w:r>
              <w:t>/dev — the same trace with a live cost meter against the measured baseline</w:t>
            </w:r>
          </w:p>
        </w:tc>
        <w:tc>
          <w:tcPr>
            <w:tcW w:type="dxa" w:w="4320"/>
          </w:tcPr>
          <w:p>
            <w:r>
              <w:t>That cost was a design constraint, not an afterthought. The counter crosses 1× while the report is still being written</w:t>
            </w:r>
          </w:p>
        </w:tc>
      </w:tr>
    </w:tbl>
    <w:p>
      <w:pPr>
        <w:pStyle w:val="Heading1"/>
      </w:pPr>
      <w:r>
        <w:t>4. Verified numbers</w:t>
      </w:r>
    </w:p>
    <w:p>
      <w:r>
        <w:t>Quote from this table. Every row was read from a committed artifact.</w:t>
      </w:r>
    </w:p>
    <w:p>
      <w:pPr>
        <w:pStyle w:val="Heading2"/>
      </w:pPr>
      <w:r>
        <w:t>Cost, over six topics per system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Measure</w:t>
            </w:r>
          </w:p>
        </w:tc>
        <w:tc>
          <w:tcPr>
            <w:tcW w:type="dxa" w:w="2160"/>
          </w:tcPr>
          <w:p>
            <w:r>
              <w:t>Single agent</w:t>
            </w:r>
          </w:p>
        </w:tc>
        <w:tc>
          <w:tcPr>
            <w:tcW w:type="dxa" w:w="2160"/>
          </w:tcPr>
          <w:p>
            <w:r>
              <w:t>Multi-agent</w:t>
            </w:r>
          </w:p>
        </w:tc>
        <w:tc>
          <w:tcPr>
            <w:tcW w:type="dxa" w:w="2160"/>
          </w:tcPr>
          <w:p>
            <w:r>
              <w:t>Ratio</w:t>
            </w:r>
          </w:p>
        </w:tc>
      </w:tr>
      <w:tr>
        <w:tc>
          <w:tcPr>
            <w:tcW w:type="dxa" w:w="2160"/>
          </w:tcPr>
          <w:p>
            <w:r>
              <w:t>Total tokens</w:t>
            </w:r>
          </w:p>
        </w:tc>
        <w:tc>
          <w:tcPr>
            <w:tcW w:type="dxa" w:w="2160"/>
          </w:tcPr>
          <w:p>
            <w:r>
              <w:t>194,618</w:t>
            </w:r>
          </w:p>
        </w:tc>
        <w:tc>
          <w:tcPr>
            <w:tcW w:type="dxa" w:w="2160"/>
          </w:tcPr>
          <w:p>
            <w:r>
              <w:t>249,968</w:t>
            </w:r>
          </w:p>
        </w:tc>
        <w:tc>
          <w:tcPr>
            <w:tcW w:type="dxa" w:w="2160"/>
          </w:tcPr>
          <w:p>
            <w:r>
              <w:t>1.28×</w:t>
            </w:r>
          </w:p>
        </w:tc>
      </w:tr>
      <w:tr>
        <w:tc>
          <w:tcPr>
            <w:tcW w:type="dxa" w:w="2160"/>
          </w:tcPr>
          <w:p>
            <w:r>
              <w:t>Model calls</w:t>
            </w:r>
          </w:p>
        </w:tc>
        <w:tc>
          <w:tcPr>
            <w:tcW w:type="dxa" w:w="2160"/>
          </w:tcPr>
          <w:p>
            <w:r>
              <w:t>78</w:t>
            </w:r>
          </w:p>
        </w:tc>
        <w:tc>
          <w:tcPr>
            <w:tcW w:type="dxa" w:w="2160"/>
          </w:tcPr>
          <w:p>
            <w:r>
              <w:t>96</w:t>
            </w:r>
          </w:p>
        </w:tc>
        <w:tc>
          <w:tcPr>
            <w:tcW w:type="dxa" w:w="2160"/>
          </w:tcPr>
          <w:p>
            <w:r>
              <w:t>1.23×</w:t>
            </w:r>
          </w:p>
        </w:tc>
      </w:tr>
      <w:tr>
        <w:tc>
          <w:tcPr>
            <w:tcW w:type="dxa" w:w="2160"/>
          </w:tcPr>
          <w:p>
            <w:r>
              <w:t>Wall clock</w:t>
            </w:r>
          </w:p>
        </w:tc>
        <w:tc>
          <w:tcPr>
            <w:tcW w:type="dxa" w:w="2160"/>
          </w:tcPr>
          <w:p>
            <w:r>
              <w:t>535s</w:t>
            </w:r>
          </w:p>
        </w:tc>
        <w:tc>
          <w:tcPr>
            <w:tcW w:type="dxa" w:w="2160"/>
          </w:tcPr>
          <w:p>
            <w:r>
              <w:t>401s</w:t>
            </w:r>
          </w:p>
        </w:tc>
        <w:tc>
          <w:tcPr>
            <w:tcW w:type="dxa" w:w="2160"/>
          </w:tcPr>
          <w:p>
            <w:r>
              <w:t>0.75×</w:t>
            </w:r>
          </w:p>
        </w:tc>
      </w:tr>
      <w:tr>
        <w:tc>
          <w:tcPr>
            <w:tcW w:type="dxa" w:w="2160"/>
          </w:tcPr>
          <w:p>
            <w:r>
              <w:t>Words produced</w:t>
            </w:r>
          </w:p>
        </w:tc>
        <w:tc>
          <w:tcPr>
            <w:tcW w:type="dxa" w:w="2160"/>
          </w:tcPr>
          <w:p>
            <w:r>
              <w:t>5,492</w:t>
            </w:r>
          </w:p>
        </w:tc>
        <w:tc>
          <w:tcPr>
            <w:tcW w:type="dxa" w:w="2160"/>
          </w:tcPr>
          <w:p>
            <w:r>
              <w:t>6,481</w:t>
            </w:r>
          </w:p>
        </w:tc>
        <w:tc>
          <w:tcPr>
            <w:tcW w:type="dxa" w:w="2160"/>
          </w:tcPr>
          <w:p>
            <w:r>
              <w:t>1.18×</w:t>
            </w:r>
          </w:p>
        </w:tc>
      </w:tr>
      <w:tr>
        <w:tc>
          <w:tcPr>
            <w:tcW w:type="dxa" w:w="2160"/>
          </w:tcPr>
          <w:p>
            <w:r>
              <w:t>Broken citations</w:t>
            </w:r>
          </w:p>
        </w:tc>
        <w:tc>
          <w:tcPr>
            <w:tcW w:type="dxa" w:w="2160"/>
          </w:tcPr>
          <w:p>
            <w:r>
              <w:t>0</w:t>
            </w:r>
          </w:p>
        </w:tc>
        <w:tc>
          <w:tcPr>
            <w:tcW w:type="dxa" w:w="2160"/>
          </w:tcPr>
          <w:p>
            <w:r>
              <w:t>0</w:t>
            </w:r>
          </w:p>
        </w:tc>
        <w:tc>
          <w:tcPr>
            <w:tcW w:type="dxa" w:w="2160"/>
          </w:tcPr>
          <w:p>
            <w:r>
              <w:t>—</w:t>
            </w:r>
          </w:p>
        </w:tc>
      </w:tr>
    </w:tbl>
    <w:p>
      <w:r>
        <w:t>The latency figure is the interesting one and is easy to state badly. The graph is faster despite costing more because it stops searching when the analyst judges the evidence sufficient, while the baseline runs its full search ladder every time.</w:t>
      </w:r>
    </w:p>
    <w:p>
      <w:pPr>
        <w:pStyle w:val="Heading2"/>
      </w:pPr>
      <w:r>
        <w:t>The research loop, matched pair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Measure</w:t>
            </w:r>
          </w:p>
        </w:tc>
        <w:tc>
          <w:tcPr>
            <w:tcW w:type="dxa" w:w="2160"/>
          </w:tcPr>
          <w:p>
            <w:r>
              <w:t>Loop on</w:t>
            </w:r>
          </w:p>
        </w:tc>
        <w:tc>
          <w:tcPr>
            <w:tcW w:type="dxa" w:w="2160"/>
          </w:tcPr>
          <w:p>
            <w:r>
              <w:t>Loop off</w:t>
            </w:r>
          </w:p>
        </w:tc>
        <w:tc>
          <w:tcPr>
            <w:tcW w:type="dxa" w:w="2160"/>
          </w:tcPr>
          <w:p>
            <w:r>
              <w:t>Change</w:t>
            </w:r>
          </w:p>
        </w:tc>
      </w:tr>
      <w:tr>
        <w:tc>
          <w:tcPr>
            <w:tcW w:type="dxa" w:w="2160"/>
          </w:tcPr>
          <w:p>
            <w:r>
              <w:t>Findings gathered</w:t>
            </w:r>
          </w:p>
        </w:tc>
        <w:tc>
          <w:tcPr>
            <w:tcW w:type="dxa" w:w="2160"/>
          </w:tcPr>
          <w:p>
            <w:r>
              <w:t>283</w:t>
            </w:r>
          </w:p>
        </w:tc>
        <w:tc>
          <w:tcPr>
            <w:tcW w:type="dxa" w:w="2160"/>
          </w:tcPr>
          <w:p>
            <w:r>
              <w:t>206</w:t>
            </w:r>
          </w:p>
        </w:tc>
        <w:tc>
          <w:tcPr>
            <w:tcW w:type="dxa" w:w="2160"/>
          </w:tcPr>
          <w:p>
            <w:r>
              <w:t>+77</w:t>
            </w:r>
          </w:p>
        </w:tc>
      </w:tr>
      <w:tr>
        <w:tc>
          <w:tcPr>
            <w:tcW w:type="dxa" w:w="2160"/>
          </w:tcPr>
          <w:p>
            <w:r>
              <w:t>Findings cited</w:t>
            </w:r>
          </w:p>
        </w:tc>
        <w:tc>
          <w:tcPr>
            <w:tcW w:type="dxa" w:w="2160"/>
          </w:tcPr>
          <w:p>
            <w:r>
              <w:t>200</w:t>
            </w:r>
          </w:p>
        </w:tc>
        <w:tc>
          <w:tcPr>
            <w:tcW w:type="dxa" w:w="2160"/>
          </w:tcPr>
          <w:p>
            <w:r>
              <w:t>179</w:t>
            </w:r>
          </w:p>
        </w:tc>
        <w:tc>
          <w:tcPr>
            <w:tcW w:type="dxa" w:w="2160"/>
          </w:tcPr>
          <w:p>
            <w:r>
              <w:t>+21</w:t>
            </w:r>
          </w:p>
        </w:tc>
      </w:tr>
      <w:tr>
        <w:tc>
          <w:tcPr>
            <w:tcW w:type="dxa" w:w="2160"/>
          </w:tcPr>
          <w:p>
            <w:r>
              <w:t>Citation coverage</w:t>
            </w:r>
          </w:p>
        </w:tc>
        <w:tc>
          <w:tcPr>
            <w:tcW w:type="dxa" w:w="2160"/>
          </w:tcPr>
          <w:p>
            <w:r>
              <w:t>71%</w:t>
            </w:r>
          </w:p>
        </w:tc>
        <w:tc>
          <w:tcPr>
            <w:tcW w:type="dxa" w:w="2160"/>
          </w:tcPr>
          <w:p>
            <w:r>
              <w:t>87%</w:t>
            </w:r>
          </w:p>
        </w:tc>
        <w:tc>
          <w:tcPr>
            <w:tcW w:type="dxa" w:w="2160"/>
          </w:tcPr>
          <w:p>
            <w:r>
              <w:t>−16 pts</w:t>
            </w:r>
          </w:p>
        </w:tc>
      </w:tr>
      <w:tr>
        <w:tc>
          <w:tcPr>
            <w:tcW w:type="dxa" w:w="2160"/>
          </w:tcPr>
          <w:p>
            <w:r>
              <w:t>Tokens</w:t>
            </w:r>
          </w:p>
        </w:tc>
        <w:tc>
          <w:tcPr>
            <w:tcW w:type="dxa" w:w="2160"/>
          </w:tcPr>
          <w:p>
            <w:r>
              <w:t>249,968</w:t>
            </w:r>
          </w:p>
        </w:tc>
        <w:tc>
          <w:tcPr>
            <w:tcW w:type="dxa" w:w="2160"/>
          </w:tcPr>
          <w:p>
            <w:r>
              <w:t>158,113</w:t>
            </w:r>
          </w:p>
        </w:tc>
        <w:tc>
          <w:tcPr>
            <w:tcW w:type="dxa" w:w="2160"/>
          </w:tcPr>
          <w:p>
            <w:r>
              <w:t>−36.7%</w:t>
            </w:r>
          </w:p>
        </w:tc>
      </w:tr>
      <w:tr>
        <w:tc>
          <w:tcPr>
            <w:tcW w:type="dxa" w:w="2160"/>
          </w:tcPr>
          <w:p>
            <w:r>
              <w:t>Unclosed gaps declared</w:t>
            </w:r>
          </w:p>
        </w:tc>
        <w:tc>
          <w:tcPr>
            <w:tcW w:type="dxa" w:w="2160"/>
          </w:tcPr>
          <w:p>
            <w:r>
              <w:t>5</w:t>
            </w:r>
          </w:p>
        </w:tc>
        <w:tc>
          <w:tcPr>
            <w:tcW w:type="dxa" w:w="2160"/>
          </w:tcPr>
          <w:p>
            <w:r>
              <w:t>5</w:t>
            </w:r>
          </w:p>
        </w:tc>
        <w:tc>
          <w:tcPr>
            <w:tcW w:type="dxa" w:w="2160"/>
          </w:tcPr>
          <w:p>
            <w:r>
              <w:t>no change</w:t>
            </w:r>
          </w:p>
        </w:tc>
      </w:tr>
    </w:tbl>
    <w:p>
      <w:r>
        <w:t>Same topics, same first-pass budget, one variable. The extra findings did not reach the report: a 1,000-word briefing carries 30–40 citations however much evidence is gathered, so loop findings displaced first-pass ones. Loop findings were cited at 67% against 72% for first-pass — crowding out, not neglect. The default was lowered on this evidence.</w:t>
      </w:r>
    </w:p>
    <w:p>
      <w:pPr>
        <w:pStyle w:val="Heading2"/>
      </w:pPr>
      <w:r>
        <w:t>Quality, and why it is a null result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Instrument</w:t>
            </w:r>
          </w:p>
        </w:tc>
        <w:tc>
          <w:tcPr>
            <w:tcW w:type="dxa" w:w="1728"/>
          </w:tcPr>
          <w:p>
            <w:r>
              <w:t>Single agent</w:t>
            </w:r>
          </w:p>
        </w:tc>
        <w:tc>
          <w:tcPr>
            <w:tcW w:type="dxa" w:w="1728"/>
          </w:tcPr>
          <w:p>
            <w:r>
              <w:t>Multi-agent</w:t>
            </w:r>
          </w:p>
        </w:tc>
        <w:tc>
          <w:tcPr>
            <w:tcW w:type="dxa" w:w="1728"/>
          </w:tcPr>
          <w:p>
            <w:r>
              <w:t>Gap</w:t>
            </w:r>
          </w:p>
        </w:tc>
        <w:tc>
          <w:tcPr>
            <w:tcW w:type="dxa" w:w="1728"/>
          </w:tcPr>
          <w:p>
            <w:r>
              <w:t>That instrument's noise</w:t>
            </w:r>
          </w:p>
        </w:tc>
      </w:tr>
      <w:tr>
        <w:tc>
          <w:tcPr>
            <w:tcW w:type="dxa" w:w="1728"/>
          </w:tcPr>
          <w:p>
            <w:r>
              <w:t>LLM judge, blind, both orders</w:t>
            </w:r>
          </w:p>
        </w:tc>
        <w:tc>
          <w:tcPr>
            <w:tcW w:type="dxa" w:w="1728"/>
          </w:tcPr>
          <w:p>
            <w:r>
              <w:t>4.88</w:t>
            </w:r>
          </w:p>
        </w:tc>
        <w:tc>
          <w:tcPr>
            <w:tcW w:type="dxa" w:w="1728"/>
          </w:tcPr>
          <w:p>
            <w:r>
              <w:t>4.57</w:t>
            </w:r>
          </w:p>
        </w:tc>
        <w:tc>
          <w:tcPr>
            <w:tcW w:type="dxa" w:w="1728"/>
          </w:tcPr>
          <w:p>
            <w:r>
              <w:t>−0.32</w:t>
            </w:r>
          </w:p>
        </w:tc>
        <w:tc>
          <w:tcPr>
            <w:tcW w:type="dxa" w:w="1728"/>
          </w:tcPr>
          <w:p>
            <w:r>
              <w:t>2.0 / 25 = 0.40</w:t>
            </w:r>
          </w:p>
        </w:tc>
      </w:tr>
      <w:tr>
        <w:tc>
          <w:tcPr>
            <w:tcW w:type="dxa" w:w="1728"/>
          </w:tcPr>
          <w:p>
            <w:r>
              <w:t>Human, blind, 3 topics</w:t>
            </w:r>
          </w:p>
        </w:tc>
        <w:tc>
          <w:tcPr>
            <w:tcW w:type="dxa" w:w="1728"/>
          </w:tcPr>
          <w:p>
            <w:r>
              <w:t>4.13</w:t>
            </w:r>
          </w:p>
        </w:tc>
        <w:tc>
          <w:tcPr>
            <w:tcW w:type="dxa" w:w="1728"/>
          </w:tcPr>
          <w:p>
            <w:r>
              <w:t>4.33</w:t>
            </w:r>
          </w:p>
        </w:tc>
        <w:tc>
          <w:tcPr>
            <w:tcW w:type="dxa" w:w="1728"/>
          </w:tcPr>
          <w:p>
            <w:r>
              <w:t>+0.20</w:t>
            </w:r>
          </w:p>
        </w:tc>
        <w:tc>
          <w:tcPr>
            <w:tcW w:type="dxa" w:w="1728"/>
          </w:tcPr>
          <w:p>
            <w:r>
              <w:t>5.0 / 25 = 1.00</w:t>
            </w:r>
          </w:p>
        </w:tc>
      </w:tr>
    </w:tbl>
    <w:p>
      <w:r>
        <w:t>Both gaps are smaller than the repeat-noise the same instrument showed on identical text. The honest conclusion is that neither instrument could tell the systems apart on quality — which is a finding, and a more interesting one than a small win.</w:t>
      </w:r>
    </w:p>
    <w:p>
      <w:pPr>
        <w:pStyle w:val="Heading2"/>
      </w:pPr>
      <w:r>
        <w:t>Scale</w:t>
      </w:r>
    </w:p>
    <w:p>
      <w:r>
        <w:rPr>
          <w:rFonts w:ascii="Consolas" w:hAnsi="Consolas"/>
          <w:sz w:val="19"/>
        </w:rPr>
        <w:t>~10,700 lines   9,211 Python across 51 modules, 1,483 front end</w:t>
        <w:br/>
        <w:t>96 tests        several verified to FAIL against pre-fix code</w:t>
        <w:br/>
        <w:t>94 commits      18 phase write-ups, all tracked</w:t>
        <w:br/>
        <w:t>6 topics        4 shapes: abundant-sources, contested, cross-domain, thin-evidence</w:t>
        <w:br/>
        <w:t>0 tokens        the whole graph runs offline with faked nodes, asserted by a test</w:t>
      </w:r>
    </w:p>
    <w:p>
      <w:pPr>
        <w:pStyle w:val="Heading1"/>
      </w:pPr>
      <w:r>
        <w:t>5. Interview talking points</w:t>
      </w:r>
    </w:p>
    <w:p>
      <w:r>
        <w:t>Four stories. Each has a number, a decision and a consequence, which is what makes an answer memorable rather than a description of a stack.</w:t>
      </w:r>
    </w:p>
    <w:p>
      <w:pPr>
        <w:pStyle w:val="Heading2"/>
      </w:pPr>
      <w:r>
        <w:t>"Tell me about a time you found a bug nobody else would have"</w:t>
      </w:r>
    </w:p>
    <w:p>
      <w:r>
        <w:t>Building the reader-facing page surfaced a defect nine phases of automated scoring had passed over. Every report with an unclosed evidence gap was shipping two sections with the same heading — the writer produced one and the finalize step appended another — on four of six topics. Nothing broke, because every downstream consumer matched only the first occurrence. It was wrong to read, and until there was a page that read it, nothing did.</w:t>
      </w:r>
    </w:p>
    <w:p>
      <w:r>
        <w:t>The lesson: an artifact that is only ever consumed by a scorer is only ever checked the way a scorer checks it.</w:t>
      </w:r>
    </w:p>
    <w:p>
      <w:pPr>
        <w:pStyle w:val="Heading2"/>
      </w:pPr>
      <w:r>
        <w:t>"Tell me about a measurement you did not trust"</w:t>
      </w:r>
    </w:p>
    <w:p>
      <w:r>
        <w:t>Two evaluations gave contradictory answers, so the single agent's six reports were re-scored without being regenerated — byte-identical files, scored twice. The judge moved one topic by 2 points out of 25 and the human moved one by 5. That noise floor is larger than either measured difference, so the contradiction was not a contradiction: it was two instruments failing to resolve the same small gap.</w:t>
      </w:r>
    </w:p>
    <w:p>
      <w:pPr>
        <w:pStyle w:val="Heading2"/>
      </w:pPr>
      <w:r>
        <w:t>"Tell me about a time you argued against your own feature"</w:t>
      </w:r>
    </w:p>
    <w:p>
      <w:r>
        <w:t>The research loop is the mechanism that justifies the whole architecture — the analyst spots an evidence gap and sends the researcher back. A matched-pair run showed it buying 77 findings, no citation gain distinguishable from run-to-run noise, the same number of unclosed gaps, and 36.7% more tokens. The cap was lowered, and the reasoning and the losing arm were both committed.</w:t>
      </w:r>
    </w:p>
    <w:p>
      <w:pPr>
        <w:pStyle w:val="Heading2"/>
      </w:pPr>
      <w:r>
        <w:t>"What would you do differently"</w:t>
      </w:r>
    </w:p>
    <w:p>
      <w:r>
        <w:t>Six topics cannot resolve a quality difference this small. The instrument work was sound and the sample was not — twenty-plus topics and a second human scorer would have been worth more than any further tuning. Naming that is stronger than defending the sample size.</w:t>
      </w:r>
    </w:p>
    <w:p>
      <w:pPr>
        <w:pStyle w:val="Heading1"/>
      </w:pPr>
      <w:r>
        <w:t>6. What not to claim</w:t>
      </w:r>
    </w:p>
    <w:p>
      <w:r>
        <w:t>Every line here is something the data will not support. A single unsupported claim costs more credibility than the whole project earns, and this project's strongest feature is that it states its own limits.</w:t>
      </w:r>
    </w:p>
    <w:tbl>
      <w:tblPr>
        <w:tblStyle w:val="LightGrid-Accent1"/>
        <w:tblW w:type="auto" w:w="0"/>
        <w:tblLook w:firstColumn="1" w:firstRow="1" w:lastColumn="0" w:lastRow="0" w:noHBand="0" w:noVBand="1" w:val="04A0"/>
      </w:tblPr>
      <w:tblGrid>
        <w:gridCol w:w="4320"/>
        <w:gridCol w:w="4320"/>
      </w:tblGrid>
      <w:tr>
        <w:tc>
          <w:tcPr>
            <w:tcW w:type="dxa" w:w="4320"/>
          </w:tcPr>
          <w:p>
            <w:r>
              <w:t>Do not say</w:t>
            </w:r>
          </w:p>
        </w:tc>
        <w:tc>
          <w:tcPr>
            <w:tcW w:type="dxa" w:w="4320"/>
          </w:tcPr>
          <w:p>
            <w:r>
              <w:t>Say instead</w:t>
            </w:r>
          </w:p>
        </w:tc>
      </w:tr>
      <w:tr>
        <w:tc>
          <w:tcPr>
            <w:tcW w:type="dxa" w:w="4320"/>
          </w:tcPr>
          <w:p>
            <w:r>
              <w:t>"Improved report quality by 4%"</w:t>
            </w:r>
          </w:p>
        </w:tc>
        <w:tc>
          <w:tcPr>
            <w:tcW w:type="dxa" w:w="4320"/>
          </w:tcPr>
          <w:p>
            <w:r>
              <w:t>"No quality difference detectable above the instruments' measured noise"</w:t>
            </w:r>
          </w:p>
        </w:tc>
      </w:tr>
      <w:tr>
        <w:tc>
          <w:tcPr>
            <w:tcW w:type="dxa" w:w="4320"/>
          </w:tcPr>
          <w:p>
            <w:r>
              <w:t>"Reduced cost by 37%"</w:t>
            </w:r>
          </w:p>
        </w:tc>
        <w:tc>
          <w:tcPr>
            <w:tcW w:type="dxa" w:w="4320"/>
          </w:tcPr>
          <w:p>
            <w:r>
              <w:t>"Cut the research loop's cost by 36.7% with no measurable loss" — the loop, not the system. The system costs 28% MORE than the baseline</w:t>
            </w:r>
          </w:p>
        </w:tc>
      </w:tr>
      <w:tr>
        <w:tc>
          <w:tcPr>
            <w:tcW w:type="dxa" w:w="4320"/>
          </w:tcPr>
          <w:p>
            <w:r>
              <w:t>"Saved $X per report"</w:t>
            </w:r>
          </w:p>
        </w:tc>
        <w:tc>
          <w:tcPr>
            <w:tcW w:type="dxa" w:w="4320"/>
          </w:tcPr>
          <w:p>
            <w:r>
              <w:t>Nothing. The price constants were never verified, so the project reports tokens only — deliberately</w:t>
            </w:r>
          </w:p>
        </w:tc>
      </w:tr>
      <w:tr>
        <w:tc>
          <w:tcPr>
            <w:tcW w:type="dxa" w:w="4320"/>
          </w:tcPr>
          <w:p>
            <w:r>
              <w:t>"Multi-agent outperformed the single agent"</w:t>
            </w:r>
          </w:p>
        </w:tc>
        <w:tc>
          <w:tcPr>
            <w:tcW w:type="dxa" w:w="4320"/>
          </w:tcPr>
          <w:p>
            <w:r>
              <w:t>"Multi-agent was 25% faster and 28% more expensive, with no quality difference either instrument could resolve"</w:t>
            </w:r>
          </w:p>
        </w:tc>
      </w:tr>
      <w:tr>
        <w:tc>
          <w:tcPr>
            <w:tcW w:type="dxa" w:w="4320"/>
          </w:tcPr>
          <w:p>
            <w:r>
              <w:t>"Validated across a diverse topic set"</w:t>
            </w:r>
          </w:p>
        </w:tc>
        <w:tc>
          <w:tcPr>
            <w:tcW w:type="dxa" w:w="4320"/>
          </w:tcPr>
          <w:p>
            <w:r>
              <w:t>"Six topics across four shapes; two of the four are n=1"</w:t>
            </w:r>
          </w:p>
        </w:tc>
      </w:tr>
      <w:tr>
        <w:tc>
          <w:tcPr>
            <w:tcW w:type="dxa" w:w="4320"/>
          </w:tcPr>
          <w:p>
            <w:r>
              <w:t>"Human-evaluated"</w:t>
            </w:r>
          </w:p>
        </w:tc>
        <w:tc>
          <w:tcPr>
            <w:tcW w:type="dxa" w:w="4320"/>
          </w:tcPr>
          <w:p>
            <w:r>
              <w:t>"Blind-scored by one human on three of six topics, with the scorer's own repeat noise measured and reported"</w:t>
            </w:r>
          </w:p>
        </w:tc>
      </w:tr>
    </w:tbl>
    <w:p>
      <w:r>
        <w:t>The awkward question is "so was multi-agent worth it?" The answer is that on this task, at this sample size, it was not — it cost 28% more for no quality gain anyone could measure — and that the two things it does that the baseline cannot are declare what it failed to find and hold a genuine disagreement apart instead of averaging it. Answering that directly is more impressive than any bullet above.</w:t>
      </w:r>
    </w:p>
    <w:p>
      <w:pPr>
        <w:pStyle w:val="Heading1"/>
      </w:pPr>
      <w:r>
        <w:t>7. Stack</w:t>
      </w:r>
    </w:p>
    <w:p>
      <w:r>
        <w:rPr>
          <w:rFonts w:ascii="Consolas" w:hAnsi="Consolas"/>
          <w:sz w:val="19"/>
        </w:rPr>
        <w:t>Python 3.12  ·  LangGraph  ·  FastAPI  ·  Server-Sent Events  ·  Pydantic</w:t>
        <w:br/>
        <w:t>Gemini API   ·  Tavily search  ·  SQLite checkpointing  ·  pytest  ·  ruff  ·  uv</w:t>
        <w:br/>
        <w:t>python-docx  ·  reportlab (font embedding)  ·  vanilla JS/CSS, no build step</w:t>
      </w:r>
    </w:p>
    <w:p>
      <w:r>
        <w:t>Keywords a screener may look for, if they are true of the role: multi-agent orchestration, LLM evaluation, RAG, agentic workflows, streaming APIs, human-in-the-loop approval, prompt engineering, cost optimisation, observability.</w:t>
      </w:r>
    </w:p>
    <w:p>
      <w:pPr>
        <w:pStyle w:val="Heading2"/>
      </w:pPr>
      <w:r>
        <w:t>One-line project description</w:t>
      </w:r>
    </w:p>
    <w:p>
      <w:r>
        <w:rPr>
          <w:rFonts w:ascii="Consolas" w:hAnsi="Consolas"/>
          <w:sz w:val="19"/>
        </w:rPr>
        <w:t>Multi-Agent Report Writer — a streaming research agent (LangGraph + FastAPI)</w:t>
        <w:br/>
        <w:t>with a controlled evaluation of whether multi-agent orchestration is worth its</w:t>
        <w:br/>
        <w:t>cost. Answer: 28% more tokens, 25% faster, no measurable quality 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