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3F9" w:rsidRPr="006103F9" w:rsidRDefault="006103F9" w:rsidP="006103F9">
      <w:pPr>
        <w:rPr>
          <w:b/>
          <w:sz w:val="24"/>
          <w:szCs w:val="24"/>
        </w:rPr>
      </w:pPr>
      <w:r>
        <w:rPr>
          <w:b/>
          <w:sz w:val="24"/>
          <w:szCs w:val="24"/>
        </w:rPr>
        <w:t xml:space="preserve">1- </w:t>
      </w:r>
      <w:r w:rsidRPr="006103F9">
        <w:rPr>
          <w:b/>
          <w:sz w:val="24"/>
          <w:szCs w:val="24"/>
        </w:rPr>
        <w:t>Study design</w:t>
      </w:r>
    </w:p>
    <w:p w:rsidR="006103F9" w:rsidRPr="006103F9" w:rsidRDefault="006103F9" w:rsidP="006103F9">
      <w:pPr>
        <w:spacing w:before="100" w:beforeAutospacing="1" w:after="100" w:afterAutospacing="1" w:line="240" w:lineRule="auto"/>
        <w:rPr>
          <w:sz w:val="24"/>
          <w:szCs w:val="24"/>
        </w:rPr>
      </w:pPr>
      <w:r w:rsidRPr="006103F9">
        <w:rPr>
          <w:sz w:val="24"/>
          <w:szCs w:val="24"/>
        </w:rPr>
        <w:t xml:space="preserve">Open-label randomized </w:t>
      </w:r>
      <w:proofErr w:type="spellStart"/>
      <w:r w:rsidRPr="006103F9">
        <w:rPr>
          <w:sz w:val="24"/>
          <w:szCs w:val="24"/>
        </w:rPr>
        <w:t>multicountry</w:t>
      </w:r>
      <w:proofErr w:type="spellEnd"/>
      <w:r w:rsidRPr="006103F9">
        <w:rPr>
          <w:sz w:val="24"/>
          <w:szCs w:val="24"/>
        </w:rPr>
        <w:t xml:space="preserve"> clinical trial</w:t>
      </w:r>
    </w:p>
    <w:p w:rsidR="006103F9" w:rsidRPr="006103F9" w:rsidRDefault="006103F9" w:rsidP="006103F9">
      <w:pPr>
        <w:rPr>
          <w:sz w:val="24"/>
          <w:szCs w:val="24"/>
          <w:highlight w:val="yellow"/>
        </w:rPr>
      </w:pPr>
      <w:r w:rsidRPr="006103F9">
        <w:rPr>
          <w:sz w:val="24"/>
          <w:szCs w:val="24"/>
          <w:highlight w:val="yellow"/>
        </w:rPr>
        <w:t>Comment:</w:t>
      </w:r>
    </w:p>
    <w:p w:rsidR="006103F9" w:rsidRPr="006103F9" w:rsidRDefault="006103F9" w:rsidP="006103F9">
      <w:pPr>
        <w:rPr>
          <w:sz w:val="24"/>
          <w:szCs w:val="24"/>
          <w:highlight w:val="yellow"/>
        </w:rPr>
      </w:pPr>
      <w:r w:rsidRPr="006103F9">
        <w:rPr>
          <w:sz w:val="24"/>
          <w:szCs w:val="24"/>
          <w:highlight w:val="yellow"/>
        </w:rPr>
        <w:t xml:space="preserve">Open-label (opposite </w:t>
      </w:r>
      <w:proofErr w:type="gramStart"/>
      <w:r w:rsidRPr="006103F9">
        <w:rPr>
          <w:sz w:val="24"/>
          <w:szCs w:val="24"/>
          <w:highlight w:val="yellow"/>
        </w:rPr>
        <w:t>to  double</w:t>
      </w:r>
      <w:proofErr w:type="gramEnd"/>
      <w:r w:rsidRPr="006103F9">
        <w:rPr>
          <w:sz w:val="24"/>
          <w:szCs w:val="24"/>
          <w:highlight w:val="yellow"/>
        </w:rPr>
        <w:t xml:space="preserve">-blind approach  ) means both the researchers and participants know which treatment is being administered. </w:t>
      </w:r>
    </w:p>
    <w:p w:rsidR="006103F9" w:rsidRPr="006103F9" w:rsidRDefault="006103F9" w:rsidP="008B14E0">
      <w:pPr>
        <w:rPr>
          <w:sz w:val="24"/>
          <w:szCs w:val="24"/>
          <w:highlight w:val="yellow"/>
        </w:rPr>
      </w:pPr>
      <w:r w:rsidRPr="006103F9">
        <w:rPr>
          <w:sz w:val="24"/>
          <w:szCs w:val="24"/>
          <w:highlight w:val="yellow"/>
        </w:rPr>
        <w:t xml:space="preserve">Problem with Open label trials: </w:t>
      </w:r>
    </w:p>
    <w:p w:rsidR="006103F9" w:rsidRPr="006103F9" w:rsidRDefault="006103F9" w:rsidP="008B14E0">
      <w:pPr>
        <w:rPr>
          <w:sz w:val="24"/>
          <w:szCs w:val="24"/>
        </w:rPr>
      </w:pPr>
      <w:r w:rsidRPr="006103F9">
        <w:rPr>
          <w:sz w:val="24"/>
          <w:szCs w:val="24"/>
          <w:highlight w:val="yellow"/>
        </w:rPr>
        <w:t>A blinded trial is regarded as being less subject to bias than an open trial because it minimizes the effect of knowledge of treatment allocation on reporting of outcomes.</w:t>
      </w:r>
    </w:p>
    <w:p w:rsidR="008B14E0" w:rsidRPr="008B14E0" w:rsidRDefault="00AD5939" w:rsidP="008B14E0">
      <w:pPr>
        <w:rPr>
          <w:b/>
          <w:sz w:val="24"/>
          <w:szCs w:val="24"/>
        </w:rPr>
      </w:pPr>
      <w:r w:rsidRPr="008B14E0">
        <w:rPr>
          <w:b/>
          <w:sz w:val="24"/>
          <w:szCs w:val="24"/>
        </w:rPr>
        <w:t>1-</w:t>
      </w:r>
      <w:r w:rsidR="008B14E0" w:rsidRPr="008B14E0">
        <w:rPr>
          <w:b/>
          <w:sz w:val="24"/>
          <w:szCs w:val="24"/>
        </w:rPr>
        <w:t xml:space="preserve"> Data and Safety Monitoring Board</w:t>
      </w:r>
    </w:p>
    <w:p w:rsidR="004A2B57" w:rsidRPr="008B14E0" w:rsidRDefault="00AD5939" w:rsidP="008B14E0">
      <w:pPr>
        <w:rPr>
          <w:sz w:val="24"/>
          <w:szCs w:val="24"/>
        </w:rPr>
      </w:pPr>
      <w:r w:rsidRPr="008B14E0">
        <w:rPr>
          <w:sz w:val="24"/>
          <w:szCs w:val="24"/>
        </w:rPr>
        <w:t xml:space="preserve"> </w:t>
      </w:r>
      <w:r w:rsidRPr="008B14E0">
        <w:rPr>
          <w:sz w:val="24"/>
          <w:szCs w:val="24"/>
        </w:rPr>
        <w:t>Interim trial analyses are monitored by a Global Data and Safety Monitoring Committee, which is an independent group of experts.</w:t>
      </w:r>
    </w:p>
    <w:p w:rsidR="00AD5939" w:rsidRPr="008B14E0" w:rsidRDefault="00AD5939" w:rsidP="008B14E0">
      <w:pPr>
        <w:rPr>
          <w:sz w:val="24"/>
          <w:szCs w:val="24"/>
          <w:highlight w:val="yellow"/>
        </w:rPr>
      </w:pPr>
      <w:r w:rsidRPr="008B14E0">
        <w:rPr>
          <w:sz w:val="24"/>
          <w:szCs w:val="24"/>
          <w:highlight w:val="yellow"/>
        </w:rPr>
        <w:t>Comment:</w:t>
      </w:r>
    </w:p>
    <w:p w:rsidR="00AD5939" w:rsidRPr="008B14E0" w:rsidRDefault="00AD5939" w:rsidP="008B14E0">
      <w:pPr>
        <w:rPr>
          <w:sz w:val="24"/>
          <w:szCs w:val="24"/>
        </w:rPr>
      </w:pPr>
      <w:r w:rsidRPr="008B14E0">
        <w:rPr>
          <w:sz w:val="24"/>
          <w:szCs w:val="24"/>
          <w:highlight w:val="yellow"/>
        </w:rPr>
        <w:t>Global Data and Safety Monitoring Committee</w:t>
      </w:r>
      <w:r w:rsidRPr="008B14E0">
        <w:rPr>
          <w:sz w:val="24"/>
          <w:szCs w:val="24"/>
          <w:highlight w:val="yellow"/>
        </w:rPr>
        <w:t>: UAE should be party of this committee</w:t>
      </w:r>
    </w:p>
    <w:p w:rsidR="00AD5939" w:rsidRPr="008B14E0" w:rsidRDefault="00AD5939" w:rsidP="008B14E0">
      <w:pPr>
        <w:rPr>
          <w:sz w:val="24"/>
          <w:szCs w:val="24"/>
        </w:rPr>
      </w:pPr>
    </w:p>
    <w:p w:rsidR="008B14E0" w:rsidRPr="008B14E0" w:rsidRDefault="00AD5939" w:rsidP="008B14E0">
      <w:pPr>
        <w:rPr>
          <w:b/>
          <w:sz w:val="24"/>
          <w:szCs w:val="24"/>
        </w:rPr>
      </w:pPr>
      <w:r w:rsidRPr="008B14E0">
        <w:rPr>
          <w:b/>
          <w:sz w:val="24"/>
          <w:szCs w:val="24"/>
        </w:rPr>
        <w:t xml:space="preserve">2- </w:t>
      </w:r>
      <w:r w:rsidR="008B14E0" w:rsidRPr="008B14E0">
        <w:rPr>
          <w:b/>
          <w:sz w:val="24"/>
          <w:szCs w:val="24"/>
        </w:rPr>
        <w:t>Additional data</w:t>
      </w:r>
    </w:p>
    <w:p w:rsidR="00AD5939" w:rsidRPr="008B14E0" w:rsidRDefault="00AD5939" w:rsidP="008B14E0">
      <w:pPr>
        <w:rPr>
          <w:sz w:val="24"/>
          <w:szCs w:val="24"/>
        </w:rPr>
      </w:pPr>
      <w:r w:rsidRPr="008B14E0">
        <w:rPr>
          <w:sz w:val="24"/>
          <w:szCs w:val="24"/>
        </w:rPr>
        <w:t>Countries, or particular groups of hospitals, may want to collaborate in making further serial measurements or observations, relating to areas such as virology, blood gases or chemistry and lung imaging. It also possible to incorporate documentation of other aspects of disease status, for example, through linking in electronic healthcare records and routine medical databases. While well-organised additional research studies of the natural history of the disease or of the effects of the trial treatments could well be valuable, they are not core requirements.</w:t>
      </w:r>
    </w:p>
    <w:p w:rsidR="00AD5939" w:rsidRPr="008B14E0" w:rsidRDefault="00AD5939" w:rsidP="008B14E0">
      <w:pPr>
        <w:rPr>
          <w:sz w:val="24"/>
          <w:szCs w:val="24"/>
          <w:highlight w:val="yellow"/>
        </w:rPr>
      </w:pPr>
      <w:r w:rsidRPr="008B14E0">
        <w:rPr>
          <w:sz w:val="24"/>
          <w:szCs w:val="24"/>
          <w:highlight w:val="yellow"/>
        </w:rPr>
        <w:t>Comment</w:t>
      </w:r>
      <w:r w:rsidRPr="008B14E0">
        <w:rPr>
          <w:sz w:val="24"/>
          <w:szCs w:val="24"/>
          <w:highlight w:val="yellow"/>
        </w:rPr>
        <w:t>:</w:t>
      </w:r>
    </w:p>
    <w:p w:rsidR="00AD5939" w:rsidRPr="008B14E0" w:rsidRDefault="00AD5939" w:rsidP="008B14E0">
      <w:pPr>
        <w:rPr>
          <w:sz w:val="24"/>
          <w:szCs w:val="24"/>
        </w:rPr>
      </w:pPr>
      <w:r w:rsidRPr="00746D5E">
        <w:rPr>
          <w:sz w:val="24"/>
          <w:szCs w:val="24"/>
          <w:highlight w:val="yellow"/>
        </w:rPr>
        <w:t xml:space="preserve">Will the EDC system of solidarity </w:t>
      </w:r>
      <w:r w:rsidR="009F39FE" w:rsidRPr="00746D5E">
        <w:rPr>
          <w:sz w:val="24"/>
          <w:szCs w:val="24"/>
          <w:highlight w:val="yellow"/>
        </w:rPr>
        <w:t>allow</w:t>
      </w:r>
      <w:r w:rsidRPr="00746D5E">
        <w:rPr>
          <w:sz w:val="24"/>
          <w:szCs w:val="24"/>
          <w:highlight w:val="yellow"/>
        </w:rPr>
        <w:t xml:space="preserve"> data entry and storage of these </w:t>
      </w:r>
      <w:r w:rsidR="009F39FE" w:rsidRPr="00746D5E">
        <w:rPr>
          <w:sz w:val="24"/>
          <w:szCs w:val="24"/>
          <w:highlight w:val="yellow"/>
        </w:rPr>
        <w:t>additional information?</w:t>
      </w:r>
    </w:p>
    <w:p w:rsidR="00AD5939" w:rsidRPr="008B14E0" w:rsidRDefault="00AD5939" w:rsidP="008B14E0">
      <w:pPr>
        <w:rPr>
          <w:sz w:val="24"/>
          <w:szCs w:val="24"/>
        </w:rPr>
      </w:pPr>
    </w:p>
    <w:p w:rsidR="00C87A2A" w:rsidRPr="008B14E0" w:rsidRDefault="00C87A2A" w:rsidP="008B14E0">
      <w:pPr>
        <w:rPr>
          <w:b/>
          <w:sz w:val="24"/>
          <w:szCs w:val="24"/>
        </w:rPr>
      </w:pPr>
      <w:r w:rsidRPr="008B14E0">
        <w:rPr>
          <w:b/>
          <w:sz w:val="24"/>
          <w:szCs w:val="24"/>
        </w:rPr>
        <w:t>3- Ethics approval</w:t>
      </w:r>
    </w:p>
    <w:p w:rsidR="00C87A2A" w:rsidRPr="008B14E0" w:rsidRDefault="00C87A2A" w:rsidP="008B14E0">
      <w:pPr>
        <w:rPr>
          <w:sz w:val="24"/>
          <w:szCs w:val="24"/>
        </w:rPr>
      </w:pPr>
      <w:r w:rsidRPr="008B14E0">
        <w:rPr>
          <w:sz w:val="24"/>
          <w:szCs w:val="24"/>
        </w:rPr>
        <w:t>Pending, WHO Ethics Review Committee and Ethics Committees of countries implementing the protocol</w:t>
      </w:r>
    </w:p>
    <w:p w:rsidR="00C87A2A" w:rsidRPr="008B14E0" w:rsidRDefault="00C87A2A" w:rsidP="008B14E0">
      <w:pPr>
        <w:rPr>
          <w:sz w:val="24"/>
          <w:szCs w:val="24"/>
          <w:highlight w:val="yellow"/>
        </w:rPr>
      </w:pPr>
      <w:r w:rsidRPr="008B14E0">
        <w:rPr>
          <w:sz w:val="24"/>
          <w:szCs w:val="24"/>
          <w:highlight w:val="yellow"/>
        </w:rPr>
        <w:t>Comment:</w:t>
      </w:r>
    </w:p>
    <w:p w:rsidR="00C87A2A" w:rsidRDefault="00C87A2A" w:rsidP="008B14E0">
      <w:pPr>
        <w:rPr>
          <w:sz w:val="24"/>
          <w:szCs w:val="24"/>
        </w:rPr>
      </w:pPr>
      <w:r w:rsidRPr="008B14E0">
        <w:rPr>
          <w:sz w:val="24"/>
          <w:szCs w:val="24"/>
          <w:highlight w:val="yellow"/>
        </w:rPr>
        <w:t>Ethics Committees of countries implementing the protocol</w:t>
      </w:r>
    </w:p>
    <w:p w:rsidR="008B14E0" w:rsidRPr="008B14E0" w:rsidRDefault="008B14E0" w:rsidP="008B14E0">
      <w:pPr>
        <w:rPr>
          <w:b/>
          <w:sz w:val="24"/>
          <w:szCs w:val="24"/>
        </w:rPr>
      </w:pPr>
      <w:r>
        <w:rPr>
          <w:b/>
          <w:sz w:val="24"/>
          <w:szCs w:val="24"/>
        </w:rPr>
        <w:t xml:space="preserve">4- </w:t>
      </w:r>
      <w:r w:rsidRPr="008B14E0">
        <w:rPr>
          <w:b/>
          <w:sz w:val="24"/>
          <w:szCs w:val="24"/>
        </w:rPr>
        <w:t>Intention to publish date</w:t>
      </w:r>
    </w:p>
    <w:p w:rsidR="008B14E0" w:rsidRPr="008B14E0" w:rsidRDefault="008B14E0" w:rsidP="008B14E0">
      <w:pPr>
        <w:rPr>
          <w:sz w:val="24"/>
          <w:szCs w:val="24"/>
        </w:rPr>
      </w:pPr>
      <w:r w:rsidRPr="008B14E0">
        <w:rPr>
          <w:sz w:val="24"/>
          <w:szCs w:val="24"/>
        </w:rPr>
        <w:lastRenderedPageBreak/>
        <w:t>31/12/2021</w:t>
      </w:r>
    </w:p>
    <w:p w:rsidR="008B14E0" w:rsidRPr="008B14E0" w:rsidRDefault="008B14E0" w:rsidP="008B14E0">
      <w:pPr>
        <w:rPr>
          <w:sz w:val="24"/>
          <w:szCs w:val="24"/>
          <w:highlight w:val="yellow"/>
        </w:rPr>
      </w:pPr>
      <w:r w:rsidRPr="008B14E0">
        <w:rPr>
          <w:sz w:val="24"/>
          <w:szCs w:val="24"/>
          <w:highlight w:val="yellow"/>
        </w:rPr>
        <w:t>Comment:</w:t>
      </w:r>
    </w:p>
    <w:p w:rsidR="008B14E0" w:rsidRDefault="008B14E0" w:rsidP="008B14E0">
      <w:pPr>
        <w:rPr>
          <w:sz w:val="24"/>
          <w:szCs w:val="24"/>
        </w:rPr>
      </w:pPr>
      <w:r w:rsidRPr="00746D5E">
        <w:rPr>
          <w:sz w:val="24"/>
          <w:szCs w:val="24"/>
          <w:highlight w:val="yellow"/>
        </w:rPr>
        <w:t>Too long! Almost in one year and 8 months!</w:t>
      </w:r>
      <w:r>
        <w:rPr>
          <w:sz w:val="24"/>
          <w:szCs w:val="24"/>
        </w:rPr>
        <w:t xml:space="preserve"> </w:t>
      </w:r>
    </w:p>
    <w:p w:rsidR="00AD5939" w:rsidRPr="008B14E0" w:rsidRDefault="008B14E0" w:rsidP="008B14E0">
      <w:pPr>
        <w:rPr>
          <w:b/>
          <w:sz w:val="24"/>
          <w:szCs w:val="24"/>
        </w:rPr>
      </w:pPr>
      <w:r w:rsidRPr="008B14E0">
        <w:rPr>
          <w:b/>
          <w:sz w:val="24"/>
          <w:szCs w:val="24"/>
        </w:rPr>
        <w:t>4- Treatment</w:t>
      </w:r>
    </w:p>
    <w:p w:rsidR="008B14E0" w:rsidRPr="008B14E0" w:rsidRDefault="008B14E0" w:rsidP="008B14E0">
      <w:pPr>
        <w:rPr>
          <w:sz w:val="24"/>
          <w:szCs w:val="24"/>
        </w:rPr>
      </w:pPr>
      <w:r w:rsidRPr="008B14E0">
        <w:rPr>
          <w:sz w:val="24"/>
          <w:szCs w:val="24"/>
        </w:rPr>
        <w:t>1. Local standard of care alone</w:t>
      </w:r>
    </w:p>
    <w:p w:rsidR="008B14E0" w:rsidRPr="008B14E0" w:rsidRDefault="008B14E0" w:rsidP="008B14E0">
      <w:pPr>
        <w:rPr>
          <w:sz w:val="24"/>
          <w:szCs w:val="24"/>
        </w:rPr>
      </w:pPr>
      <w:r w:rsidRPr="008B14E0">
        <w:rPr>
          <w:sz w:val="24"/>
          <w:szCs w:val="24"/>
        </w:rPr>
        <w:t>OR local standard of care plus one of</w:t>
      </w:r>
    </w:p>
    <w:p w:rsidR="008B14E0" w:rsidRPr="008B14E0" w:rsidRDefault="008B14E0" w:rsidP="008B14E0">
      <w:pPr>
        <w:rPr>
          <w:sz w:val="24"/>
          <w:szCs w:val="24"/>
        </w:rPr>
      </w:pPr>
      <w:r w:rsidRPr="008B14E0">
        <w:rPr>
          <w:sz w:val="24"/>
          <w:szCs w:val="24"/>
        </w:rPr>
        <w:t xml:space="preserve">2. </w:t>
      </w:r>
      <w:bookmarkStart w:id="0" w:name="_GoBack"/>
      <w:bookmarkEnd w:id="0"/>
      <w:proofErr w:type="spellStart"/>
      <w:r w:rsidRPr="008B14E0">
        <w:rPr>
          <w:sz w:val="24"/>
          <w:szCs w:val="24"/>
        </w:rPr>
        <w:t>Remdesivir</w:t>
      </w:r>
      <w:proofErr w:type="spellEnd"/>
      <w:r w:rsidRPr="008B14E0">
        <w:rPr>
          <w:sz w:val="24"/>
          <w:szCs w:val="24"/>
        </w:rPr>
        <w:t xml:space="preserve"> (daily infusion for 10 days)</w:t>
      </w:r>
    </w:p>
    <w:p w:rsidR="008B14E0" w:rsidRPr="008B14E0" w:rsidRDefault="008B14E0" w:rsidP="008B14E0">
      <w:pPr>
        <w:rPr>
          <w:sz w:val="24"/>
          <w:szCs w:val="24"/>
        </w:rPr>
      </w:pPr>
      <w:r w:rsidRPr="008B14E0">
        <w:rPr>
          <w:sz w:val="24"/>
          <w:szCs w:val="24"/>
        </w:rPr>
        <w:t xml:space="preserve">3. Chloroquine or </w:t>
      </w:r>
      <w:proofErr w:type="spellStart"/>
      <w:r w:rsidRPr="008B14E0">
        <w:rPr>
          <w:sz w:val="24"/>
          <w:szCs w:val="24"/>
        </w:rPr>
        <w:t>hydroxychloroquine</w:t>
      </w:r>
      <w:proofErr w:type="spellEnd"/>
      <w:r w:rsidRPr="008B14E0">
        <w:rPr>
          <w:sz w:val="24"/>
          <w:szCs w:val="24"/>
        </w:rPr>
        <w:t xml:space="preserve"> (two oral loading doses, then orally twice daily for 10 days)</w:t>
      </w:r>
    </w:p>
    <w:p w:rsidR="008B14E0" w:rsidRPr="008B14E0" w:rsidRDefault="008B14E0" w:rsidP="008B14E0">
      <w:pPr>
        <w:rPr>
          <w:sz w:val="24"/>
          <w:szCs w:val="24"/>
        </w:rPr>
      </w:pPr>
      <w:r w:rsidRPr="008B14E0">
        <w:rPr>
          <w:sz w:val="24"/>
          <w:szCs w:val="24"/>
        </w:rPr>
        <w:t xml:space="preserve">4. </w:t>
      </w:r>
      <w:proofErr w:type="spellStart"/>
      <w:r w:rsidRPr="008B14E0">
        <w:rPr>
          <w:sz w:val="24"/>
          <w:szCs w:val="24"/>
        </w:rPr>
        <w:t>Lopinavir</w:t>
      </w:r>
      <w:proofErr w:type="spellEnd"/>
      <w:r w:rsidRPr="008B14E0">
        <w:rPr>
          <w:sz w:val="24"/>
          <w:szCs w:val="24"/>
        </w:rPr>
        <w:t xml:space="preserve"> + ritonavir (orally twice daily for 14 days)</w:t>
      </w:r>
    </w:p>
    <w:p w:rsidR="008B14E0" w:rsidRDefault="008B14E0" w:rsidP="008B14E0">
      <w:pPr>
        <w:rPr>
          <w:sz w:val="24"/>
          <w:szCs w:val="24"/>
        </w:rPr>
      </w:pPr>
      <w:r w:rsidRPr="008B14E0">
        <w:rPr>
          <w:sz w:val="24"/>
          <w:szCs w:val="24"/>
        </w:rPr>
        <w:t xml:space="preserve">5. </w:t>
      </w:r>
      <w:proofErr w:type="spellStart"/>
      <w:r w:rsidRPr="008B14E0">
        <w:rPr>
          <w:sz w:val="24"/>
          <w:szCs w:val="24"/>
        </w:rPr>
        <w:t>Lopinavir</w:t>
      </w:r>
      <w:proofErr w:type="spellEnd"/>
      <w:r w:rsidRPr="008B14E0">
        <w:rPr>
          <w:sz w:val="24"/>
          <w:szCs w:val="24"/>
        </w:rPr>
        <w:t xml:space="preserve"> + ritonavir ((orally twice daily for 14 days) plus interferon-beta (daily injection for 6 days)</w:t>
      </w:r>
    </w:p>
    <w:p w:rsidR="008B14E0" w:rsidRDefault="008B14E0" w:rsidP="008B14E0">
      <w:pPr>
        <w:rPr>
          <w:sz w:val="24"/>
          <w:szCs w:val="24"/>
        </w:rPr>
      </w:pPr>
    </w:p>
    <w:p w:rsidR="008B14E0" w:rsidRPr="008B14E0" w:rsidRDefault="008B14E0" w:rsidP="008B14E0">
      <w:pPr>
        <w:rPr>
          <w:b/>
          <w:sz w:val="24"/>
          <w:szCs w:val="24"/>
        </w:rPr>
      </w:pPr>
      <w:r>
        <w:rPr>
          <w:b/>
          <w:sz w:val="24"/>
          <w:szCs w:val="24"/>
        </w:rPr>
        <w:t xml:space="preserve">5- </w:t>
      </w:r>
      <w:r w:rsidRPr="008B14E0">
        <w:rPr>
          <w:b/>
          <w:sz w:val="24"/>
          <w:szCs w:val="24"/>
        </w:rPr>
        <w:t>Primary outcome measure</w:t>
      </w:r>
    </w:p>
    <w:p w:rsidR="008B14E0" w:rsidRPr="008B14E0" w:rsidRDefault="008B14E0" w:rsidP="008B14E0">
      <w:pPr>
        <w:rPr>
          <w:sz w:val="24"/>
          <w:szCs w:val="24"/>
        </w:rPr>
      </w:pPr>
      <w:r w:rsidRPr="008B14E0">
        <w:rPr>
          <w:sz w:val="24"/>
          <w:szCs w:val="24"/>
        </w:rPr>
        <w:t>All-cause mortality, subdivided by the severity of disease at the time of randomization, measured using patient records throughout the study</w:t>
      </w:r>
    </w:p>
    <w:p w:rsidR="008B14E0" w:rsidRPr="008B14E0" w:rsidRDefault="008B14E0" w:rsidP="008B14E0">
      <w:pPr>
        <w:rPr>
          <w:b/>
          <w:sz w:val="24"/>
          <w:szCs w:val="24"/>
        </w:rPr>
      </w:pPr>
      <w:r>
        <w:rPr>
          <w:b/>
          <w:sz w:val="24"/>
          <w:szCs w:val="24"/>
        </w:rPr>
        <w:t xml:space="preserve">6- </w:t>
      </w:r>
      <w:r w:rsidRPr="008B14E0">
        <w:rPr>
          <w:b/>
          <w:sz w:val="24"/>
          <w:szCs w:val="24"/>
        </w:rPr>
        <w:t>Secondary outcome measures</w:t>
      </w:r>
    </w:p>
    <w:p w:rsidR="008B14E0" w:rsidRDefault="008B14E0" w:rsidP="008B14E0">
      <w:pPr>
        <w:rPr>
          <w:sz w:val="24"/>
          <w:szCs w:val="24"/>
        </w:rPr>
      </w:pPr>
      <w:r w:rsidRPr="008B14E0">
        <w:rPr>
          <w:sz w:val="24"/>
          <w:szCs w:val="24"/>
        </w:rPr>
        <w:t>Measured using patient records:</w:t>
      </w:r>
      <w:r w:rsidRPr="008B14E0">
        <w:rPr>
          <w:sz w:val="24"/>
          <w:szCs w:val="24"/>
        </w:rPr>
        <w:br/>
        <w:t>1. Duration of hospital stay (hours)</w:t>
      </w:r>
      <w:r w:rsidRPr="008B14E0">
        <w:rPr>
          <w:sz w:val="24"/>
          <w:szCs w:val="24"/>
        </w:rPr>
        <w:br/>
        <w:t>2. Time to first receiving ventilation (or intensive care) (hours)</w:t>
      </w:r>
    </w:p>
    <w:p w:rsidR="003637C0" w:rsidRDefault="003637C0" w:rsidP="008B14E0">
      <w:pPr>
        <w:rPr>
          <w:sz w:val="24"/>
          <w:szCs w:val="24"/>
        </w:rPr>
      </w:pPr>
    </w:p>
    <w:p w:rsidR="003637C0" w:rsidRDefault="003637C0" w:rsidP="008B14E0">
      <w:pPr>
        <w:rPr>
          <w:sz w:val="24"/>
          <w:szCs w:val="24"/>
        </w:rPr>
      </w:pPr>
      <w:r>
        <w:rPr>
          <w:sz w:val="24"/>
          <w:szCs w:val="24"/>
        </w:rPr>
        <w:t>ADD:</w:t>
      </w:r>
    </w:p>
    <w:p w:rsidR="003637C0" w:rsidRDefault="003637C0" w:rsidP="008B14E0">
      <w:pPr>
        <w:rPr>
          <w:rFonts w:ascii="Arial" w:hAnsi="Arial" w:cs="Arial"/>
          <w:color w:val="666666"/>
          <w:sz w:val="18"/>
          <w:szCs w:val="18"/>
          <w:shd w:val="clear" w:color="auto" w:fill="FFFFFF"/>
        </w:rPr>
      </w:pPr>
      <w:r>
        <w:rPr>
          <w:rFonts w:ascii="Arial" w:hAnsi="Arial" w:cs="Arial"/>
          <w:color w:val="666666"/>
          <w:sz w:val="18"/>
          <w:szCs w:val="18"/>
          <w:shd w:val="clear" w:color="auto" w:fill="FFFFFF"/>
        </w:rPr>
        <w:t>Clearance time of virus RNA</w:t>
      </w:r>
    </w:p>
    <w:p w:rsidR="003637C0" w:rsidRPr="008B14E0" w:rsidRDefault="003637C0" w:rsidP="008B14E0">
      <w:pPr>
        <w:rPr>
          <w:sz w:val="24"/>
          <w:szCs w:val="24"/>
        </w:rPr>
      </w:pPr>
    </w:p>
    <w:p w:rsidR="008B14E0" w:rsidRPr="008B14E0" w:rsidRDefault="008B14E0" w:rsidP="008B14E0">
      <w:pPr>
        <w:spacing w:before="100" w:beforeAutospacing="1" w:after="100" w:afterAutospacing="1" w:line="240" w:lineRule="auto"/>
        <w:rPr>
          <w:rFonts w:ascii="Open Sans" w:eastAsia="Times New Roman" w:hAnsi="Open Sans" w:cs="Open Sans"/>
          <w:color w:val="666666"/>
          <w:sz w:val="23"/>
          <w:szCs w:val="23"/>
          <w:lang w:val="en-US"/>
        </w:rPr>
      </w:pPr>
    </w:p>
    <w:p w:rsidR="008B14E0" w:rsidRPr="008B14E0" w:rsidRDefault="008B14E0" w:rsidP="008B14E0">
      <w:pPr>
        <w:rPr>
          <w:sz w:val="24"/>
          <w:szCs w:val="24"/>
        </w:rPr>
      </w:pPr>
    </w:p>
    <w:sectPr w:rsidR="008B14E0" w:rsidRPr="008B14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939"/>
    <w:rsid w:val="00132BFE"/>
    <w:rsid w:val="003276FF"/>
    <w:rsid w:val="003637C0"/>
    <w:rsid w:val="004A2B57"/>
    <w:rsid w:val="006103F9"/>
    <w:rsid w:val="00746D5E"/>
    <w:rsid w:val="007D00A5"/>
    <w:rsid w:val="008B14E0"/>
    <w:rsid w:val="009F39FE"/>
    <w:rsid w:val="00AD5939"/>
    <w:rsid w:val="00C87A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93D9D"/>
  <w15:chartTrackingRefBased/>
  <w15:docId w15:val="{4D4BADD8-7FA4-48DE-85AF-57814DBC0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87A2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7A2A"/>
    <w:rPr>
      <w:rFonts w:ascii="Times New Roman" w:eastAsia="Times New Roman" w:hAnsi="Times New Roman" w:cs="Times New Roman"/>
      <w:b/>
      <w:bC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565">
      <w:bodyDiv w:val="1"/>
      <w:marLeft w:val="0"/>
      <w:marRight w:val="0"/>
      <w:marTop w:val="0"/>
      <w:marBottom w:val="0"/>
      <w:divBdr>
        <w:top w:val="none" w:sz="0" w:space="0" w:color="auto"/>
        <w:left w:val="none" w:sz="0" w:space="0" w:color="auto"/>
        <w:bottom w:val="none" w:sz="0" w:space="0" w:color="auto"/>
        <w:right w:val="none" w:sz="0" w:space="0" w:color="auto"/>
      </w:divBdr>
    </w:div>
    <w:div w:id="42826384">
      <w:bodyDiv w:val="1"/>
      <w:marLeft w:val="0"/>
      <w:marRight w:val="0"/>
      <w:marTop w:val="0"/>
      <w:marBottom w:val="0"/>
      <w:divBdr>
        <w:top w:val="none" w:sz="0" w:space="0" w:color="auto"/>
        <w:left w:val="none" w:sz="0" w:space="0" w:color="auto"/>
        <w:bottom w:val="none" w:sz="0" w:space="0" w:color="auto"/>
        <w:right w:val="none" w:sz="0" w:space="0" w:color="auto"/>
      </w:divBdr>
    </w:div>
    <w:div w:id="170144559">
      <w:bodyDiv w:val="1"/>
      <w:marLeft w:val="0"/>
      <w:marRight w:val="0"/>
      <w:marTop w:val="0"/>
      <w:marBottom w:val="0"/>
      <w:divBdr>
        <w:top w:val="none" w:sz="0" w:space="0" w:color="auto"/>
        <w:left w:val="none" w:sz="0" w:space="0" w:color="auto"/>
        <w:bottom w:val="none" w:sz="0" w:space="0" w:color="auto"/>
        <w:right w:val="none" w:sz="0" w:space="0" w:color="auto"/>
      </w:divBdr>
    </w:div>
    <w:div w:id="75270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oulhaj</dc:creator>
  <cp:keywords/>
  <dc:description/>
  <cp:lastModifiedBy>oulhaj</cp:lastModifiedBy>
  <cp:revision>6</cp:revision>
  <dcterms:created xsi:type="dcterms:W3CDTF">2020-04-16T07:46:00Z</dcterms:created>
  <dcterms:modified xsi:type="dcterms:W3CDTF">2020-04-16T10:29:00Z</dcterms:modified>
</cp:coreProperties>
</file>