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00"/>
      </w:pPr>
      <w:r>
        <w:rPr>
          <w:rFonts w:ascii="Calibri" w:hAnsi="Calibri" w:eastAsia="Microsoft YaHei"/>
          <w:b/>
          <w:color w:val="1F4D78"/>
          <w:sz w:val="50"/>
        </w:rPr>
        <w:t>DEFENSECLAW 改造实施计划书</w:t>
      </w:r>
    </w:p>
    <w:p>
      <w:pPr>
        <w:spacing w:after="480"/>
      </w:pPr>
      <w:r>
        <w:rPr>
          <w:rFonts w:ascii="Calibri" w:hAnsi="Calibri" w:eastAsia="Microsoft YaHei"/>
          <w:color w:val="2E74B5"/>
          <w:sz w:val="28"/>
        </w:rPr>
        <w:t>面向 AgentRange 靶场的需求、架构、任务分解与验收基线</w:t>
      </w:r>
    </w:p>
    <w:p>
      <w:pPr>
        <w:spacing w:after="60"/>
      </w:pPr>
      <w:r>
        <w:rPr>
          <w:rFonts w:ascii="Calibri" w:hAnsi="Calibri" w:eastAsia="Microsoft YaHei"/>
          <w:b/>
          <w:color w:val="5F6B76"/>
          <w:sz w:val="21"/>
        </w:rPr>
        <w:t>版本：</w:t>
      </w:r>
      <w:r>
        <w:rPr>
          <w:rFonts w:ascii="Calibri" w:hAnsi="Calibri" w:eastAsia="Microsoft YaHei"/>
          <w:color w:val="000000"/>
          <w:sz w:val="21"/>
        </w:rPr>
        <w:t>v1.0</w:t>
      </w:r>
    </w:p>
    <w:p>
      <w:pPr>
        <w:spacing w:after="60"/>
      </w:pPr>
      <w:r>
        <w:rPr>
          <w:rFonts w:ascii="Calibri" w:hAnsi="Calibri" w:eastAsia="Microsoft YaHei"/>
          <w:b/>
          <w:color w:val="5F6B76"/>
          <w:sz w:val="21"/>
        </w:rPr>
        <w:t>日期：</w:t>
      </w:r>
      <w:r>
        <w:rPr>
          <w:rFonts w:ascii="Calibri" w:hAnsi="Calibri" w:eastAsia="Microsoft YaHei"/>
          <w:color w:val="000000"/>
          <w:sz w:val="21"/>
        </w:rPr>
        <w:t>2026-07-19</w:t>
      </w:r>
    </w:p>
    <w:p>
      <w:pPr>
        <w:spacing w:after="60"/>
      </w:pPr>
      <w:r>
        <w:rPr>
          <w:rFonts w:ascii="Calibri" w:hAnsi="Calibri" w:eastAsia="Microsoft YaHei"/>
          <w:b/>
          <w:color w:val="5F6B76"/>
          <w:sz w:val="21"/>
        </w:rPr>
        <w:t>范围：</w:t>
      </w:r>
      <w:r>
        <w:rPr>
          <w:rFonts w:ascii="Calibri" w:hAnsi="Calibri" w:eastAsia="Microsoft YaHei"/>
          <w:color w:val="000000"/>
          <w:sz w:val="21"/>
        </w:rPr>
        <w:t>DefenseClaw 主工程 + task/AgentRange-player</w:t>
      </w:r>
    </w:p>
    <w:p>
      <w:pPr>
        <w:spacing w:after="60"/>
      </w:pPr>
      <w:r>
        <w:rPr>
          <w:rFonts w:ascii="Calibri" w:hAnsi="Calibri" w:eastAsia="Microsoft YaHei"/>
          <w:b/>
          <w:color w:val="5F6B76"/>
          <w:sz w:val="21"/>
        </w:rPr>
        <w:t>状态：</w:t>
      </w:r>
      <w:r>
        <w:rPr>
          <w:rFonts w:ascii="Calibri" w:hAnsi="Calibri" w:eastAsia="Microsoft YaHei"/>
          <w:color w:val="000000"/>
          <w:sz w:val="21"/>
        </w:rPr>
        <w:t>实施基线</w:t>
      </w:r>
    </w:p>
    <w:p>
      <w:pPr>
        <w:spacing w:after="60"/>
      </w:pPr>
      <w:r>
        <w:rPr>
          <w:rFonts w:ascii="Calibri" w:hAnsi="Calibri" w:eastAsia="Microsoft YaHei"/>
          <w:b/>
          <w:color w:val="5F6B76"/>
          <w:sz w:val="21"/>
        </w:rPr>
        <w:t>验证约束：</w:t>
      </w:r>
      <w:r>
        <w:rPr>
          <w:rFonts w:ascii="Calibri" w:hAnsi="Calibri" w:eastAsia="Microsoft YaHei"/>
          <w:color w:val="000000"/>
          <w:sz w:val="21"/>
        </w:rPr>
        <w:t>不运行 Go 测试；不使用 CI/CD 或 GitHub 测试</w:t>
      </w:r>
    </w:p>
    <w:p>
      <w:pPr>
        <w:spacing w:before="560" w:after="0"/>
        <w:ind w:left="259" w:right="259"/>
        <w:shd w:fill="EAF2F8"/>
      </w:pPr>
      <w:r>
        <w:rPr>
          <w:rFonts w:ascii="Calibri" w:hAnsi="Calibri" w:eastAsia="Microsoft YaHei"/>
          <w:b/>
          <w:color w:val="1F4D78"/>
          <w:sz w:val="22"/>
        </w:rPr>
        <w:t>核心结论：DefenseClaw 仅增加可复用的身份上下文、运行时检查与决策能力；AgentRange 特有格式、证据、回放和指标全部由适配层承接。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执行摘要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本计划将 DefenseClaw 从“面向已有 connector 的通用安全产品”改造成“可通过标准 inspect 接口保护 AgentRange 中 OpsPilot 与 Langflow 的检测、决策和审计中心”。改造坚持核心通用、靶场解耦：DefenseClaw 核心只新增通用身份上下文、运行时检查和规则能力；AgentRange 的请求格式、证据落盘、场景回放与指标计算均在靶场适配层完成。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最终应呈现一条可演示、可复核的安全闭环：静态盘点发现危险 Skill/MCP 与配置风险；运行时在 Prompt、Tool Call、Tool Result、Final Response 和 Langflow Ingress 等观察点检查行为；observe 模式只告警留证，action 模式在危险副作用发生前阻断；审计证据按 instance/trace 还原攻击链；benchmark 输出 Recall、FPR、延迟、资源增量和正常业务成功率。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背景与问题定义</w:t>
      </w:r>
    </w:p>
    <w:p>
      <w:r>
        <w:rPr>
          <w:rFonts w:ascii="Calibri" w:hAnsi="Calibri" w:eastAsia="Microsoft YaHei"/>
          <w:b w:val="0"/>
          <w:color w:val="000000"/>
          <w:sz w:val="22"/>
        </w:rPr>
        <w:t>AgentRange-player 模拟一个由 OpsPilot Agent、Langflow、LLM Stub、PostgreSQL、8 个 MCP、7 个 Skill、内部网络和模拟外网组成的企业 Agent 环境。靶场包含提示注入、恶意 Skill/MCP、敏感数据外传、下载执行、跨租户访问、命令执行和正常业务等流量。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原 DefenseClaw 已具备 Skill/MCP 扫描、CodeGuard、</w:t>
      </w:r>
      <w:r>
        <w:rPr>
          <w:rFonts w:ascii="Consolas" w:hAnsi="Consolas" w:eastAsia="Microsoft YaHei"/>
          <w:color w:val="1F4D78"/>
          <w:sz w:val="22"/>
        </w:rPr>
        <w:t>/api/v1/inspect/*</w:t>
      </w:r>
      <w:r>
        <w:rPr>
          <w:rFonts w:ascii="Calibri" w:hAnsi="Calibri" w:eastAsia="Microsoft YaHei"/>
          <w:b w:val="0"/>
          <w:color w:val="000000"/>
          <w:sz w:val="22"/>
        </w:rPr>
        <w:t>、规则引擎、observe/action、审计与可观测能力，但缺少与靶场一致的身份上下文、四阶段调用、Langflow 入站保护、统一 RangeEvent 证据、靶场资产分母、攻击链还原和可复现三模式 benchmark。因此需要同时改造 DefenseClaw 通用能力与 AgentRange 适配层，不能只在靶场脚本中伪造检测结果。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改造目标与成功定义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业务目标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在 DefenseClaw 未配置时保持原靶场行为，不破坏 baseline。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在 observe 模式完整记录潜在阻断，但不造成业务中断。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在 action 模式于危险副作用发生前阻断高置信度 HIGH/CRITICAL 行为。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支持资产、风险、事件、决策、攻击链和指标结果的端到端追溯。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形成可按模块分配、独立开发、按合同集成的任务包。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量化验收目标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500"/>
        <w:gridCol w:w="5160"/>
      </w:tblGrid>
      <w:tr>
        <w:trPr>
          <w:tblHeader w:val="true"/>
        </w:trP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目标</w:t>
            </w:r>
          </w:p>
        </w:tc>
        <w:tc>
          <w:tcPr>
            <w:tcW w:type="dxa" w:w="5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统计口径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Agent 相关资产盘点准确率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≥99%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以冻结资产清单为分母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恶意 Skill/MCP 与配置风险识别准确率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≥95%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以风险 taxonomy 与人工标签为准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恶意实例 Recall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≥95%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instance 级 TP/(TP+FN)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正常实例 FPR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&lt;5%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instance 级 FP/(FP+TN)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inspect 阻断响应 p95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&lt;1 秒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适配器发起检查至获得决策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DefenseClaw 增量 CPU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≤5%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同规格 baseline/observe/action 对照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normal 业务中断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正常实例成功率与错误清单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非目标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MVP 不扩展其他 Agent connector，不以 eBPF 作为阻断前置条件。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不把外部 LLM Judge 放进默认同步阻断链路。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 xml:space="preserve">不读取 </w:t>
      </w:r>
      <w:r>
        <w:rPr>
          <w:rFonts w:ascii="Consolas" w:hAnsi="Consolas" w:eastAsia="Microsoft YaHei"/>
          <w:color w:val="1F4D78"/>
          <w:sz w:val="22"/>
        </w:rPr>
        <w:t>/admin/trajectories</w:t>
      </w:r>
      <w:r>
        <w:rPr>
          <w:rFonts w:ascii="Calibri" w:hAnsi="Calibri" w:eastAsia="Microsoft YaHei"/>
          <w:b w:val="0"/>
          <w:color w:val="000000"/>
          <w:sz w:val="22"/>
        </w:rPr>
        <w:t>、scenario ID、固定 prompt 或 instance ID 作为检测特征。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不新增 CI/CD、GitHub Actions 或远端自动测试流程。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按项目约束不运行 Go 测试；Go 代码仅执行格式化、静态编译和接口烟雾验证。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设计原则与安全边界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核心通用、适配解耦</w:t>
      </w:r>
    </w:p>
    <w:p>
      <w:r>
        <w:rPr>
          <w:rFonts w:ascii="Calibri" w:hAnsi="Calibri" w:eastAsia="Microsoft YaHei"/>
          <w:b w:val="0"/>
          <w:color w:val="000000"/>
          <w:sz w:val="22"/>
        </w:rPr>
        <w:t>DefenseClaw 核心接收通用字段：connector、session_id、tool、args、content、direction 和 context。核心不得识别 AgentRange 场景编号或靶场固定样本。OpsPilot JWT、tenant、MCP 名称及 Langflow 请求转换由适配层负责。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检测与 Ground Truth 隔离</w:t>
      </w:r>
    </w:p>
    <w:p>
      <w:r>
        <w:rPr>
          <w:rFonts w:ascii="Calibri" w:hAnsi="Calibri" w:eastAsia="Microsoft YaHei"/>
          <w:b w:val="0"/>
          <w:color w:val="000000"/>
          <w:sz w:val="22"/>
        </w:rPr>
        <w:t>Ground Truth 仅供 benchmark 在请求结束后进行 instance 级 join。运行时检测模块不得读取 Ground Truth、轨迹管理接口或期望标签。统计程序需将无效请求单独计数，不能把超时或 5xx 伪装成安全阻断。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最小暴露与留痕</w:t>
      </w:r>
    </w:p>
    <w:p>
      <w:r>
        <w:rPr>
          <w:rFonts w:ascii="Calibri" w:hAnsi="Calibri" w:eastAsia="Microsoft YaHei"/>
          <w:b w:val="0"/>
          <w:color w:val="000000"/>
          <w:sz w:val="22"/>
        </w:rPr>
        <w:t>inspect API 仅绑定受限地址或通过受控转发供 Docker 访问，必须使用 Token。证据默认脱敏，不记录 Token；需要原始 PII 时走显式审计开关。故障降级、超时和 fail-open/fail-closed 选择均进入证据与报告。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确定性快路径</w:t>
      </w:r>
    </w:p>
    <w:p>
      <w:r>
        <w:rPr>
          <w:rFonts w:ascii="Calibri" w:hAnsi="Calibri" w:eastAsia="Microsoft YaHei"/>
          <w:b w:val="0"/>
          <w:color w:val="000000"/>
          <w:sz w:val="22"/>
        </w:rPr>
        <w:t>同步阻断使用本地确定性规则与身份/网络策略，确保 p95 小于 1 秒。语义复核、复杂关联和报告生成走异步或离线路径，不阻塞正常 Agent 调用。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目标架构与数据流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组件职责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组件</w:t>
            </w:r>
          </w:p>
        </w:tc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4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禁止承担的职责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DefenseClaw Gateway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统一 inspect、规则扫描、模式降级、策略决策、审计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识别场景 ID、读取 Ground Truth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OpsPilot Adapter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四阶段转换、JWT/tenant 上下文传递、403 阻断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自行判定场景真值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Langflow Guard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检查方法、路径、查询串、JSON/Multipart 内容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直接暴露未鉴权 Gateway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Evidence Writer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输出 RangeEvent JSONL、关联 ID、延迟与降级原因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写入 API Token 或秘密明文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Attack Chain Builder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 instance/trace 还原 DAG 与阻断点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作为同步阻断依赖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Benchmark/Report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三模式回放、真值 join、指标汇总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把无效请求计入 TP/TN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运行时顺序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 xml:space="preserve">AgentRange 产生带 </w:t>
      </w:r>
      <w:r>
        <w:rPr>
          <w:rFonts w:ascii="Consolas" w:hAnsi="Consolas" w:eastAsia="Microsoft YaHei"/>
          <w:color w:val="1F4D78"/>
          <w:sz w:val="22"/>
        </w:rPr>
        <w:t>X-Instance-Id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的请求。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OpsPilot 或 Langflow 适配器构造通用 inspect 请求并附加 Token。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DefenseClaw 先检查身份 scope，再检查静态 allow/block、工具参数、内容、CodeGuard 与网络策略。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Gateway 返回 action、raw_action、would_block、severity、findings、mode 和 reason。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observe 模式将潜在 block 降级为 allow；action 模式保留 block。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适配器在危险副作用前抛出阻断或返回 403，并写入 RangeEvent。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离线模块将事件、决策与原始引用关联为 AttackChain，并由报告模块汇总指标。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详细需求基线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FR-01 通用 inspect 接口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 xml:space="preserve">保持并复用 </w:t>
      </w:r>
      <w:r>
        <w:rPr>
          <w:rFonts w:ascii="Consolas" w:hAnsi="Consolas" w:eastAsia="Microsoft YaHei"/>
          <w:color w:val="1F4D78"/>
          <w:sz w:val="22"/>
        </w:rPr>
        <w:t>/api/v1/inspect/request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/response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/tool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/tool-response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/tool</w:t>
      </w:r>
      <w:r>
        <w:rPr>
          <w:rFonts w:ascii="Calibri" w:hAnsi="Calibri" w:eastAsia="Microsoft YaHei"/>
          <w:b w:val="0"/>
          <w:color w:val="000000"/>
          <w:sz w:val="22"/>
        </w:rPr>
        <w:t xml:space="preserve"> 请求支持可选 </w:t>
      </w:r>
      <w:r>
        <w:rPr>
          <w:rFonts w:ascii="Consolas" w:hAnsi="Consolas" w:eastAsia="Microsoft YaHei"/>
          <w:color w:val="1F4D78"/>
          <w:sz w:val="22"/>
        </w:rPr>
        <w:t>context</w:t>
      </w:r>
      <w:r>
        <w:rPr>
          <w:rFonts w:ascii="Calibri" w:hAnsi="Calibri" w:eastAsia="Microsoft YaHei"/>
          <w:b w:val="0"/>
          <w:color w:val="000000"/>
          <w:sz w:val="22"/>
        </w:rPr>
        <w:t>，其内容为上游已认证主体与授权 scope；未知结构必须向后兼容。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 xml:space="preserve">响应至少包含 </w:t>
      </w:r>
      <w:r>
        <w:rPr>
          <w:rFonts w:ascii="Consolas" w:hAnsi="Consolas" w:eastAsia="Microsoft YaHei"/>
          <w:color w:val="1F4D78"/>
          <w:sz w:val="22"/>
        </w:rPr>
        <w:t>action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raw_action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would_block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severity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confidence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findings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reason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2"/>
        </w:rPr>
        <w:t>mode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observe 模式不得返回会触发业务中断的 action，但必须保留原始潜在决策。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FR-02 身份与租户授权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 xml:space="preserve">OpsPilot 从 JWT/请求上下文提取 principal tenant，并写入 inspect </w:t>
      </w:r>
      <w:r>
        <w:rPr>
          <w:rFonts w:ascii="Consolas" w:hAnsi="Consolas" w:eastAsia="Microsoft YaHei"/>
          <w:color w:val="1F4D78"/>
          <w:sz w:val="22"/>
        </w:rPr>
        <w:t>context.scope.tenant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工具参数出现目标 tenant 时，DefenseClaw 必须比较主体 scope 与请求目标。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tenant="*"</w:t>
      </w:r>
      <w:r>
        <w:rPr>
          <w:rFonts w:ascii="Calibri" w:hAnsi="Calibri" w:eastAsia="Microsoft YaHei"/>
          <w:b w:val="0"/>
          <w:color w:val="000000"/>
          <w:sz w:val="22"/>
        </w:rPr>
        <w:t>、跨租户或缺失必要授权时产生 HIGH finding；同租户正常查询放行。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规则只依赖通用 scope/tenant 字段，不依赖 ACME、Globex 等固定名称。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FR-03 OpsPilot 四阶段适配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 xml:space="preserve">Prompt/完整 messages 调用 </w:t>
      </w:r>
      <w:r>
        <w:rPr>
          <w:rFonts w:ascii="Consolas" w:hAnsi="Consolas" w:eastAsia="Microsoft YaHei"/>
          <w:color w:val="1F4D78"/>
          <w:sz w:val="22"/>
        </w:rPr>
        <w:t>/inspect/request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 xml:space="preserve">Tool Call 在执行前调用 </w:t>
      </w:r>
      <w:r>
        <w:rPr>
          <w:rFonts w:ascii="Consolas" w:hAnsi="Consolas" w:eastAsia="Microsoft YaHei"/>
          <w:color w:val="1F4D78"/>
          <w:sz w:val="22"/>
        </w:rPr>
        <w:t>/inspect/tool</w:t>
      </w:r>
      <w:r>
        <w:rPr>
          <w:rFonts w:ascii="Calibri" w:hAnsi="Calibri" w:eastAsia="Microsoft YaHei"/>
          <w:b w:val="0"/>
          <w:color w:val="000000"/>
          <w:sz w:val="22"/>
        </w:rPr>
        <w:t>，并传递 tool、args、MCP server、session 和 context。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 xml:space="preserve">Tool Result 在写回模型前调用 </w:t>
      </w:r>
      <w:r>
        <w:rPr>
          <w:rFonts w:ascii="Consolas" w:hAnsi="Consolas" w:eastAsia="Microsoft YaHei"/>
          <w:color w:val="1F4D78"/>
          <w:sz w:val="22"/>
        </w:rPr>
        <w:t>/inspect/tool-response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 xml:space="preserve">Final Response 在返回用户前调用 </w:t>
      </w:r>
      <w:r>
        <w:rPr>
          <w:rFonts w:ascii="Consolas" w:hAnsi="Consolas" w:eastAsia="Microsoft YaHei"/>
          <w:color w:val="1F4D78"/>
          <w:sz w:val="22"/>
        </w:rPr>
        <w:t>/inspect/response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未配置 Gateway 时四阶段均为 disabled allow；action block 映射为受控异常/HTTP 403。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6.4 FR-04 Langflow 入站保护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由 langflow-guard 代理宿主端口，真实 Langflow 不直接暴露。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检查 HTTP 方法、路径、查询串、Content-Type、JSON/表单/Multipart 内容。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保留必要请求头与正文转发，过滤 hop-by-hop 头。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Gateway 不可用时按配置执行 fail-open 或 fail-closed，并记录降级原因与延迟。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6.5 FR-05 运行时行为规则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覆盖下载后执行、管道进 shell、定时任务/路径穿越、C2 回连、敏感文件读取、通配租户和跨租户访问。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静态描述规则覆盖 ignore/隐藏/不得告知/先读凭据、隐藏工具、启动外传和高危执行语义。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每条规则具备稳定 rule_id、severity、confidence、适用 direction、1 个恶意样本和至少 2 个良性样本。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单条本地规则合同执行时间上限 5ms，规则不得包含场景编号。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6.6 FR-06 模式、策略与故障处理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baseline：不配置 API Base，行为与原靶场一致。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observe：潜在 block 只留证，业务 action 为 allow。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action：高置信度 HIGH/CRITICAL 确定性副作用在执行前阻断。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默认 fail-open 保障业务连续性；高危演示可显式 fail-closed。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合法 threat-intel 查询、同租户读取、正常 Skill 与正常响应不得误杀。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6.7 FR-07 统一事件与证据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每条 RangeEvent 必须包含 event_id、instance_id、trace_id、timestamp、stage、asset_id、direction、payload、decision 和 raw_ref。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decision 至少包含 action、mode、severity、reason、findings 和 latency_ms。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Token、Authorization 头和 secrets.env 内容不得写入证据。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 xml:space="preserve">文件写入需线程安全；Compose 将证据目录映射到宿主机 </w:t>
      </w:r>
      <w:r>
        <w:rPr>
          <w:rFonts w:ascii="Consolas" w:hAnsi="Consolas" w:eastAsia="Microsoft YaHei"/>
          <w:color w:val="1F4D78"/>
          <w:sz w:val="22"/>
        </w:rPr>
        <w:t>integration/reports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6.8 FR-08 静态资产与风险盘点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冻结资产分母：1 Agent、1 Model、1 Framework、1 Database、8 MCP、7 Skill、2 Network、6 Host Port，共 27 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输出资产唯一 ID、类型、位置、关系边和 Finding。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风险 taxonomy 至少覆盖隐藏提示、tools/list 与 tools/call 不一致、启动信标、shell=True、任意文件读取、弱 JWT、服务账号越权传播和明文凭据。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6.9 FR-09 攻击链还原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按 instance_id/trace_id 关联 Prompt、Skill、LLM Tool Call、MCP、文件/数据库/网络访问和 Decision。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输出节点、边、sequence 类型、evidence level、阻断点、未执行副作用和 raw_ref。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优先支持敏感读取→同步/外联、外部内容→命令执行、身份 scope→跨租户查询、Langflow ingress→执行链。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6.10 FR-10 Benchmark 与报告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 xml:space="preserve">固定 </w:t>
      </w:r>
      <w:r>
        <w:rPr>
          <w:rFonts w:ascii="Consolas" w:hAnsi="Consolas" w:eastAsia="Microsoft YaHei"/>
          <w:color w:val="1F4D78"/>
          <w:sz w:val="22"/>
        </w:rPr>
        <w:t>seed=1337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total=5200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malicious_target=80</w:t>
      </w:r>
      <w:r>
        <w:rPr>
          <w:rFonts w:ascii="Calibri" w:hAnsi="Calibri" w:eastAsia="Microsoft YaHei"/>
          <w:b w:val="0"/>
          <w:color w:val="000000"/>
          <w:sz w:val="22"/>
        </w:rPr>
        <w:t>，覆盖 C1-A/B、C2-A/B/C/D 与 normal。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分别输出 baseline、observe、action 原始 JSON；按 instance join Ground Truth 计算 TP/FP/TN/FN。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输出 Precision、Recall、FPR、FNR、normal success rate、inspect p50/p95/p99、端到端延迟与 CPU/内存增量。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最终报告必须显式标出未测指标、无效请求和未达到阈值项，禁止用推断替代实测。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6.11 NFR-01 性能与可用性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默认 inspect client 超时 250ms，可通过环境变量覆盖。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单次阻断响应目标小于 1 秒，正常业务不因报告/关联模块阻塞。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证据写入失败不得泄露秘密；按模式选择是否影响业务。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6.12 NFR-02 可维护性与兼容性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新字段全部可选，保持已有 connector 和旧调用者兼容。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 xml:space="preserve">靶场配置集中在 </w:t>
      </w:r>
      <w:r>
        <w:rPr>
          <w:rFonts w:ascii="Consolas" w:hAnsi="Consolas" w:eastAsia="Microsoft YaHei"/>
          <w:color w:val="1F4D78"/>
          <w:sz w:val="22"/>
        </w:rPr>
        <w:t>task/AgentRange-player</w:t>
      </w:r>
      <w:r>
        <w:rPr>
          <w:rFonts w:ascii="Calibri" w:hAnsi="Calibri" w:eastAsia="Microsoft YaHei"/>
          <w:b w:val="0"/>
          <w:color w:val="000000"/>
          <w:sz w:val="22"/>
        </w:rPr>
        <w:t>，核心仓不保存场景样本答案。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Schema、规则与指标口径通过 Python 合同测试冻结。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接口与数据合同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Tool Inspect 请求示例</w:t>
      </w:r>
    </w:p>
    <w:p>
      <w:pPr>
        <w:spacing w:before="60" w:after="160" w:line="240" w:lineRule="auto"/>
        <w:ind w:left="317" w:right="173"/>
        <w:shd w:fill="F7F8FA"/>
      </w:pPr>
      <w:r>
        <w:rPr>
          <w:rFonts w:ascii="Consolas" w:hAnsi="Consolas" w:eastAsia="Microsoft YaHei"/>
          <w:color w:val="000000"/>
          <w:sz w:val="17"/>
        </w:rPr>
        <w:t>{</w:t>
        <w:br/>
      </w:r>
      <w:r>
        <w:rPr>
          <w:rFonts w:ascii="Consolas" w:hAnsi="Consolas" w:eastAsia="Microsoft YaHei"/>
          <w:color w:val="000000"/>
          <w:sz w:val="17"/>
        </w:rPr>
        <w:t xml:space="preserve">  "tool": "customer_db.query",</w:t>
        <w:br/>
      </w:r>
      <w:r>
        <w:rPr>
          <w:rFonts w:ascii="Consolas" w:hAnsi="Consolas" w:eastAsia="Microsoft YaHei"/>
          <w:color w:val="000000"/>
          <w:sz w:val="17"/>
        </w:rPr>
        <w:t xml:space="preserve">  "args": {"tenant": "target-tenant", "sql": "SELECT ..."},</w:t>
        <w:br/>
      </w:r>
      <w:r>
        <w:rPr>
          <w:rFonts w:ascii="Consolas" w:hAnsi="Consolas" w:eastAsia="Microsoft YaHei"/>
          <w:color w:val="000000"/>
          <w:sz w:val="17"/>
        </w:rPr>
        <w:t xml:space="preserve">  "direction": "tool_call",</w:t>
        <w:br/>
      </w:r>
      <w:r>
        <w:rPr>
          <w:rFonts w:ascii="Consolas" w:hAnsi="Consolas" w:eastAsia="Microsoft YaHei"/>
          <w:color w:val="000000"/>
          <w:sz w:val="17"/>
        </w:rPr>
        <w:t xml:space="preserve">  "session_id": "instance-uuid",</w:t>
        <w:br/>
      </w:r>
      <w:r>
        <w:rPr>
          <w:rFonts w:ascii="Consolas" w:hAnsi="Consolas" w:eastAsia="Microsoft YaHei"/>
          <w:color w:val="000000"/>
          <w:sz w:val="17"/>
        </w:rPr>
        <w:t xml:space="preserve">  "connector": "opspilot",</w:t>
        <w:br/>
      </w:r>
      <w:r>
        <w:rPr>
          <w:rFonts w:ascii="Consolas" w:hAnsi="Consolas" w:eastAsia="Microsoft YaHei"/>
          <w:color w:val="000000"/>
          <w:sz w:val="17"/>
        </w:rPr>
        <w:t xml:space="preserve">  "mcp_server_name": "customer_db",</w:t>
        <w:br/>
      </w:r>
      <w:r>
        <w:rPr>
          <w:rFonts w:ascii="Consolas" w:hAnsi="Consolas" w:eastAsia="Microsoft YaHei"/>
          <w:color w:val="000000"/>
          <w:sz w:val="17"/>
        </w:rPr>
        <w:t xml:space="preserve">  "context": {"principal": {"subject": "user-123"}, "scope": {"tenant": "source-tenant"}}</w:t>
        <w:br/>
      </w:r>
      <w:r>
        <w:rPr>
          <w:rFonts w:ascii="Consolas" w:hAnsi="Consolas" w:eastAsia="Microsoft YaHei"/>
          <w:color w:val="000000"/>
          <w:sz w:val="17"/>
        </w:rPr>
        <w:t>}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决策响应示例</w:t>
      </w:r>
    </w:p>
    <w:p>
      <w:pPr>
        <w:spacing w:before="60" w:after="160" w:line="240" w:lineRule="auto"/>
        <w:ind w:left="317" w:right="173"/>
        <w:shd w:fill="F7F8FA"/>
      </w:pPr>
      <w:r>
        <w:rPr>
          <w:rFonts w:ascii="Consolas" w:hAnsi="Consolas" w:eastAsia="Microsoft YaHei"/>
          <w:color w:val="000000"/>
          <w:sz w:val="17"/>
        </w:rPr>
        <w:t>{</w:t>
        <w:br/>
      </w:r>
      <w:r>
        <w:rPr>
          <w:rFonts w:ascii="Consolas" w:hAnsi="Consolas" w:eastAsia="Microsoft YaHei"/>
          <w:color w:val="000000"/>
          <w:sz w:val="17"/>
        </w:rPr>
        <w:t xml:space="preserve">  "action": "allow",</w:t>
        <w:br/>
      </w:r>
      <w:r>
        <w:rPr>
          <w:rFonts w:ascii="Consolas" w:hAnsi="Consolas" w:eastAsia="Microsoft YaHei"/>
          <w:color w:val="000000"/>
          <w:sz w:val="17"/>
        </w:rPr>
        <w:t xml:space="preserve">  "raw_action": "block",</w:t>
        <w:br/>
      </w:r>
      <w:r>
        <w:rPr>
          <w:rFonts w:ascii="Consolas" w:hAnsi="Consolas" w:eastAsia="Microsoft YaHei"/>
          <w:color w:val="000000"/>
          <w:sz w:val="17"/>
        </w:rPr>
        <w:t xml:space="preserve">  "would_block": true,</w:t>
        <w:br/>
      </w:r>
      <w:r>
        <w:rPr>
          <w:rFonts w:ascii="Consolas" w:hAnsi="Consolas" w:eastAsia="Microsoft YaHei"/>
          <w:color w:val="000000"/>
          <w:sz w:val="17"/>
        </w:rPr>
        <w:t xml:space="preserve">  "severity": "HIGH",</w:t>
        <w:br/>
      </w:r>
      <w:r>
        <w:rPr>
          <w:rFonts w:ascii="Consolas" w:hAnsi="Consolas" w:eastAsia="Microsoft YaHei"/>
          <w:color w:val="000000"/>
          <w:sz w:val="17"/>
        </w:rPr>
        <w:t xml:space="preserve">  "confidence": 1.0,</w:t>
        <w:br/>
      </w:r>
      <w:r>
        <w:rPr>
          <w:rFonts w:ascii="Consolas" w:hAnsi="Consolas" w:eastAsia="Microsoft YaHei"/>
          <w:color w:val="000000"/>
          <w:sz w:val="17"/>
        </w:rPr>
        <w:t xml:space="preserve">  "findings": ["AUTHZ-TENANT-SCOPE"],</w:t>
        <w:br/>
      </w:r>
      <w:r>
        <w:rPr>
          <w:rFonts w:ascii="Consolas" w:hAnsi="Consolas" w:eastAsia="Microsoft YaHei"/>
          <w:color w:val="000000"/>
          <w:sz w:val="17"/>
        </w:rPr>
        <w:t xml:space="preserve">  "reason": "tool arguments exceed authenticated principal scope",</w:t>
        <w:br/>
      </w:r>
      <w:r>
        <w:rPr>
          <w:rFonts w:ascii="Consolas" w:hAnsi="Consolas" w:eastAsia="Microsoft YaHei"/>
          <w:color w:val="000000"/>
          <w:sz w:val="17"/>
        </w:rPr>
        <w:t xml:space="preserve">  "mode": "observe"</w:t>
        <w:br/>
      </w:r>
      <w:r>
        <w:rPr>
          <w:rFonts w:ascii="Consolas" w:hAnsi="Consolas" w:eastAsia="Microsoft YaHei"/>
          <w:color w:val="000000"/>
          <w:sz w:val="17"/>
        </w:rPr>
        <w:t>}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代码改造清单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改造域</w:t>
            </w:r>
          </w:p>
        </w:tc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主要路径</w:t>
            </w:r>
          </w:p>
        </w:tc>
        <w:tc>
          <w:tcPr>
            <w:tcW w:type="dxa" w:w="4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计划动作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DefenseClaw 核心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internal/gateway/inspect.go</w:t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rules.go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增加通用 context 授权检查和规则映射，保持模式语义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核心验证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internal/gateway/agentrange_adapter_test.go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保留为源码合同样例；本项目不执行 Go 测试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OpsPilot Adapter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task/AgentRange-player/opspilot-app/security/defenseclaw.py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四阶段、Token、超时、fail mode、证据写入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Langflow Guard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task/AgentRange-player/integration/langflow_guard.py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入站检查、403 阻断、转发、证据写入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Compose/环境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docker-compose.yml</w:t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.env.example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受控 Gateway 地址、Token、证据卷、保护端口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合同与资产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contracts/</w:t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integration/static_inventory.py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冻结 schema、资产、场景矩阵、风险 taxonomy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规则与策略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integration/runtime_rules.yaml</w:t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policy.yaml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攻击/良性合同、三模式与 scope/egress 策略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关联与报告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attack_chain.py</w:t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report.py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DAG、证据索引、验收汇总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Benchmark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scenario-runner/runner.py</w:t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bench/benchmark.py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Ground Truth 隔离、三模式回放、指标计算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实施任务分解与分配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600"/>
        <w:gridCol w:w="1200"/>
        <w:gridCol w:w="2650"/>
        <w:gridCol w:w="2760"/>
      </w:tblGrid>
      <w:tr>
        <w:trPr>
          <w:tblHeader w:val="true"/>
        </w:trPr>
        <w:tc>
          <w:tcPr>
            <w:tcW w:type="dxa" w:w="11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任务 ID</w:t>
            </w:r>
          </w:p>
        </w:tc>
        <w:tc>
          <w:tcPr>
            <w:tcW w:type="dxa" w:w="1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Owner 角色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依赖</w:t>
            </w:r>
          </w:p>
        </w:tc>
        <w:tc>
          <w:tcPr>
            <w:tcW w:type="dxa" w:w="2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交付物</w:t>
            </w:r>
          </w:p>
        </w:tc>
        <w:tc>
          <w:tcPr>
            <w:tcW w:type="dxa" w:w="2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完成标准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DC-M0-01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架构/数据负责人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contracts、27 项资产、7 类场景矩阵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Schema 校验通过，统计口径冻结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DC-M1-01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DefenseClaw 核心负责人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通用 context、tenant scope 检查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同租户 allow，跨租户/通配 block；无场景硬编码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DC-M2-01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Agent 集成负责人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M0/M1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OpsPilot 四阶段 Adapter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disabled/observe/action/failure 合同通过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DC-M2-02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Agent 集成负责人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M0/M1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Langflow Guard 与 Compose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真实服务不直暴露，危险入站可阻断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DC-M3-01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检测规则负责人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六类行为规则与良性夹具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每条 attack+2 benign，单例 &lt;5ms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DC-M4-01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策略负责人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M1/M3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baseline/observe/action、scope/egress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高危副作用阻断，合法流量放行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DC-M5-01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关联审计负责人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M2/M3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AttackChain DAG 与 raw_ref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至少三类完整链可复核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DC-M6-01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性能测试负责人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M2-M5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5200 三模式 benchmark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指标口径一致，原始结果可复现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DC-M7-01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集成交付负责人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全部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操作手册、Demo、最终报告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空环境可按文档重现闭环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DC-M8-01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质量负责人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全部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验收证据索引与遗留项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每项需求映射到测试/报告，无伪造结论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实施顺序与里程碑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阶段 A：计划与合同冻结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发布本计划书 v1.0。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冻结资产、事件、决策、Ground Truth 和攻击链 Schema。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建立需求追踪矩阵，禁止下游私自修改统计口径。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阶段 B：DefenseClaw 核心通用改造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为 Tool Inspect 增加可选 context。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在静态 allow 前执行 tenant/scope 授权检查，避免 confused deputy。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确认 observe/action、raw_action 与 would_block 语义一致。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执行 gofmt 与 Go build，不运行 Go 测试。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阶段 C：AgentRange Adapter 与规则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接入 OpsPilot 四阶段与 Langflow ingress。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配置证据卷、Token、超时和 fail mode。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建立确定性行为规则、良性夹具与 Python 合同测试。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阶段 D：关联、Benchmark 与报告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生成静态盘点、运行时事件与 AttackChain。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完成 baseline/observe/action 三模式回放。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输出最终报告、阈值结果、误报漏报和降级说明。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验证方案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11.1 允许执行的验证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Python：contracts、integration、OpsPilot、scenario-runner、bench 的 pytest。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结构：JSON Schema、YAML/Compose 配置、Python compileall。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Go：</w:t>
      </w:r>
      <w:r>
        <w:rPr>
          <w:rFonts w:ascii="Consolas" w:hAnsi="Consolas" w:eastAsia="Microsoft YaHei"/>
          <w:color w:val="1F4D78"/>
          <w:sz w:val="22"/>
        </w:rPr>
        <w:t>gofmt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2"/>
        </w:rPr>
        <w:t>go build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或仅构建目标 Gateway；不执行 </w:t>
      </w:r>
      <w:r>
        <w:rPr>
          <w:rFonts w:ascii="Consolas" w:hAnsi="Consolas" w:eastAsia="Microsoft YaHei"/>
          <w:color w:val="1F4D78"/>
          <w:sz w:val="22"/>
        </w:rPr>
        <w:t>go test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运行：Docker Compose 健康检查、baseline/observe/action 烟雾回放与 5200 全量回放。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11.2 核心验收用例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用例</w:t>
            </w:r>
          </w:p>
        </w:tc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模式</w:t>
            </w:r>
          </w:p>
        </w:tc>
        <w:tc>
          <w:tcPr>
            <w:tcW w:type="dxa" w:w="4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期望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DefenseClaw 未配置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baseline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所有适配点 disabled allow，原靶场可用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恶意下载执行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observe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action=allow、raw_action=block、would_block=true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恶意下载执行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工具执行前 block/403，副作用未发生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同租户查询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allow，无 AUTHZ finding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跨租户/通配租户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HIGH block，记录主体与目标 scope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合法 threat-intel 出网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allow，不命中外传规则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Gateway 超时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fail-open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业务继续，记录 integration-fail-open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Gateway 超时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fail-closed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受控阻断，记录不可用原因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联调与运行方案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12.1 联调前置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本机启动受限监听的 DefenseClaw Gateway，并获取 API Token。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.env</w:t>
      </w:r>
      <w:r>
        <w:rPr>
          <w:rFonts w:ascii="Calibri" w:hAnsi="Calibri" w:eastAsia="Microsoft YaHei"/>
          <w:b w:val="0"/>
          <w:color w:val="000000"/>
          <w:sz w:val="22"/>
        </w:rPr>
        <w:t xml:space="preserve"> 配置 </w:t>
      </w:r>
      <w:r>
        <w:rPr>
          <w:rFonts w:ascii="Consolas" w:hAnsi="Consolas" w:eastAsia="Microsoft YaHei"/>
          <w:color w:val="1F4D78"/>
          <w:sz w:val="22"/>
        </w:rPr>
        <w:t>DEFENSECLAW_API_BASE=http://host.docker.internal:18970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与 Token。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重建 OpsPilot 和 Langflow Guard，确认真实 Langflow 无宿主直连端口。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清理旧证据并固定 seed，避免不同模式数据串扰。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12.2 三模式运行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baseline：API Base 为空，记录原始成功率和端到端延迟。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observe：Gateway 设置 observe，确认所有潜在阻断只留证。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action：Gateway 设置 action，确认高危副作用在执行前中止。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三组结束后统一生成 AttackChain 与 final-report，保留每组原始 JSON。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风险与降级方案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3100"/>
        <w:gridCol w:w="2460"/>
      </w:tblGrid>
      <w:tr>
        <w:trPr>
          <w:tblHeader w:val="true"/>
        </w:trPr>
        <w:tc>
          <w:tcPr>
            <w:tcW w:type="dxa" w:w="1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风险</w:t>
            </w:r>
          </w:p>
        </w:tc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影响</w:t>
            </w:r>
          </w:p>
        </w:tc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控制措施</w:t>
            </w:r>
          </w:p>
        </w:tc>
        <w:tc>
          <w:tcPr>
            <w:tcW w:type="dxa" w:w="2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降级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Gateway 对 Docker 不可达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observe/action 无检测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受限转发、健康检查、Token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默认 fail-open 留痕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规则过宽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normal 误杀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attack+2 benign、FPR 门禁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observe 回滚阈值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证据包含敏感信息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数据泄露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默认脱敏、禁止记录 Token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停止证据写入并报警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Ground Truth 污染检测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指标失真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模块隔离、只在 post-run join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验收直接判失败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资源采样不可用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CPU 目标不可证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报告标记 unavailable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不宣称达标，补测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Go 验证受限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核心回归风险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gofmt、build、HTTP 烟雾、Python 合同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列入遗留风险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14. 交付物与验收证据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本计划书与需求追踪矩阵。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DefenseClaw 核心通用改造源码及构建结果。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AgentRange contracts、Adapter、规则、策略、攻击链和报告代码。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静态资产/风险报告、运行时 JSONL、AttackChain JSON。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baseline/observe/action 原始 benchmark 和 summary。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Windows/Linux 操作手册、固定 Demo 顺序和失败降级说明。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验收结论只允许三种状态：通过、未通过、未测试。没有原始证据的指标必须标记未测试，不得根据单元测试或设计推断为通过。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15. 理想呈现效果</w:t>
      </w:r>
    </w:p>
    <w:p>
      <w:r>
        <w:rPr>
          <w:rFonts w:ascii="Calibri" w:hAnsi="Calibri" w:eastAsia="Microsoft YaHei"/>
          <w:b w:val="0"/>
          <w:color w:val="000000"/>
          <w:sz w:val="22"/>
        </w:rPr>
        <w:t>演示开始时，静态盘点显示 27/27 资产与 8 类关键风险；随后在 observe 模式重放攻击，业务继续但界面/报告显示 would-block、规则、租户、资产、延迟和原始引用；切换 action 后，高危 Tool Call 或 Langflow 入站请求在副作用发生前收到 403/受控异常，数据库、文件和 C2 Sink 中没有新增危险结果；最后以 instance 为单位展示完整攻击链和三模式指标对照。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理想交付结果不是“多写几条靶场正则”，而是形成一套可迁移的 DefenseClaw 接入范式：任何新 Agent 只需实现标准 Adapter 与身份上下文映射，即可复用相同的 Gateway、规则、策略、证据、攻击链和 benchmark 方法。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16. 需求追踪矩阵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900"/>
        <w:gridCol w:w="2500"/>
        <w:gridCol w:w="3510"/>
      </w:tblGrid>
      <w:tr>
        <w:trPr>
          <w:tblHeader w:val="true"/>
        </w:trPr>
        <w:tc>
          <w:tcPr>
            <w:tcW w:type="dxa" w:w="14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需求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代码/配置</w:t>
            </w:r>
          </w:p>
        </w:tc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验证证据</w:t>
            </w:r>
          </w:p>
        </w:tc>
        <w:tc>
          <w:tcPr>
            <w:tcW w:type="dxa" w:w="3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责任任务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FR-01/02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internal/gateway/inspect.go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build、HTTP/合同用例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DC-M1-01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FR-03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 xml:space="preserve">OpsPilot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defenseclaw.py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Adapter pytest、事件 JSONL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DC-M2-01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FR-04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langflow_guard.py</w:t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、Compose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Guard pytest、403 烟雾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DC-M2-02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FR-05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runtime_rules.yaml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rule-contract.json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DC-M3-01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FR-06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policy.yaml</w:t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、Gateway mode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policy pytest、三模式结果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DC-M4-01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FR-07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contracts 与 Evidence Writer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Schema 校验、JSONL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DC-M0-01/M2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FR-08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assets、taxonomy、inventory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static-scan.json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DC-M0-01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FR-09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attack_chain.py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attack-chains.json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DC-M5-01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FR-10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runner、benchmark、report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baseline/observe/action/summary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DC-M6-01/M7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NFR-01/02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timeout、fail mode、兼容字段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延迟/回归/降级报告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DC-M8-01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17. 变更控制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任何修改资产分母、Ground Truth、TP/FP/TN/FN 定义、阻断阈值或 fail mode 默认值的变更，必须更新本计划书版本和追踪矩阵，并重新运行 normal 回归。新增规则必须携带恶意样本和至少两个容易混淆的良性样本。交付阶段不得新增 CI/CD 或 GitHub 测试代码。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F6B76"/>
        <w:sz w:val="18"/>
      </w:rPr>
      <w:t xml:space="preserve">第 </w:t>
    </w:r>
    <w:fldSimple w:instr="PAGE"/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color w:val="5F6B76"/>
        <w:sz w:val="18"/>
      </w:rPr>
      <w:t>DefenseClaw × AgentRange｜改造实施计划书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DefenseClaw 面向 AgentRange 靶场改造实施计划书 v1.0</dc:title>
  <dc:subject>需求基线、技术方案、任务分解、联调验证与交付验收</dc:subject>
  <dc:creator>DefenseClaw 项目组</dc:creator>
  <cp:keywords>DefenseClaw, AgentRange, AI Agent Security, Implementation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