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68f08574443c4a0ad4a99b8fe659a3e22abcd06"/>
    <w:p>
      <w:pPr>
        <w:pStyle w:val="Heading1"/>
      </w:pPr>
      <w:r>
        <w:t xml:space="preserve">Knowledge Intelligence as a New Field of Knowledge Management in Enterprise Organisations</w:t>
      </w:r>
    </w:p>
    <w:bookmarkStart w:id="24" w:name="executive-summary"/>
    <w:p>
      <w:pPr>
        <w:pStyle w:val="Heading2"/>
      </w:pPr>
      <w:r>
        <w:t xml:space="preserve">Executive summary</w:t>
      </w:r>
    </w:p>
    <w:p>
      <w:pPr>
        <w:pStyle w:val="FirstParagraph"/>
      </w:pPr>
      <w:r>
        <w:t xml:space="preserve">“Knowledge intelligence” (KI) is</w:t>
      </w:r>
      <w:r>
        <w:t xml:space="preserve"> </w:t>
      </w:r>
      <w:r>
        <w:rPr>
          <w:b/>
          <w:bCs/>
        </w:rPr>
        <w:t xml:space="preserve">not yet a standardised term</w:t>
      </w:r>
      <w:r>
        <w:t xml:space="preserve"> </w:t>
      </w:r>
      <w:r>
        <w:t xml:space="preserve">in the way that “knowledge management systems” are formalised in widely used standards; it is best treated as an</w:t>
      </w:r>
      <w:r>
        <w:t xml:space="preserve"> </w:t>
      </w:r>
      <w:r>
        <w:rPr>
          <w:b/>
          <w:bCs/>
        </w:rPr>
        <w:t xml:space="preserve">emergent field within knowledge management (KM)</w:t>
      </w:r>
      <w:r>
        <w:t xml:space="preserve"> </w:t>
      </w:r>
      <w:r>
        <w:t xml:space="preserve">that has crystallised because of (a) enterprise-scale content sprawl, (b) the operationalisation of AI in daily workflows, and (c) the strategic and regulatory need to</w:t>
      </w:r>
      <w:r>
        <w:t xml:space="preserve"> </w:t>
      </w:r>
      <w:r>
        <w:rPr>
          <w:b/>
          <w:bCs/>
        </w:rPr>
        <w:t xml:space="preserve">prove provenance, permissions, and trustworthiness</w:t>
      </w:r>
      <w:r>
        <w:t xml:space="preserve"> </w:t>
      </w:r>
      <w:r>
        <w:t xml:space="preserve">of knowledge used for decisions.</w:t>
      </w:r>
      <w:r>
        <w:t xml:space="preserve"> </w:t>
      </w:r>
      <w:hyperlink r:id="rId21">
        <w:r>
          <w:rPr>
            <w:rStyle w:val="Hyperlink"/>
          </w:rPr>
          <w:t xml:space="preserve">[1]</w:t>
        </w:r>
      </w:hyperlink>
    </w:p>
    <w:p>
      <w:pPr>
        <w:pStyle w:val="BodyText"/>
      </w:pPr>
      <w:r>
        <w:t xml:space="preserve">Positioned explicitly as a new KM field, KB builds on the management-system logic of KM (strategy, leadership, support, performance evaluation, improvement) found in the knowledge management systems standard published by International Organization for Standardization</w:t>
      </w:r>
      <w:hyperlink r:id="rId22">
        <w:r>
          <w:rPr>
            <w:rStyle w:val="Hyperlink"/>
          </w:rPr>
          <w:t xml:space="preserve">[2]</w:t>
        </w:r>
      </w:hyperlink>
      <w:r>
        <w:t xml:space="preserve">, but extends KM into an engineering and governance discipline that produces a</w:t>
      </w:r>
      <w:r>
        <w:t xml:space="preserve"> </w:t>
      </w:r>
      <w:r>
        <w:rPr>
          <w:b/>
          <w:bCs/>
        </w:rPr>
        <w:t xml:space="preserve">machine-actionable “knowledge layer”</w:t>
      </w:r>
      <w:r>
        <w:t xml:space="preserve">: semantically structured, permission-aware, continuously evaluated, and measurable in operational outcomes.</w:t>
      </w:r>
      <w:r>
        <w:t xml:space="preserve"> </w:t>
      </w:r>
      <w:hyperlink r:id="rId21">
        <w:r>
          <w:rPr>
            <w:rStyle w:val="Hyperlink"/>
          </w:rPr>
          <w:t xml:space="preserve">[3]</w:t>
        </w:r>
      </w:hyperlink>
    </w:p>
    <w:p>
      <w:pPr>
        <w:pStyle w:val="BodyText"/>
      </w:pPr>
      <w:r>
        <w:t xml:space="preserve">A practical, rigorous definition consistent with this positioning is:</w:t>
      </w:r>
    </w:p>
    <w:p>
      <w:pPr>
        <w:pStyle w:val="BodyText"/>
      </w:pPr>
      <w:r>
        <w:rPr>
          <w:b/>
          <w:bCs/>
        </w:rPr>
        <w:t xml:space="preserve">Knowledge intelligence is the organisational capability to model, govern, and operationalise enterprise knowledge as a trusted, permission-aware, semantically structured asset—so that humans and AI systems can reliably retrieve, verify, and apply it inside business workflows, with measurable impact and auditability.</w:t>
      </w:r>
      <w:r>
        <w:t xml:space="preserve"> </w:t>
      </w:r>
      <w:hyperlink r:id="rId21">
        <w:r>
          <w:rPr>
            <w:rStyle w:val="Hyperlink"/>
          </w:rPr>
          <w:t xml:space="preserve">[4]</w:t>
        </w:r>
      </w:hyperlink>
    </w:p>
    <w:p>
      <w:pPr>
        <w:pStyle w:val="BodyText"/>
      </w:pPr>
      <w:r>
        <w:t xml:space="preserve">This definition is deliberately integrative: it embeds (i) KM’s long-standing focus on context, value creation, and organisational learning; (ii) information retrieval’s methods for findability and evaluation; and (iii) semantic web and modern AI’s methods for meaning representation (ontologies/knowledge graphs) and semantic retrieval (embeddings, vector search, RAG).</w:t>
      </w:r>
      <w:r>
        <w:t xml:space="preserve"> </w:t>
      </w:r>
      <w:hyperlink r:id="rId21">
        <w:r>
          <w:rPr>
            <w:rStyle w:val="Hyperlink"/>
          </w:rPr>
          <w:t xml:space="preserve">[5]</w:t>
        </w:r>
      </w:hyperlink>
    </w:p>
    <w:p>
      <w:pPr>
        <w:pStyle w:val="BodyText"/>
      </w:pPr>
      <w:r>
        <w:t xml:space="preserve">From a value standpoint, KI is most defensible when framed as an enabling platform that improves measurable flow metrics (e.g., time-to-answer, cycle time, AHT/MTTR), reduces risk (privacy/security/compliance), and increases reuse (deflection, fewer escalations, less rework). Evidence from peer-reviewed and industry sources includes: a knowledge-graph-integrated RAG deployment reporting a</w:t>
      </w:r>
      <w:r>
        <w:t xml:space="preserve"> </w:t>
      </w:r>
      <w:r>
        <w:rPr>
          <w:b/>
          <w:bCs/>
        </w:rPr>
        <w:t xml:space="preserve">28.6% reduction in median per-issue resolution time</w:t>
      </w:r>
      <w:r>
        <w:t xml:space="preserve"> </w:t>
      </w:r>
      <w:r>
        <w:t xml:space="preserve">after ~six months in production; a financial services “intelligent search” case reporting an</w:t>
      </w:r>
      <w:r>
        <w:t xml:space="preserve"> </w:t>
      </w:r>
      <w:r>
        <w:rPr>
          <w:b/>
          <w:bCs/>
        </w:rPr>
        <w:t xml:space="preserve">11.25% reduction in average handle time</w:t>
      </w:r>
      <w:r>
        <w:t xml:space="preserve">; and a regulated life-sciences case reporting a</w:t>
      </w:r>
      <w:r>
        <w:t xml:space="preserve"> </w:t>
      </w:r>
      <w:r>
        <w:rPr>
          <w:b/>
          <w:bCs/>
        </w:rPr>
        <w:t xml:space="preserve">90% reduction in regulatory response time</w:t>
      </w:r>
      <w:r>
        <w:t xml:space="preserve"> </w:t>
      </w:r>
      <w:r>
        <w:t xml:space="preserve">(three weeks to two days).</w:t>
      </w:r>
      <w:r>
        <w:t xml:space="preserve"> </w:t>
      </w:r>
      <w:hyperlink r:id="rId23">
        <w:r>
          <w:rPr>
            <w:rStyle w:val="Hyperlink"/>
          </w:rPr>
          <w:t xml:space="preserve">[6]</w:t>
        </w:r>
      </w:hyperlink>
    </w:p>
    <w:p>
      <w:pPr>
        <w:pStyle w:val="BodyText"/>
      </w:pPr>
      <w:r>
        <w:t xml:space="preserve">The remainder of this report provides: (1) definitions and evolution; (2) theoretical foundations; (3) core components and capabilities; (4) enterprise workflows and use cases; (5) KPI catalogues with formulas; (6) implementation approaches; (7) risk, ethical, and governance analysis aligned to GDPR / AI Act / AI RMF; and (8) vendor and open-source options plus a phased 12–18 month adoption roadmap.</w:t>
      </w:r>
    </w:p>
    <w:bookmarkEnd w:id="24"/>
    <w:bookmarkStart w:id="29" w:name="definitions-and-evolution"/>
    <w:p>
      <w:pPr>
        <w:pStyle w:val="Heading2"/>
      </w:pPr>
      <w:r>
        <w:t xml:space="preserve">Definitions and evolution</w:t>
      </w:r>
    </w:p>
    <w:p>
      <w:pPr>
        <w:pStyle w:val="FirstParagraph"/>
      </w:pPr>
      <w:r>
        <w:t xml:space="preserve">The baseline KM view, especially in management-system form, is that a KM system is a set of organisational requirements and practices aimed at systematically supporting value creation through knowledge; this is explicit in the KM systems standard’s scope (“establishing, implementing, maintaining, reviewing and improving” a management system for KM).</w:t>
      </w:r>
      <w:r>
        <w:t xml:space="preserve"> </w:t>
      </w:r>
      <w:hyperlink r:id="rId21">
        <w:r>
          <w:rPr>
            <w:rStyle w:val="Hyperlink"/>
          </w:rPr>
          <w:t xml:space="preserve">[7]</w:t>
        </w:r>
      </w:hyperlink>
    </w:p>
    <w:p>
      <w:pPr>
        <w:pStyle w:val="BodyText"/>
      </w:pPr>
      <w:r>
        <w:t xml:space="preserve">However, KM as practised in many organisations has historically been dominated by</w:t>
      </w:r>
      <w:r>
        <w:t xml:space="preserve"> </w:t>
      </w:r>
      <w:r>
        <w:rPr>
          <w:b/>
          <w:bCs/>
        </w:rPr>
        <w:t xml:space="preserve">content capture and repositories</w:t>
      </w:r>
      <w:r>
        <w:t xml:space="preserve"> </w:t>
      </w:r>
      <w:r>
        <w:t xml:space="preserve">(documents, intranets, wikis) and by “findability” implemented primarily as enterprise search. The modern KI framing argues that this is necessary but insufficient: the enterprise must be able to determine not only</w:t>
      </w:r>
      <w:r>
        <w:t xml:space="preserve"> </w:t>
      </w:r>
      <w:r>
        <w:rPr>
          <w:i/>
          <w:iCs/>
        </w:rPr>
        <w:t xml:space="preserve">where something is</w:t>
      </w:r>
      <w:r>
        <w:t xml:space="preserve">, but also</w:t>
      </w:r>
      <w:r>
        <w:t xml:space="preserve"> </w:t>
      </w:r>
      <w:r>
        <w:rPr>
          <w:i/>
          <w:iCs/>
        </w:rPr>
        <w:t xml:space="preserve">what it means, whether it is current, whether it is permitted to be used, and whether it should be trusted for the decision at hand</w:t>
      </w:r>
      <w:r>
        <w:t xml:space="preserve">. This distinction is central to the user-provided “founding statement”, which frames KI as a capability to treat organisational knowledge “as a governed, measurable, and decision-relevant asset” rather than simply stored content.</w:t>
      </w:r>
    </w:p>
    <w:p>
      <w:pPr>
        <w:pStyle w:val="BodyText"/>
      </w:pPr>
      <w:r>
        <w:t xml:space="preserve">In the wider industry discourse, “knowledge intelligence” is often described as integrating institutional knowledge and business context to make AI outputs more reliable; this illustrates that “KI” is currently a</w:t>
      </w:r>
      <w:r>
        <w:t xml:space="preserve"> </w:t>
      </w:r>
      <w:r>
        <w:rPr>
          <w:b/>
          <w:bCs/>
        </w:rPr>
        <w:t xml:space="preserve">practice-led term</w:t>
      </w:r>
      <w:r>
        <w:t xml:space="preserve"> </w:t>
      </w:r>
      <w:r>
        <w:t xml:space="preserve">rather than a mature academic category.</w:t>
      </w:r>
      <w:r>
        <w:t xml:space="preserve"> </w:t>
      </w:r>
      <w:hyperlink r:id="rId25">
        <w:r>
          <w:rPr>
            <w:rStyle w:val="Hyperlink"/>
          </w:rPr>
          <w:t xml:space="preserve">[8]</w:t>
        </w:r>
      </w:hyperlink>
    </w:p>
    <w:p>
      <w:pPr>
        <w:pStyle w:val="BodyText"/>
      </w:pPr>
      <w:r>
        <w:t xml:space="preserve">A rigorous way to position KI as a new KM field is to describe it as the convergence of three developments:</w:t>
      </w:r>
    </w:p>
    <w:p>
      <w:pPr>
        <w:pStyle w:val="Compact"/>
        <w:numPr>
          <w:ilvl w:val="0"/>
          <w:numId w:val="1001"/>
        </w:numPr>
      </w:pPr>
      <w:r>
        <w:rPr>
          <w:b/>
          <w:bCs/>
        </w:rPr>
        <w:t xml:space="preserve">Semantic structuring became practical at scale</w:t>
      </w:r>
      <w:r>
        <w:t xml:space="preserve">: semantic web standards (RDF/OWL/SPARQL) and knowledge-graph methods matured as interoperable ways to represent entities, relationships, and meaning.</w:t>
      </w:r>
      <w:r>
        <w:t xml:space="preserve"> </w:t>
      </w:r>
      <w:hyperlink r:id="rId26">
        <w:r>
          <w:rPr>
            <w:rStyle w:val="Hyperlink"/>
          </w:rPr>
          <w:t xml:space="preserve">[9]</w:t>
        </w:r>
      </w:hyperlink>
    </w:p>
    <w:p>
      <w:pPr>
        <w:pStyle w:val="Compact"/>
        <w:numPr>
          <w:ilvl w:val="0"/>
          <w:numId w:val="1001"/>
        </w:numPr>
      </w:pPr>
      <w:r>
        <w:rPr>
          <w:b/>
          <w:bCs/>
        </w:rPr>
        <w:t xml:space="preserve">Semantic retrieval became a default AI primitive</w:t>
      </w:r>
      <w:r>
        <w:t xml:space="preserve">: embeddings and transformer-based NLP enabled meaning-based retrieval (“vector search”), and RAG established a common architectural pattern for grounding generated answers in retrieved sources and improving provenance.</w:t>
      </w:r>
      <w:r>
        <w:t xml:space="preserve"> </w:t>
      </w:r>
      <w:hyperlink r:id="rId27">
        <w:r>
          <w:rPr>
            <w:rStyle w:val="Hyperlink"/>
          </w:rPr>
          <w:t xml:space="preserve">[10]</w:t>
        </w:r>
      </w:hyperlink>
    </w:p>
    <w:p>
      <w:pPr>
        <w:pStyle w:val="Compact"/>
        <w:numPr>
          <w:ilvl w:val="0"/>
          <w:numId w:val="1001"/>
        </w:numPr>
      </w:pPr>
      <w:r>
        <w:rPr>
          <w:b/>
          <w:bCs/>
        </w:rPr>
        <w:t xml:space="preserve">Regulatory and governance expectations tightened</w:t>
      </w:r>
      <w:r>
        <w:t xml:space="preserve">: in the EU context, AI governance requirements (e.g., disclosure obligations under the AI Act) and privacy governance requirements (GDPR, DPIA triggers) increased the importance of permission boundaries, traceability, and controllability when knowledge is used by AI systems.</w:t>
      </w:r>
      <w:r>
        <w:t xml:space="preserve"> </w:t>
      </w:r>
      <w:hyperlink r:id="rId28">
        <w:r>
          <w:rPr>
            <w:rStyle w:val="Hyperlink"/>
          </w:rPr>
          <w:t xml:space="preserve">[11]</w:t>
        </w:r>
      </w:hyperlink>
    </w:p>
    <w:p>
      <w:pPr>
        <w:pStyle w:val="FirstParagraph"/>
      </w:pPr>
      <w:r>
        <w:t xml:space="preserve">Under this framing, KI is best understood as</w:t>
      </w:r>
      <w:r>
        <w:t xml:space="preserve"> </w:t>
      </w:r>
      <w:r>
        <w:rPr>
          <w:b/>
          <w:bCs/>
        </w:rPr>
        <w:t xml:space="preserve">KM’s evolution from a programme mindset (capture/share) towards an operational “knowledge layer” mindset (model/govern/activate)</w:t>
      </w:r>
      <w:r>
        <w:t xml:space="preserve"> </w:t>
      </w:r>
      <w:r>
        <w:t xml:space="preserve">that treats retrieval quality, permission integrity, provenance, and lifecycle controls as first-class design requirements.</w:t>
      </w:r>
      <w:r>
        <w:t xml:space="preserve"> </w:t>
      </w:r>
      <w:hyperlink r:id="rId21">
        <w:r>
          <w:rPr>
            <w:rStyle w:val="Hyperlink"/>
          </w:rPr>
          <w:t xml:space="preserve">[12]</w:t>
        </w:r>
      </w:hyperlink>
    </w:p>
    <w:bookmarkEnd w:id="29"/>
    <w:bookmarkStart w:id="40" w:name="theoretical-foundations"/>
    <w:p>
      <w:pPr>
        <w:pStyle w:val="Heading2"/>
      </w:pPr>
      <w:r>
        <w:t xml:space="preserve">Theoretical foundations</w:t>
      </w:r>
    </w:p>
    <w:p>
      <w:pPr>
        <w:pStyle w:val="FirstParagraph"/>
      </w:pPr>
      <w:r>
        <w:t xml:space="preserve">The theoretical foundations for KI span five domains; treating KI as a KM sub-field means explicitly integrating these rather than substituting one for another.</w:t>
      </w:r>
    </w:p>
    <w:p>
      <w:pPr>
        <w:pStyle w:val="BodyText"/>
      </w:pPr>
      <w:r>
        <w:t xml:space="preserve">First, the tacit–explicit distinction remains a core KM insight: Michael Polanyi</w:t>
      </w:r>
      <w:hyperlink r:id="rId30">
        <w:r>
          <w:rPr>
            <w:rStyle w:val="Hyperlink"/>
          </w:rPr>
          <w:t xml:space="preserve">[13]</w:t>
        </w:r>
      </w:hyperlink>
      <w:r>
        <w:t xml:space="preserve"> </w:t>
      </w:r>
      <w:r>
        <w:t xml:space="preserve">argued that important knowledge is tacit and cannot be fully articulated, and Ikujiro Nonaka</w:t>
      </w:r>
      <w:hyperlink r:id="rId31">
        <w:r>
          <w:rPr>
            <w:rStyle w:val="Hyperlink"/>
          </w:rPr>
          <w:t xml:space="preserve">[14]</w:t>
        </w:r>
      </w:hyperlink>
      <w:r>
        <w:t xml:space="preserve"> </w:t>
      </w:r>
      <w:r>
        <w:t xml:space="preserve">formalised dynamic knowledge creation processes in organisations that cycle between tacit and explicit forms. This matters for KI because it implies that “measuring everything an organisation knows” is not literal; mature KI programmes treat tacit knowledge as approachable through proxies (expertise networks, elicitation methods, communities of practice) rather than as fully extractable text.</w:t>
      </w:r>
      <w:r>
        <w:t xml:space="preserve"> </w:t>
      </w:r>
      <w:hyperlink r:id="rId32">
        <w:r>
          <w:rPr>
            <w:rStyle w:val="Hyperlink"/>
          </w:rPr>
          <w:t xml:space="preserve">[15]</w:t>
        </w:r>
      </w:hyperlink>
    </w:p>
    <w:p>
      <w:pPr>
        <w:pStyle w:val="BodyText"/>
      </w:pPr>
      <w:r>
        <w:t xml:space="preserve">Second, organisational learning theory clarifies why knowledge is not only a stock but also a process: organisational learning is often framed as error detection and correction, and “double-loop learning” emphasises changing underlying assumptions rather than only actions. This underpins KI’s emphasis on governance and feedback loops (e.g., measuring “knowledge health” and revising models and policies over time).</w:t>
      </w:r>
      <w:r>
        <w:t xml:space="preserve"> </w:t>
      </w:r>
      <w:hyperlink r:id="rId33">
        <w:r>
          <w:rPr>
            <w:rStyle w:val="Hyperlink"/>
          </w:rPr>
          <w:t xml:space="preserve">[16]</w:t>
        </w:r>
      </w:hyperlink>
    </w:p>
    <w:p>
      <w:pPr>
        <w:pStyle w:val="BodyText"/>
      </w:pPr>
      <w:r>
        <w:t xml:space="preserve">Third, information science and information retrieval (IR) theory explains why findability is a system property that requires explicit evaluation and optimisation: indexing, ranking, relevance assessment, and measurement are core to moving from “we have a repository” to “we can reliably retrieve the right thing at the moment of need.” This is foundational for KI because KI cannot claim value unless retrieval success is instrumented and improved.</w:t>
      </w:r>
      <w:r>
        <w:t xml:space="preserve"> </w:t>
      </w:r>
      <w:hyperlink r:id="rId34">
        <w:r>
          <w:rPr>
            <w:rStyle w:val="Hyperlink"/>
          </w:rPr>
          <w:t xml:space="preserve">[17]</w:t>
        </w:r>
      </w:hyperlink>
    </w:p>
    <w:p>
      <w:pPr>
        <w:pStyle w:val="BodyText"/>
      </w:pPr>
      <w:r>
        <w:t xml:space="preserve">Fourth, knowledge representation and semantics provide the formal “meaning layer.” A widely cited ontology definition treats an ontology as an explicit specification of a conceptualisation; W3C standards formalise representing data as RDF graphs (triples) and querying them via SPARQL, while OWL extends expressiveness for ontologies. Practically, these foundations enable enterprises to represent entities (people, products, obligations), relationships (depends-on, derived-from, governed-by), and constraints (allowed mappings, classifications) in ways that can be queried, validated, and governed.</w:t>
      </w:r>
      <w:r>
        <w:t xml:space="preserve"> </w:t>
      </w:r>
      <w:hyperlink r:id="rId35">
        <w:r>
          <w:rPr>
            <w:rStyle w:val="Hyperlink"/>
          </w:rPr>
          <w:t xml:space="preserve">[18]</w:t>
        </w:r>
      </w:hyperlink>
    </w:p>
    <w:p>
      <w:pPr>
        <w:pStyle w:val="BodyText"/>
      </w:pPr>
      <w:r>
        <w:t xml:space="preserve">Fifth, modern AI foundations explain the new “activation mechanism” of knowledge: transformer architectures underpin current NLP capabilities; embeddings enable similarity search for meaning-based retrieval; and RAG formalises grounding generation in retrieved documents, explicitly addressing provenance and the need to update knowledge without retraining the whole model. This AI foundation is central to KI because it changes the economic feasibility of structuring and using large knowledge estates in workflow timeframes.</w:t>
      </w:r>
      <w:r>
        <w:t xml:space="preserve"> </w:t>
      </w:r>
      <w:hyperlink r:id="rId36">
        <w:r>
          <w:rPr>
            <w:rStyle w:val="Hyperlink"/>
          </w:rPr>
          <w:t xml:space="preserve">[19]</w:t>
        </w:r>
      </w:hyperlink>
    </w:p>
    <w:p>
      <w:pPr>
        <w:pStyle w:val="BodyText"/>
      </w:pPr>
      <w:r>
        <w:t xml:space="preserve">Two additional theoretical considerations are important for KI but often underemphasised.</w:t>
      </w:r>
    </w:p>
    <w:p>
      <w:pPr>
        <w:pStyle w:val="BodyText"/>
      </w:pPr>
      <w:r>
        <w:rPr>
          <w:b/>
          <w:bCs/>
        </w:rPr>
        <w:t xml:space="preserve">Concept drift and ontology evolution</w:t>
      </w:r>
      <w:r>
        <w:t xml:space="preserve">: when organisations and markets change, vocabularies and models become stale. Concept drift research formalises that relationships between inputs and outputs can change over time, and ontology evolution research addresses controlled change in semantic models. KI therefore treats taxonomy/ontology maintenance as a governed, continuously improved process rather than a one-off design task.</w:t>
      </w:r>
      <w:r>
        <w:t xml:space="preserve"> </w:t>
      </w:r>
      <w:hyperlink r:id="rId37">
        <w:r>
          <w:rPr>
            <w:rStyle w:val="Hyperlink"/>
          </w:rPr>
          <w:t xml:space="preserve">[20]</w:t>
        </w:r>
      </w:hyperlink>
    </w:p>
    <w:p>
      <w:pPr>
        <w:pStyle w:val="BodyText"/>
      </w:pPr>
      <w:r>
        <w:rPr>
          <w:b/>
          <w:bCs/>
        </w:rPr>
        <w:t xml:space="preserve">Socio-technical risk management</w:t>
      </w:r>
      <w:r>
        <w:t xml:space="preserve">: AI and knowledge systems are socio-technical; risk arises from data, models, people, processes, and context. This is explicit in the AI risk management framing promoted by the National Institute of Standards and Technology</w:t>
      </w:r>
      <w:hyperlink r:id="rId38">
        <w:r>
          <w:rPr>
            <w:rStyle w:val="Hyperlink"/>
          </w:rPr>
          <w:t xml:space="preserve">[21]</w:t>
        </w:r>
      </w:hyperlink>
      <w:r>
        <w:t xml:space="preserve"> </w:t>
      </w:r>
      <w:r>
        <w:t xml:space="preserve">AI RMF (functions: Govern, Map, Measure, Manage), which is directly relevant to KI programmes embedding AI assistants/agents into decision and compliance workflows.</w:t>
      </w:r>
      <w:r>
        <w:t xml:space="preserve"> </w:t>
      </w:r>
      <w:hyperlink r:id="rId39">
        <w:r>
          <w:rPr>
            <w:rStyle w:val="Hyperlink"/>
          </w:rPr>
          <w:t xml:space="preserve">[22]</w:t>
        </w:r>
      </w:hyperlink>
    </w:p>
    <w:bookmarkEnd w:id="40"/>
    <w:bookmarkStart w:id="45" w:name="key-components-and-capabilities"/>
    <w:p>
      <w:pPr>
        <w:pStyle w:val="Heading2"/>
      </w:pPr>
      <w:r>
        <w:t xml:space="preserve">Key components and capabilities</w:t>
      </w:r>
    </w:p>
    <w:p>
      <w:pPr>
        <w:pStyle w:val="FirstParagraph"/>
      </w:pPr>
      <w:r>
        <w:t xml:space="preserve">A KI capability stack can be described as a “knowledge layer” composed of interoperating components; each component contributes measurability, trust, or operational usability.</w:t>
      </w:r>
    </w:p>
    <w:p>
      <w:pPr>
        <w:pStyle w:val="BodyText"/>
      </w:pPr>
      <w:r>
        <w:rPr>
          <w:b/>
          <w:bCs/>
        </w:rPr>
        <w:t xml:space="preserve">Taxonomies and thesauri</w:t>
      </w:r>
      <w:r>
        <w:t xml:space="preserve"> </w:t>
      </w:r>
      <w:r>
        <w:t xml:space="preserve">provide controlled vocabulary and term relationships to stabilise classification and retrieval. The thesaurus standard addressing development and maintenance for information retrieval contexts is directly relevant to enterprise KI because it codifies how to build and maintain term relationships for consistent retrieval and interoperability.</w:t>
      </w:r>
      <w:r>
        <w:t xml:space="preserve"> </w:t>
      </w:r>
      <w:hyperlink r:id="rId41">
        <w:r>
          <w:rPr>
            <w:rStyle w:val="Hyperlink"/>
          </w:rPr>
          <w:t xml:space="preserve">[23]</w:t>
        </w:r>
      </w:hyperlink>
    </w:p>
    <w:p>
      <w:pPr>
        <w:pStyle w:val="BodyText"/>
      </w:pPr>
      <w:r>
        <w:rPr>
          <w:b/>
          <w:bCs/>
        </w:rPr>
        <w:t xml:space="preserve">Ontologies</w:t>
      </w:r>
      <w:r>
        <w:t xml:space="preserve"> </w:t>
      </w:r>
      <w:r>
        <w:t xml:space="preserve">provide a more formal conceptual model (classes, properties, constraints), enabling explainable categorisation and validation; the ontology definition and W3C OWL documentation establish the semantic intent and formality of the approach.</w:t>
      </w:r>
      <w:r>
        <w:t xml:space="preserve"> </w:t>
      </w:r>
      <w:hyperlink r:id="rId35">
        <w:r>
          <w:rPr>
            <w:rStyle w:val="Hyperlink"/>
          </w:rPr>
          <w:t xml:space="preserve">[24]</w:t>
        </w:r>
      </w:hyperlink>
    </w:p>
    <w:p>
      <w:pPr>
        <w:pStyle w:val="BodyText"/>
      </w:pPr>
      <w:r>
        <w:rPr>
          <w:b/>
          <w:bCs/>
        </w:rPr>
        <w:t xml:space="preserve">Knowledge graphs</w:t>
      </w:r>
      <w:r>
        <w:t xml:space="preserve"> </w:t>
      </w:r>
      <w:r>
        <w:t xml:space="preserve">provide a graph-based data structure capturing entities and relations across heterogeneous sources; surveys of knowledge graphs highlight their role in integrating diverse, dynamic, large-scale data and enabling querying/validation.</w:t>
      </w:r>
      <w:r>
        <w:t xml:space="preserve"> </w:t>
      </w:r>
      <w:hyperlink r:id="rId42">
        <w:r>
          <w:rPr>
            <w:rStyle w:val="Hyperlink"/>
          </w:rPr>
          <w:t xml:space="preserve">[25]</w:t>
        </w:r>
      </w:hyperlink>
    </w:p>
    <w:p>
      <w:pPr>
        <w:pStyle w:val="BodyText"/>
      </w:pPr>
      <w:r>
        <w:rPr>
          <w:b/>
          <w:bCs/>
        </w:rPr>
        <w:t xml:space="preserve">Search and retrieval</w:t>
      </w:r>
      <w:r>
        <w:t xml:space="preserve"> </w:t>
      </w:r>
      <w:r>
        <w:t xml:space="preserve">combine lexical retrieval (inverted indexes and ranking) with semantic retrieval (vector indexes). IR theory provides the foundational evaluation logic; modern platforms increasingly implement hybrid retrieval patterns that combine lexical and vector scoring.</w:t>
      </w:r>
      <w:r>
        <w:t xml:space="preserve"> </w:t>
      </w:r>
      <w:hyperlink r:id="rId34">
        <w:r>
          <w:rPr>
            <w:rStyle w:val="Hyperlink"/>
          </w:rPr>
          <w:t xml:space="preserve">[26]</w:t>
        </w:r>
      </w:hyperlink>
    </w:p>
    <w:p>
      <w:pPr>
        <w:pStyle w:val="BodyText"/>
      </w:pPr>
      <w:r>
        <w:rPr>
          <w:b/>
          <w:bCs/>
        </w:rPr>
        <w:t xml:space="preserve">NLP and embeddings</w:t>
      </w:r>
      <w:r>
        <w:t xml:space="preserve"> </w:t>
      </w:r>
      <w:r>
        <w:t xml:space="preserve">enable extraction (entities, topics), classification, and semantic representations of documents/passages. Embeddings are a prerequisite for vector search; transformer-based NLP is the current dominant approach.</w:t>
      </w:r>
      <w:r>
        <w:t xml:space="preserve"> </w:t>
      </w:r>
      <w:hyperlink r:id="rId27">
        <w:r>
          <w:rPr>
            <w:rStyle w:val="Hyperlink"/>
          </w:rPr>
          <w:t xml:space="preserve">[27]</w:t>
        </w:r>
      </w:hyperlink>
    </w:p>
    <w:p>
      <w:pPr>
        <w:pStyle w:val="BodyText"/>
      </w:pPr>
      <w:r>
        <w:rPr>
          <w:b/>
          <w:bCs/>
        </w:rPr>
        <w:t xml:space="preserve">RAG and graph-enhanced RAG</w:t>
      </w:r>
      <w:r>
        <w:t xml:space="preserve"> </w:t>
      </w:r>
      <w:r>
        <w:t xml:space="preserve">enable grounded synthesis and question answering using retrieved context. The original RAG formulation explicitly frames combining parametric and non-parametric memory and highlights provenance as a motivation; graph-RAG deployments show measurable operational improvements (e.g., resolution time reduction) when structure is preserved through a knowledge graph.</w:t>
      </w:r>
      <w:r>
        <w:t xml:space="preserve"> </w:t>
      </w:r>
      <w:hyperlink r:id="rId43">
        <w:r>
          <w:rPr>
            <w:rStyle w:val="Hyperlink"/>
          </w:rPr>
          <w:t xml:space="preserve">[28]</w:t>
        </w:r>
      </w:hyperlink>
    </w:p>
    <w:p>
      <w:pPr>
        <w:pStyle w:val="BodyText"/>
      </w:pPr>
      <w:r>
        <w:rPr>
          <w:b/>
          <w:bCs/>
        </w:rPr>
        <w:t xml:space="preserve">Metadata, governance, and workflows</w:t>
      </w:r>
      <w:r>
        <w:t xml:space="preserve"> </w:t>
      </w:r>
      <w:r>
        <w:t xml:space="preserve">turn a knowledge layer into an enterprise capability. Workflows control publishing/retirement and enforce accountability; this is explicit in workflow-enabled KM implementations where publishing and retirement are governed by configured workflows.</w:t>
      </w:r>
      <w:r>
        <w:t xml:space="preserve"> </w:t>
      </w:r>
      <w:hyperlink r:id="rId31">
        <w:r>
          <w:rPr>
            <w:rStyle w:val="Hyperlink"/>
          </w:rPr>
          <w:t xml:space="preserve">[29]</w:t>
        </w:r>
      </w:hyperlink>
    </w:p>
    <w:p>
      <w:pPr>
        <w:pStyle w:val="BodyText"/>
      </w:pPr>
      <w:r>
        <w:t xml:space="preserve">The user-provided founding statement proposes two KI-specific governance constructs: a “living taxonomy” loop (continuous classification evolution) and a multi-factor “knowledge health” signal (confidence, currency, usage, concentration, alignment). These constructs can be treated as promising internal frameworks but should be understood as</w:t>
      </w:r>
      <w:r>
        <w:t xml:space="preserve"> </w:t>
      </w:r>
      <w:r>
        <w:rPr>
          <w:b/>
          <w:bCs/>
        </w:rPr>
        <w:t xml:space="preserve">proposed heuristics</w:t>
      </w:r>
      <w:r>
        <w:t xml:space="preserve"> </w:t>
      </w:r>
      <w:r>
        <w:t xml:space="preserve">that require empirical calibration and governance design rather than assumed benchmarks.</w:t>
      </w:r>
    </w:p>
    <w:bookmarkStart w:id="44" w:name="reference-architecture"/>
    <w:p>
      <w:pPr>
        <w:pStyle w:val="Heading3"/>
      </w:pPr>
      <w:r>
        <w:t xml:space="preserve">Reference architecture</w:t>
      </w:r>
    </w:p>
    <w:p>
      <w:pPr>
        <w:pStyle w:val="SourceCode"/>
      </w:pPr>
      <w:r>
        <w:rPr>
          <w:rStyle w:val="VerbatimChar"/>
        </w:rPr>
        <w:t xml:space="preserve">flowchart LR</w:t>
      </w:r>
      <w:r>
        <w:br/>
      </w:r>
      <w:r>
        <w:rPr>
          <w:rStyle w:val="VerbatimChar"/>
        </w:rPr>
        <w:t xml:space="preserve">  subgraph Sources["Knowledge sources"]</w:t>
      </w:r>
      <w:r>
        <w:br/>
      </w:r>
      <w:r>
        <w:rPr>
          <w:rStyle w:val="VerbatimChar"/>
        </w:rPr>
        <w:t xml:space="preserve">    S1["Documents &amp; files"]</w:t>
      </w:r>
      <w:r>
        <w:br/>
      </w:r>
      <w:r>
        <w:rPr>
          <w:rStyle w:val="VerbatimChar"/>
        </w:rPr>
        <w:t xml:space="preserve">    S2["Collaboration systems"]</w:t>
      </w:r>
      <w:r>
        <w:br/>
      </w:r>
      <w:r>
        <w:rPr>
          <w:rStyle w:val="VerbatimChar"/>
        </w:rPr>
        <w:t xml:space="preserve">    S3["Operational records (service, sales, HR)"]</w:t>
      </w:r>
      <w:r>
        <w:br/>
      </w:r>
      <w:r>
        <w:rPr>
          <w:rStyle w:val="VerbatimChar"/>
        </w:rPr>
        <w:t xml:space="preserve">    S4["Data &amp; analytics assets"]</w:t>
      </w:r>
      <w:r>
        <w:br/>
      </w:r>
      <w:r>
        <w:rPr>
          <w:rStyle w:val="VerbatimChar"/>
        </w:rPr>
        <w:t xml:space="preserve">    S5["External obligations &amp; policies"]</w:t>
      </w:r>
      <w:r>
        <w:br/>
      </w:r>
      <w:r>
        <w:rPr>
          <w:rStyle w:val="VerbatimChar"/>
        </w:rPr>
        <w:t xml:space="preserve">  end</w:t>
      </w:r>
      <w:r>
        <w:br/>
      </w:r>
      <w:r>
        <w:br/>
      </w:r>
      <w:r>
        <w:rPr>
          <w:rStyle w:val="VerbatimChar"/>
        </w:rPr>
        <w:t xml:space="preserve">  subgraph Ingestion["Ingestion and normalisation"]</w:t>
      </w:r>
      <w:r>
        <w:br/>
      </w:r>
      <w:r>
        <w:rPr>
          <w:rStyle w:val="VerbatimChar"/>
        </w:rPr>
        <w:t xml:space="preserve">    I1["Connectors / APIs"]</w:t>
      </w:r>
      <w:r>
        <w:br/>
      </w:r>
      <w:r>
        <w:rPr>
          <w:rStyle w:val="VerbatimChar"/>
        </w:rPr>
        <w:t xml:space="preserve">    I2["Permission and identity mapping"]</w:t>
      </w:r>
      <w:r>
        <w:br/>
      </w:r>
      <w:r>
        <w:rPr>
          <w:rStyle w:val="VerbatimChar"/>
        </w:rPr>
        <w:t xml:space="preserve">    I3["Content extraction and chunking"]</w:t>
      </w:r>
      <w:r>
        <w:br/>
      </w:r>
      <w:r>
        <w:rPr>
          <w:rStyle w:val="VerbatimChar"/>
        </w:rPr>
        <w:t xml:space="preserve">  end</w:t>
      </w:r>
      <w:r>
        <w:br/>
      </w:r>
      <w:r>
        <w:br/>
      </w:r>
      <w:r>
        <w:rPr>
          <w:rStyle w:val="VerbatimChar"/>
        </w:rPr>
        <w:t xml:space="preserve">  subgraph Semantics["Semantic enrichment"]</w:t>
      </w:r>
      <w:r>
        <w:br/>
      </w:r>
      <w:r>
        <w:rPr>
          <w:rStyle w:val="VerbatimChar"/>
        </w:rPr>
        <w:t xml:space="preserve">    E1["Metadata extraction (entities, topics, dates)"]</w:t>
      </w:r>
      <w:r>
        <w:br/>
      </w:r>
      <w:r>
        <w:rPr>
          <w:rStyle w:val="VerbatimChar"/>
        </w:rPr>
        <w:t xml:space="preserve">    E2["Taxonomy tagging"]</w:t>
      </w:r>
      <w:r>
        <w:br/>
      </w:r>
      <w:r>
        <w:rPr>
          <w:rStyle w:val="VerbatimChar"/>
        </w:rPr>
        <w:t xml:space="preserve">    E3["Ontology validation and rules"]</w:t>
      </w:r>
      <w:r>
        <w:br/>
      </w:r>
      <w:r>
        <w:rPr>
          <w:rStyle w:val="VerbatimChar"/>
        </w:rPr>
        <w:t xml:space="preserve">    E4["Embeddings (doc, passage, entity)"]</w:t>
      </w:r>
      <w:r>
        <w:br/>
      </w:r>
      <w:r>
        <w:rPr>
          <w:rStyle w:val="VerbatimChar"/>
        </w:rPr>
        <w:t xml:space="preserve">  end</w:t>
      </w:r>
      <w:r>
        <w:br/>
      </w:r>
      <w:r>
        <w:br/>
      </w:r>
      <w:r>
        <w:rPr>
          <w:rStyle w:val="VerbatimChar"/>
        </w:rPr>
        <w:t xml:space="preserve">  subgraph KnowledgeLayer["Knowledge layer"]</w:t>
      </w:r>
      <w:r>
        <w:br/>
      </w:r>
      <w:r>
        <w:rPr>
          <w:rStyle w:val="VerbatimChar"/>
        </w:rPr>
        <w:t xml:space="preserve">    K1["Lexical index"]</w:t>
      </w:r>
      <w:r>
        <w:br/>
      </w:r>
      <w:r>
        <w:rPr>
          <w:rStyle w:val="VerbatimChar"/>
        </w:rPr>
        <w:t xml:space="preserve">    K2["Vector index"]</w:t>
      </w:r>
      <w:r>
        <w:br/>
      </w:r>
      <w:r>
        <w:rPr>
          <w:rStyle w:val="VerbatimChar"/>
        </w:rPr>
        <w:t xml:space="preserve">    K3["Knowledge graph"]</w:t>
      </w:r>
      <w:r>
        <w:br/>
      </w:r>
      <w:r>
        <w:rPr>
          <w:rStyle w:val="VerbatimChar"/>
        </w:rPr>
        <w:t xml:space="preserve">    K4["Governance and lineage"]</w:t>
      </w:r>
      <w:r>
        <w:br/>
      </w:r>
      <w:r>
        <w:rPr>
          <w:rStyle w:val="VerbatimChar"/>
        </w:rPr>
        <w:t xml:space="preserve">  end</w:t>
      </w:r>
      <w:r>
        <w:br/>
      </w:r>
      <w:r>
        <w:br/>
      </w:r>
      <w:r>
        <w:rPr>
          <w:rStyle w:val="VerbatimChar"/>
        </w:rPr>
        <w:t xml:space="preserve">  subgraph Access["Access and activation"]</w:t>
      </w:r>
      <w:r>
        <w:br/>
      </w:r>
      <w:r>
        <w:rPr>
          <w:rStyle w:val="VerbatimChar"/>
        </w:rPr>
        <w:t xml:space="preserve">    A1["Hybrid retrieval (lexical + vector + graph)"]</w:t>
      </w:r>
      <w:r>
        <w:br/>
      </w:r>
      <w:r>
        <w:rPr>
          <w:rStyle w:val="VerbatimChar"/>
        </w:rPr>
        <w:t xml:space="preserve">    A2["RAG / GraphRAG synthesis with citations"]</w:t>
      </w:r>
      <w:r>
        <w:br/>
      </w:r>
      <w:r>
        <w:rPr>
          <w:rStyle w:val="VerbatimChar"/>
        </w:rPr>
        <w:t xml:space="preserve">    A3["Workflow integration (assistants, agents)"]</w:t>
      </w:r>
      <w:r>
        <w:br/>
      </w:r>
      <w:r>
        <w:rPr>
          <w:rStyle w:val="VerbatimChar"/>
        </w:rPr>
        <w:t xml:space="preserve">    A4["Telemetry (usage, gaps, quality)"]</w:t>
      </w:r>
      <w:r>
        <w:br/>
      </w:r>
      <w:r>
        <w:rPr>
          <w:rStyle w:val="VerbatimChar"/>
        </w:rPr>
        <w:t xml:space="preserve">  end</w:t>
      </w:r>
      <w:r>
        <w:br/>
      </w:r>
      <w:r>
        <w:br/>
      </w:r>
      <w:r>
        <w:rPr>
          <w:rStyle w:val="VerbatimChar"/>
        </w:rPr>
        <w:t xml:space="preserve">  Sources --&gt; Ingestion --&gt; Semantics --&gt; KnowledgeLayer --&gt; Access</w:t>
      </w:r>
      <w:r>
        <w:br/>
      </w:r>
      <w:r>
        <w:rPr>
          <w:rStyle w:val="VerbatimChar"/>
        </w:rPr>
        <w:t xml:space="preserve">  K4 --&gt; A2</w:t>
      </w:r>
      <w:r>
        <w:br/>
      </w:r>
      <w:r>
        <w:rPr>
          <w:rStyle w:val="VerbatimChar"/>
        </w:rPr>
        <w:t xml:space="preserve">  A4 --&gt; Semantics</w:t>
      </w:r>
    </w:p>
    <w:p>
      <w:pPr>
        <w:pStyle w:val="FirstParagraph"/>
      </w:pPr>
      <w:r>
        <w:t xml:space="preserve">This architecture reflects a key KI claim: knowledge is operationalised not by storing more content, but by creating a governed layer that integrates retrieval, semantics, permissions, and continuous learning loops, which is increasingly aligned with how enterprise copilots ground answers in accessible organisational data.</w:t>
      </w:r>
      <w:r>
        <w:t xml:space="preserve"> </w:t>
      </w:r>
      <w:hyperlink r:id="rId30">
        <w:r>
          <w:rPr>
            <w:rStyle w:val="Hyperlink"/>
          </w:rPr>
          <w:t xml:space="preserve">[30]</w:t>
        </w:r>
      </w:hyperlink>
    </w:p>
    <w:bookmarkEnd w:id="44"/>
    <w:bookmarkEnd w:id="45"/>
    <w:bookmarkStart w:id="51" w:name="X3c04dbc6ae57cc19d6942e42883c5fae56ebb36"/>
    <w:p>
      <w:pPr>
        <w:pStyle w:val="Heading2"/>
      </w:pPr>
      <w:r>
        <w:t xml:space="preserve">Typical enterprise use cases and workflows across functions</w:t>
      </w:r>
    </w:p>
    <w:p>
      <w:pPr>
        <w:pStyle w:val="FirstParagraph"/>
      </w:pPr>
      <w:r>
        <w:t xml:space="preserve">KI’s enterprise value becomes most concrete when expressed as repeatable workflows. Across functions, five patterns recur: (1) locate authoritative knowledge; (2) validate and understand context; (3) apply to a decision or action; (4) capture improvements back into the knowledge layer; (5) govern lifecycle and permissions.</w:t>
      </w:r>
    </w:p>
    <w:p>
      <w:pPr>
        <w:pStyle w:val="BodyText"/>
      </w:pPr>
      <w:r>
        <w:rPr>
          <w:b/>
          <w:bCs/>
        </w:rPr>
        <w:t xml:space="preserve">R&amp;D and product development</w:t>
      </w:r>
      <w:r>
        <w:t xml:space="preserve">: KI supports reuse of prior work (experiments, designs, incident learnings), expert discovery, and traceability across artefacts. The logic is reducing duplication and improving evidence-to-decision cycle time by connecting heterogeneous artefacts through metadata and relationships.</w:t>
      </w:r>
      <w:r>
        <w:t xml:space="preserve"> </w:t>
      </w:r>
      <w:hyperlink r:id="rId42">
        <w:r>
          <w:rPr>
            <w:rStyle w:val="Hyperlink"/>
          </w:rPr>
          <w:t xml:space="preserve">[31]</w:t>
        </w:r>
      </w:hyperlink>
    </w:p>
    <w:p>
      <w:pPr>
        <w:pStyle w:val="BodyText"/>
      </w:pPr>
      <w:r>
        <w:rPr>
          <w:b/>
          <w:bCs/>
        </w:rPr>
        <w:t xml:space="preserve">Customer service and support</w:t>
      </w:r>
      <w:r>
        <w:t xml:space="preserve">: KI supports agent assist, faster triage, reduced AHT/MTTR, and improved self-service deflection through grounded answers and consistent knowledge workflows. Service-centric KM methodologies emphasise “capture in the flow of work” and continuous improvement of knowledge articles as they are used.</w:t>
      </w:r>
      <w:r>
        <w:t xml:space="preserve"> </w:t>
      </w:r>
      <w:hyperlink r:id="rId46">
        <w:r>
          <w:rPr>
            <w:rStyle w:val="Hyperlink"/>
          </w:rPr>
          <w:t xml:space="preserve">[32]</w:t>
        </w:r>
      </w:hyperlink>
    </w:p>
    <w:p>
      <w:pPr>
        <w:pStyle w:val="BodyText"/>
      </w:pPr>
      <w:r>
        <w:rPr>
          <w:b/>
          <w:bCs/>
        </w:rPr>
        <w:t xml:space="preserve">HR and employee services</w:t>
      </w:r>
      <w:r>
        <w:t xml:space="preserve">: KI supports policy Q&amp;A, onboarding, and case resolution; the critical KI requirement here is permission integrity (employees should not see restricted HR content), combined with lifecycle controls for frequently updated policies.</w:t>
      </w:r>
      <w:r>
        <w:t xml:space="preserve"> </w:t>
      </w:r>
      <w:hyperlink r:id="rId47">
        <w:r>
          <w:rPr>
            <w:rStyle w:val="Hyperlink"/>
          </w:rPr>
          <w:t xml:space="preserve">[33]</w:t>
        </w:r>
      </w:hyperlink>
    </w:p>
    <w:p>
      <w:pPr>
        <w:pStyle w:val="BodyText"/>
      </w:pPr>
      <w:r>
        <w:rPr>
          <w:b/>
          <w:bCs/>
        </w:rPr>
        <w:t xml:space="preserve">Legal and compliance</w:t>
      </w:r>
      <w:r>
        <w:t xml:space="preserve">: KI supports contract clause retrieval, policy interpretation, audit evidence assembly, and regulatory monitoring. The KI design emphasis is on provenance (what source supports this answer), auditability (what was seen, by whom, when), and controlled workflows for policy content updates.</w:t>
      </w:r>
      <w:r>
        <w:t xml:space="preserve"> </w:t>
      </w:r>
      <w:hyperlink r:id="rId43">
        <w:r>
          <w:rPr>
            <w:rStyle w:val="Hyperlink"/>
          </w:rPr>
          <w:t xml:space="preserve">[34]</w:t>
        </w:r>
      </w:hyperlink>
    </w:p>
    <w:p>
      <w:pPr>
        <w:pStyle w:val="BodyText"/>
      </w:pPr>
      <w:r>
        <w:rPr>
          <w:b/>
          <w:bCs/>
        </w:rPr>
        <w:t xml:space="preserve">Sales and customer-facing revenue work</w:t>
      </w:r>
      <w:r>
        <w:t xml:space="preserve">: KI supports proposal assembly, consistent product claims, pricing and packaging clarity, and cross-silo account knowledge. The operational pattern is retrieval and synthesis embedded in CRM and deal workflows, often with strict governance to manage “approved messaging” and avoid outdated claims.</w:t>
      </w:r>
      <w:r>
        <w:t xml:space="preserve"> </w:t>
      </w:r>
      <w:hyperlink r:id="rId34">
        <w:r>
          <w:rPr>
            <w:rStyle w:val="Hyperlink"/>
          </w:rPr>
          <w:t xml:space="preserve">[35]</w:t>
        </w:r>
      </w:hyperlink>
    </w:p>
    <w:bookmarkStart w:id="50" w:name="enterprise-case-studies-with-metrics"/>
    <w:p>
      <w:pPr>
        <w:pStyle w:val="Heading3"/>
      </w:pPr>
      <w:r>
        <w:t xml:space="preserve">Enterprise case studies with metrics</w:t>
      </w:r>
    </w:p>
    <w:p>
      <w:pPr>
        <w:pStyle w:val="FirstParagraph"/>
      </w:pPr>
      <w:r>
        <w:rPr>
          <w:b/>
          <w:bCs/>
        </w:rPr>
        <w:t xml:space="preserve">Case study A: regulated response time reduction in biopharma</w:t>
      </w:r>
      <w:r>
        <w:br/>
      </w:r>
      <w:r>
        <w:t xml:space="preserve">UCB</w:t>
      </w:r>
      <w:hyperlink r:id="rId21">
        <w:r>
          <w:rPr>
            <w:rStyle w:val="Hyperlink"/>
          </w:rPr>
          <w:t xml:space="preserve">[36]</w:t>
        </w:r>
      </w:hyperlink>
      <w:r>
        <w:t xml:space="preserve"> </w:t>
      </w:r>
      <w:r>
        <w:t xml:space="preserve">is reported (in an industry whitepaper) to have reduced time to answer requests from regulatory agencies by</w:t>
      </w:r>
      <w:r>
        <w:t xml:space="preserve"> </w:t>
      </w:r>
      <w:r>
        <w:rPr>
          <w:b/>
          <w:bCs/>
        </w:rPr>
        <w:t xml:space="preserve">90%</w:t>
      </w:r>
      <w:r>
        <w:t xml:space="preserve">, from</w:t>
      </w:r>
      <w:r>
        <w:t xml:space="preserve"> </w:t>
      </w:r>
      <w:r>
        <w:rPr>
          <w:b/>
          <w:bCs/>
        </w:rPr>
        <w:t xml:space="preserve">three weeks to two days</w:t>
      </w:r>
      <w:r>
        <w:t xml:space="preserve">, after consolidating and improving retrieval over large clinical and R&amp;D content estates. This is a high-value KI pattern because it links retrieval capability directly to a regulated workflow outcome (regulatory responsiveness).</w:t>
      </w:r>
      <w:r>
        <w:t xml:space="preserve"> </w:t>
      </w:r>
      <w:hyperlink r:id="rId48">
        <w:r>
          <w:rPr>
            <w:rStyle w:val="Hyperlink"/>
          </w:rPr>
          <w:t xml:space="preserve">[37]</w:t>
        </w:r>
      </w:hyperlink>
    </w:p>
    <w:p>
      <w:pPr>
        <w:pStyle w:val="BodyText"/>
      </w:pPr>
      <w:r>
        <w:rPr>
          <w:b/>
          <w:bCs/>
        </w:rPr>
        <w:t xml:space="preserve">Case study B: contact centre efficiency improvements</w:t>
      </w:r>
      <w:r>
        <w:br/>
      </w:r>
      <w:r>
        <w:t xml:space="preserve">A financial services organisation described in a vendor case study using the pseudonym “Trouba” reports an</w:t>
      </w:r>
      <w:r>
        <w:t xml:space="preserve"> </w:t>
      </w:r>
      <w:r>
        <w:rPr>
          <w:b/>
          <w:bCs/>
        </w:rPr>
        <w:t xml:space="preserve">11.25% reduction in average handle time</w:t>
      </w:r>
      <w:r>
        <w:t xml:space="preserve">, an</w:t>
      </w:r>
      <w:r>
        <w:t xml:space="preserve"> </w:t>
      </w:r>
      <w:r>
        <w:rPr>
          <w:b/>
          <w:bCs/>
        </w:rPr>
        <w:t xml:space="preserve">86% reduction in CSR time searching for knowledge</w:t>
      </w:r>
      <w:r>
        <w:t xml:space="preserve">, and</w:t>
      </w:r>
      <w:r>
        <w:t xml:space="preserve"> </w:t>
      </w:r>
      <w:r>
        <w:rPr>
          <w:b/>
          <w:bCs/>
        </w:rPr>
        <w:t xml:space="preserve">2.5 days saved</w:t>
      </w:r>
      <w:r>
        <w:t xml:space="preserve"> </w:t>
      </w:r>
      <w:r>
        <w:t xml:space="preserve">developing knowledge proficiency. These metrics map directly to KPI formulas commonly used in service operations and provide a measurable benefit pathway for KI in customer-facing workflows.</w:t>
      </w:r>
      <w:r>
        <w:t xml:space="preserve"> </w:t>
      </w:r>
      <w:hyperlink r:id="rId49">
        <w:r>
          <w:rPr>
            <w:rStyle w:val="Hyperlink"/>
          </w:rPr>
          <w:t xml:space="preserve">[38]</w:t>
        </w:r>
      </w:hyperlink>
    </w:p>
    <w:p>
      <w:pPr>
        <w:pStyle w:val="BodyText"/>
      </w:pPr>
      <w:r>
        <w:rPr>
          <w:b/>
          <w:bCs/>
        </w:rPr>
        <w:t xml:space="preserve">Case study C: graph-enhanced RAG operational outcomes</w:t>
      </w:r>
      <w:r>
        <w:br/>
      </w:r>
      <w:r>
        <w:t xml:space="preserve">A peer-reviewed paper describing a production deployment within LinkedIn</w:t>
      </w:r>
      <w:hyperlink r:id="rId35">
        <w:r>
          <w:rPr>
            <w:rStyle w:val="Hyperlink"/>
          </w:rPr>
          <w:t xml:space="preserve">[39]</w:t>
        </w:r>
      </w:hyperlink>
      <w:r>
        <w:t xml:space="preserve"> </w:t>
      </w:r>
      <w:r>
        <w:t xml:space="preserve">reports that incorporating a knowledge graph into retrieval for customer service question answering improved retrieval metrics (e.g.,</w:t>
      </w:r>
      <w:r>
        <w:t xml:space="preserve"> </w:t>
      </w:r>
      <w:r>
        <w:rPr>
          <w:b/>
          <w:bCs/>
        </w:rPr>
        <w:t xml:space="preserve">+77.6% MRR</w:t>
      </w:r>
      <w:r>
        <w:t xml:space="preserve">) and reduced the median per-issue resolution time by</w:t>
      </w:r>
      <w:r>
        <w:t xml:space="preserve"> </w:t>
      </w:r>
      <w:r>
        <w:rPr>
          <w:b/>
          <w:bCs/>
        </w:rPr>
        <w:t xml:space="preserve">28.6%</w:t>
      </w:r>
      <w:r>
        <w:t xml:space="preserve"> </w:t>
      </w:r>
      <w:r>
        <w:t xml:space="preserve">after approximately six months of deployment. This is particularly relevant to KI because it empirically supports the claim that semantic structure (knowledge graphs) can improve both retrieval quality and business outcomes.</w:t>
      </w:r>
      <w:r>
        <w:t xml:space="preserve"> </w:t>
      </w:r>
      <w:hyperlink r:id="rId23">
        <w:r>
          <w:rPr>
            <w:rStyle w:val="Hyperlink"/>
          </w:rPr>
          <w:t xml:space="preserve">[40]</w:t>
        </w:r>
      </w:hyperlink>
    </w:p>
    <w:p>
      <w:pPr>
        <w:pStyle w:val="BodyText"/>
      </w:pPr>
      <w:r>
        <w:t xml:space="preserve">These case studies should be treated with appropriate evidentiary caution: vendor-produced case studies may not be independently audited; nonetheless, they are valuable for KPI selection, benefit estimation, and workflow mapping when used alongside more general IR/AI research evidence.</w:t>
      </w:r>
      <w:r>
        <w:t xml:space="preserve"> </w:t>
      </w:r>
      <w:hyperlink r:id="rId49">
        <w:r>
          <w:rPr>
            <w:rStyle w:val="Hyperlink"/>
          </w:rPr>
          <w:t xml:space="preserve">[41]</w:t>
        </w:r>
      </w:hyperlink>
    </w:p>
    <w:bookmarkEnd w:id="50"/>
    <w:bookmarkEnd w:id="51"/>
    <w:bookmarkStart w:id="54" w:name="X137b2900df6427b0e3669ac2a58ccef39877d12"/>
    <w:p>
      <w:pPr>
        <w:pStyle w:val="Heading2"/>
      </w:pPr>
      <w:r>
        <w:t xml:space="preserve">Measurable business outcomes and KPIs with formulas and measurement approaches</w:t>
      </w:r>
    </w:p>
    <w:p>
      <w:pPr>
        <w:pStyle w:val="FirstParagraph"/>
      </w:pPr>
      <w:r>
        <w:t xml:space="preserve">KI measurement should be structured into three layers: (1) retrieval/knowledge quality metrics, (2) workflow performance metrics, and (3) business and risk/controls metrics. IR measurement literature provides the basis for retrieval metrics; service KM methodologies provide operational measurement practices; and risk frameworks provide governance KPIs.</w:t>
      </w:r>
      <w:r>
        <w:t xml:space="preserve"> </w:t>
      </w:r>
      <w:hyperlink r:id="rId34">
        <w:r>
          <w:rPr>
            <w:rStyle w:val="Hyperlink"/>
          </w:rPr>
          <w:t xml:space="preserve">[42]</w:t>
        </w:r>
      </w:hyperlink>
    </w:p>
    <w:bookmarkStart w:id="53" w:name="kpi-catalogue-and-measurement-approaches"/>
    <w:p>
      <w:pPr>
        <w:pStyle w:val="Heading3"/>
      </w:pPr>
      <w:r>
        <w:t xml:space="preserve">KPI catalogue and measurement approaches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Definition</w:t>
            </w:r>
          </w:p>
        </w:tc>
        <w:tc>
          <w:tcPr/>
          <w:p>
            <w:pPr>
              <w:pStyle w:val="Compact"/>
            </w:pPr>
            <w:r>
              <w:t xml:space="preserve">Formula (illustrative but operationally usable)</w:t>
            </w:r>
          </w:p>
        </w:tc>
        <w:tc>
          <w:tcPr/>
          <w:p>
            <w:pPr>
              <w:pStyle w:val="Compact"/>
            </w:pPr>
            <w:r>
              <w:t xml:space="preserve">Measurement approach and instrumentation</w:t>
            </w:r>
          </w:p>
        </w:tc>
        <w:tc>
          <w:tcPr/>
          <w:p>
            <w:pPr>
              <w:pStyle w:val="Compact"/>
            </w:pPr>
            <w:r>
              <w:t xml:space="preserve">Typical pitfalls</w:t>
            </w:r>
          </w:p>
        </w:tc>
      </w:tr>
      <w:tr>
        <w:tc>
          <w:tcPr/>
          <w:p>
            <w:pPr>
              <w:pStyle w:val="Compact"/>
            </w:pPr>
            <w:r>
              <w:t xml:space="preserve">Time-to-insight / time-to-answer</w:t>
            </w:r>
          </w:p>
        </w:tc>
        <w:tc>
          <w:tcPr/>
          <w:p>
            <w:pPr>
              <w:pStyle w:val="Compact"/>
            </w:pPr>
            <w:r>
              <w:t xml:space="preserve">Time from question to an actionable, accepted answer</w:t>
            </w:r>
          </w:p>
        </w:tc>
        <w:tc>
          <w:tcPr/>
          <w:p>
            <w:pPr>
              <w:pStyle w:val="Compact"/>
            </w:pPr>
            <w:r>
              <w:rPr>
                <w:b/>
                <w:bCs/>
              </w:rPr>
              <w:t xml:space="preserve">TTI = mean( t_accept − t_query )</w:t>
            </w:r>
          </w:p>
        </w:tc>
        <w:tc>
          <w:tcPr/>
          <w:p>
            <w:pPr>
              <w:pStyle w:val="Compact"/>
            </w:pPr>
            <w:r>
              <w:t xml:space="preserve">Log query timestamps, answer acceptance signals (click, copy, “resolved”, thumbs-up), and downstream workflow completion.</w:t>
            </w:r>
            <w:r>
              <w:t xml:space="preserve"> </w:t>
            </w:r>
            <w:hyperlink r:id="rId34">
              <w:r>
                <w:rPr>
                  <w:rStyle w:val="Hyperlink"/>
                </w:rPr>
                <w:t xml:space="preserve">[43]</w:t>
              </w:r>
            </w:hyperlink>
          </w:p>
        </w:tc>
        <w:tc>
          <w:tcPr/>
          <w:p>
            <w:pPr>
              <w:pStyle w:val="Compact"/>
            </w:pPr>
            <w:r>
              <w:t xml:space="preserve">Measuring “click” ≠ measuring success; must align “accept” definition to workflow.</w:t>
            </w:r>
            <w:r>
              <w:t xml:space="preserve"> </w:t>
            </w:r>
            <w:hyperlink r:id="rId34">
              <w:r>
                <w:rPr>
                  <w:rStyle w:val="Hyperlink"/>
                </w:rPr>
                <w:t xml:space="preserve">[44]</w:t>
              </w:r>
            </w:hyperlink>
          </w:p>
        </w:tc>
      </w:tr>
      <w:tr>
        <w:tc>
          <w:tcPr/>
          <w:p>
            <w:pPr>
              <w:pStyle w:val="Compact"/>
            </w:pPr>
            <w:r>
              <w:t xml:space="preserve">Search success rate</w:t>
            </w:r>
          </w:p>
        </w:tc>
        <w:tc>
          <w:tcPr/>
          <w:p>
            <w:pPr>
              <w:pStyle w:val="Compact"/>
            </w:pPr>
            <w:r>
              <w:t xml:space="preserve">Proportion of sessions where users find something useful</w:t>
            </w:r>
          </w:p>
        </w:tc>
        <w:tc>
          <w:tcPr/>
          <w:p>
            <w:pPr>
              <w:pStyle w:val="Compact"/>
            </w:pPr>
            <w:r>
              <w:rPr>
                <w:b/>
                <w:bCs/>
              </w:rPr>
              <w:t xml:space="preserve">SSR = successful sessions / total sessions</w:t>
            </w:r>
          </w:p>
        </w:tc>
        <w:tc>
          <w:tcPr/>
          <w:p>
            <w:pPr>
              <w:pStyle w:val="Compact"/>
            </w:pPr>
            <w:r>
              <w:t xml:space="preserve">Define “successful” (e.g., click + dwell time threshold, explicit feedback, case resolution without escalation).</w:t>
            </w:r>
            <w:r>
              <w:t xml:space="preserve"> </w:t>
            </w:r>
            <w:hyperlink r:id="rId34">
              <w:r>
                <w:rPr>
                  <w:rStyle w:val="Hyperlink"/>
                </w:rPr>
                <w:t xml:space="preserve">[45]</w:t>
              </w:r>
            </w:hyperlink>
          </w:p>
        </w:tc>
        <w:tc>
          <w:tcPr/>
          <w:p>
            <w:pPr>
              <w:pStyle w:val="Compact"/>
            </w:pPr>
            <w:r>
              <w:t xml:space="preserve">Success definitions vary by function; establish per workflow rather than one global metric.</w:t>
            </w:r>
          </w:p>
        </w:tc>
      </w:tr>
      <w:tr>
        <w:tc>
          <w:tcPr/>
          <w:p>
            <w:pPr>
              <w:pStyle w:val="Compact"/>
            </w:pPr>
            <w:r>
              <w:t xml:space="preserve">Zero-results rate</w:t>
            </w:r>
          </w:p>
        </w:tc>
        <w:tc>
          <w:tcPr/>
          <w:p>
            <w:pPr>
              <w:pStyle w:val="Compact"/>
            </w:pPr>
            <w:r>
              <w:t xml:space="preserve">Queries that return no results or no acceptable answer</w:t>
            </w:r>
          </w:p>
        </w:tc>
        <w:tc>
          <w:tcPr/>
          <w:p>
            <w:pPr>
              <w:pStyle w:val="Compact"/>
            </w:pPr>
            <w:r>
              <w:rPr>
                <w:b/>
                <w:bCs/>
              </w:rPr>
              <w:t xml:space="preserve">ZR = zero-result queries / total queries</w:t>
            </w:r>
          </w:p>
        </w:tc>
        <w:tc>
          <w:tcPr/>
          <w:p>
            <w:pPr>
              <w:pStyle w:val="Compact"/>
            </w:pPr>
            <w:r>
              <w:t xml:space="preserve">Track “0 results” and “low-confidence answer abstained” events; backlog top terms for content/metadata fixes.</w:t>
            </w:r>
            <w:r>
              <w:t xml:space="preserve"> </w:t>
            </w:r>
            <w:hyperlink r:id="rId34">
              <w:r>
                <w:rPr>
                  <w:rStyle w:val="Hyperlink"/>
                </w:rPr>
                <w:t xml:space="preserve">[46]</w:t>
              </w:r>
            </w:hyperlink>
          </w:p>
        </w:tc>
        <w:tc>
          <w:tcPr/>
          <w:p>
            <w:pPr>
              <w:pStyle w:val="Compact"/>
            </w:pPr>
            <w:r>
              <w:t xml:space="preserve">Over-tuning for “any result” can harm precision and trust.</w:t>
            </w:r>
            <w:r>
              <w:t xml:space="preserve"> </w:t>
            </w:r>
            <w:hyperlink r:id="rId34">
              <w:r>
                <w:rPr>
                  <w:rStyle w:val="Hyperlink"/>
                </w:rPr>
                <w:t xml:space="preserve">[44]</w:t>
              </w:r>
            </w:hyperlink>
          </w:p>
        </w:tc>
      </w:tr>
      <w:tr>
        <w:tc>
          <w:tcPr/>
          <w:p>
            <w:pPr>
              <w:pStyle w:val="Compact"/>
            </w:pPr>
            <w:r>
              <w:t xml:space="preserve">Retrieval quality (MRR / NDCG)</w:t>
            </w:r>
          </w:p>
        </w:tc>
        <w:tc>
          <w:tcPr/>
          <w:p>
            <w:pPr>
              <w:pStyle w:val="Compact"/>
            </w:pPr>
            <w:r>
              <w:t xml:space="preserve">Quality of ranked retrieval</w:t>
            </w:r>
          </w:p>
        </w:tc>
        <w:tc>
          <w:tcPr/>
          <w:p>
            <w:pPr>
              <w:pStyle w:val="Compact"/>
            </w:pPr>
            <w:r>
              <w:rPr>
                <w:b/>
                <w:bCs/>
              </w:rPr>
              <w:t xml:space="preserve">MRR = mean(1 / rank_first_relevant)</w:t>
            </w:r>
            <w:r>
              <w:t xml:space="preserve">;</w:t>
            </w:r>
            <w:r>
              <w:t xml:space="preserve"> </w:t>
            </w:r>
            <w:r>
              <w:rPr>
                <w:b/>
                <w:bCs/>
              </w:rPr>
              <w:t xml:space="preserve">NDCG@k</w:t>
            </w:r>
            <w:r>
              <w:t xml:space="preserve"> </w:t>
            </w:r>
            <w:r>
              <w:t xml:space="preserve">(standard IR formula)</w:t>
            </w:r>
          </w:p>
        </w:tc>
        <w:tc>
          <w:tcPr/>
          <w:p>
            <w:pPr>
              <w:pStyle w:val="Compact"/>
            </w:pPr>
            <w:r>
              <w:t xml:space="preserve">Use curated judgement sets; run offline evaluation alongside online A/B tests.</w:t>
            </w:r>
            <w:r>
              <w:t xml:space="preserve"> </w:t>
            </w:r>
            <w:hyperlink r:id="rId34">
              <w:r>
                <w:rPr>
                  <w:rStyle w:val="Hyperlink"/>
                </w:rPr>
                <w:t xml:space="preserve">[43]</w:t>
              </w:r>
            </w:hyperlink>
          </w:p>
        </w:tc>
        <w:tc>
          <w:tcPr/>
          <w:p>
            <w:pPr>
              <w:pStyle w:val="Compact"/>
            </w:pPr>
            <w:r>
              <w:t xml:space="preserve">Offline gains may not translate to workflow KPIs; corroborate with real usage data.</w:t>
            </w:r>
            <w:r>
              <w:t xml:space="preserve"> </w:t>
            </w:r>
            <w:hyperlink r:id="rId34">
              <w:r>
                <w:rPr>
                  <w:rStyle w:val="Hyperlink"/>
                </w:rPr>
                <w:t xml:space="preserve">[44]</w:t>
              </w:r>
            </w:hyperlink>
          </w:p>
        </w:tc>
      </w:tr>
      <w:tr>
        <w:tc>
          <w:tcPr/>
          <w:p>
            <w:pPr>
              <w:pStyle w:val="Compact"/>
            </w:pPr>
            <w:r>
              <w:t xml:space="preserve">Average handle time (AHT)</w:t>
            </w:r>
          </w:p>
        </w:tc>
        <w:tc>
          <w:tcPr/>
          <w:p>
            <w:pPr>
              <w:pStyle w:val="Compact"/>
            </w:pPr>
            <w:r>
              <w:t xml:space="preserve">Service call duration efficiency</w:t>
            </w:r>
          </w:p>
        </w:tc>
        <w:tc>
          <w:tcPr/>
          <w:p>
            <w:pPr>
              <w:pStyle w:val="Compact"/>
            </w:pPr>
            <w:r>
              <w:rPr>
                <w:b/>
                <w:bCs/>
              </w:rPr>
              <w:t xml:space="preserve">AHT = (talk + hold + after-call work) / calls</w:t>
            </w:r>
          </w:p>
        </w:tc>
        <w:tc>
          <w:tcPr/>
          <w:p>
            <w:pPr>
              <w:pStyle w:val="Compact"/>
            </w:pPr>
            <w:r>
              <w:t xml:space="preserve">Contact centre telemetry; compare pre/post KI deployment controlling for seasonality and case mix.</w:t>
            </w:r>
            <w:r>
              <w:t xml:space="preserve"> </w:t>
            </w:r>
            <w:hyperlink r:id="rId49">
              <w:r>
                <w:rPr>
                  <w:rStyle w:val="Hyperlink"/>
                </w:rPr>
                <w:t xml:space="preserve">[47]</w:t>
              </w:r>
            </w:hyperlink>
          </w:p>
        </w:tc>
        <w:tc>
          <w:tcPr/>
          <w:p>
            <w:pPr>
              <w:pStyle w:val="Compact"/>
            </w:pPr>
            <w:r>
              <w:t xml:space="preserve">Metrics can be gamed; combine with quality / CSAT.</w:t>
            </w:r>
          </w:p>
        </w:tc>
      </w:tr>
      <w:tr>
        <w:tc>
          <w:tcPr/>
          <w:p>
            <w:pPr>
              <w:pStyle w:val="Compact"/>
            </w:pPr>
            <w:r>
              <w:t xml:space="preserve">Mean time to resolve (MTTR)</w:t>
            </w:r>
          </w:p>
        </w:tc>
        <w:tc>
          <w:tcPr/>
          <w:p>
            <w:pPr>
              <w:pStyle w:val="Compact"/>
            </w:pPr>
            <w:r>
              <w:t xml:space="preserve">Time to resolve incidents/cases</w:t>
            </w:r>
          </w:p>
        </w:tc>
        <w:tc>
          <w:tcPr/>
          <w:p>
            <w:pPr>
              <w:pStyle w:val="Compact"/>
            </w:pPr>
            <w:r>
              <w:rPr>
                <w:b/>
                <w:bCs/>
              </w:rPr>
              <w:t xml:space="preserve">MTTR = mean( t_resolution − t_open )</w:t>
            </w:r>
          </w:p>
        </w:tc>
        <w:tc>
          <w:tcPr/>
          <w:p>
            <w:pPr>
              <w:pStyle w:val="Compact"/>
            </w:pPr>
            <w:r>
              <w:t xml:space="preserve">ITSM/CSM systems; separate by category/severity; use medians for heavy-tailed distributions.</w:t>
            </w:r>
            <w:r>
              <w:t xml:space="preserve"> </w:t>
            </w:r>
            <w:hyperlink r:id="rId23">
              <w:r>
                <w:rPr>
                  <w:rStyle w:val="Hyperlink"/>
                </w:rPr>
                <w:t xml:space="preserve">[40]</w:t>
              </w:r>
            </w:hyperlink>
          </w:p>
        </w:tc>
        <w:tc>
          <w:tcPr/>
          <w:p>
            <w:pPr>
              <w:pStyle w:val="Compact"/>
            </w:pPr>
            <w:r>
              <w:t xml:space="preserve">“Resolved” definitions vary; ensure consistent state model.</w:t>
            </w:r>
          </w:p>
        </w:tc>
      </w:tr>
      <w:tr>
        <w:tc>
          <w:tcPr/>
          <w:p>
            <w:pPr>
              <w:pStyle w:val="Compact"/>
            </w:pPr>
            <w:r>
              <w:t xml:space="preserve">Knowledge reuse / deflection</w:t>
            </w:r>
          </w:p>
        </w:tc>
        <w:tc>
          <w:tcPr/>
          <w:p>
            <w:pPr>
              <w:pStyle w:val="Compact"/>
            </w:pPr>
            <w:r>
              <w:t xml:space="preserve">Contacts avoided or repeated work reduced through reuse</w:t>
            </w:r>
          </w:p>
        </w:tc>
        <w:tc>
          <w:tcPr/>
          <w:p>
            <w:pPr>
              <w:pStyle w:val="Compact"/>
            </w:pPr>
            <w:r>
              <w:rPr>
                <w:b/>
                <w:bCs/>
              </w:rPr>
              <w:t xml:space="preserve">Deflection = (baseline contacts − actual contacts) / baseline contacts</w:t>
            </w:r>
          </w:p>
        </w:tc>
        <w:tc>
          <w:tcPr/>
          <w:p>
            <w:pPr>
              <w:pStyle w:val="Compact"/>
            </w:pPr>
            <w:r>
              <w:t xml:space="preserve">Self-service telemetry; ticket deflection models; article reuse counts in assisted resolutions.</w:t>
            </w:r>
            <w:r>
              <w:t xml:space="preserve"> </w:t>
            </w:r>
            <w:hyperlink r:id="rId46">
              <w:r>
                <w:rPr>
                  <w:rStyle w:val="Hyperlink"/>
                </w:rPr>
                <w:t xml:space="preserve">[48]</w:t>
              </w:r>
            </w:hyperlink>
          </w:p>
        </w:tc>
        <w:tc>
          <w:tcPr/>
          <w:p>
            <w:pPr>
              <w:pStyle w:val="Compact"/>
            </w:pPr>
            <w:r>
              <w:t xml:space="preserve">Attribution is difficult; triangulate with user surveys and funnel analysis.</w:t>
            </w:r>
          </w:p>
        </w:tc>
      </w:tr>
      <w:tr>
        <w:tc>
          <w:tcPr/>
          <w:p>
            <w:pPr>
              <w:pStyle w:val="Compact"/>
            </w:pPr>
            <w:r>
              <w:t xml:space="preserve">Error reduction</w:t>
            </w:r>
          </w:p>
        </w:tc>
        <w:tc>
          <w:tcPr/>
          <w:p>
            <w:pPr>
              <w:pStyle w:val="Compact"/>
            </w:pPr>
            <w:r>
              <w:t xml:space="preserve">Reduced rework / incorrect actions from misinformation</w:t>
            </w:r>
          </w:p>
        </w:tc>
        <w:tc>
          <w:tcPr/>
          <w:p>
            <w:pPr>
              <w:pStyle w:val="Compact"/>
            </w:pPr>
            <w:r>
              <w:rPr>
                <w:b/>
                <w:bCs/>
              </w:rPr>
              <w:t xml:space="preserve">Error Δ = (error_rate_baseline − error_rate_post)</w:t>
            </w:r>
          </w:p>
        </w:tc>
        <w:tc>
          <w:tcPr/>
          <w:p>
            <w:pPr>
              <w:pStyle w:val="Compact"/>
            </w:pPr>
            <w:r>
              <w:t xml:space="preserve">Define errors by workflow (e.g., wrong policy applied, wrong claim made, re-open rates).</w:t>
            </w:r>
            <w:r>
              <w:t xml:space="preserve"> </w:t>
            </w:r>
            <w:hyperlink r:id="rId39">
              <w:r>
                <w:rPr>
                  <w:rStyle w:val="Hyperlink"/>
                </w:rPr>
                <w:t xml:space="preserve">[49]</w:t>
              </w:r>
            </w:hyperlink>
          </w:p>
        </w:tc>
        <w:tc>
          <w:tcPr/>
          <w:p>
            <w:pPr>
              <w:pStyle w:val="Compact"/>
            </w:pPr>
            <w:r>
              <w:t xml:space="preserve">Errors are often underreported; establish reporting and sampling audits.</w:t>
            </w:r>
          </w:p>
        </w:tc>
      </w:tr>
      <w:tr>
        <w:tc>
          <w:tcPr/>
          <w:p>
            <w:pPr>
              <w:pStyle w:val="Compact"/>
            </w:pPr>
            <w:r>
              <w:t xml:space="preserve">Employee productivity hours saved</w:t>
            </w:r>
          </w:p>
        </w:tc>
        <w:tc>
          <w:tcPr/>
          <w:p>
            <w:pPr>
              <w:pStyle w:val="Compact"/>
            </w:pPr>
            <w:r>
              <w:t xml:space="preserve">Time recovered from searching and rework</w:t>
            </w:r>
          </w:p>
        </w:tc>
        <w:tc>
          <w:tcPr/>
          <w:p>
            <w:pPr>
              <w:pStyle w:val="Compact"/>
            </w:pPr>
            <w:r>
              <w:rPr>
                <w:b/>
                <w:bCs/>
              </w:rPr>
              <w:t xml:space="preserve">Hours saved = (baseline mins/search − post mins/search) × searches × users / 60</w:t>
            </w:r>
          </w:p>
        </w:tc>
        <w:tc>
          <w:tcPr/>
          <w:p>
            <w:pPr>
              <w:pStyle w:val="Compact"/>
            </w:pPr>
            <w:r>
              <w:t xml:space="preserve">Time-and-motion sampling; digital telemetry; combine with adoption rates.</w:t>
            </w:r>
            <w:r>
              <w:t xml:space="preserve"> </w:t>
            </w:r>
            <w:hyperlink r:id="rId34">
              <w:r>
                <w:rPr>
                  <w:rStyle w:val="Hyperlink"/>
                </w:rPr>
                <w:t xml:space="preserve">[50]</w:t>
              </w:r>
            </w:hyperlink>
          </w:p>
        </w:tc>
        <w:tc>
          <w:tcPr/>
          <w:p>
            <w:pPr>
              <w:pStyle w:val="Compact"/>
            </w:pPr>
            <w:r>
              <w:t xml:space="preserve">Self-reported time savings can be inflated; validate with behavioural logs.</w:t>
            </w:r>
          </w:p>
        </w:tc>
      </w:tr>
      <w:tr>
        <w:tc>
          <w:tcPr/>
          <w:p>
            <w:pPr>
              <w:pStyle w:val="Compact"/>
            </w:pPr>
            <w:r>
              <w:t xml:space="preserve">Compliance evidence cycle time</w:t>
            </w:r>
          </w:p>
        </w:tc>
        <w:tc>
          <w:tcPr/>
          <w:p>
            <w:pPr>
              <w:pStyle w:val="Compact"/>
            </w:pPr>
            <w:r>
              <w:t xml:space="preserve">Time to assemble audit / regulatory evidence</w:t>
            </w:r>
          </w:p>
        </w:tc>
        <w:tc>
          <w:tcPr/>
          <w:p>
            <w:pPr>
              <w:pStyle w:val="Compact"/>
            </w:pPr>
            <w:r>
              <w:rPr>
                <w:b/>
                <w:bCs/>
              </w:rPr>
              <w:t xml:space="preserve">Cycle time = mean( t_pack_ready − t_request )</w:t>
            </w:r>
          </w:p>
        </w:tc>
        <w:tc>
          <w:tcPr/>
          <w:p>
            <w:pPr>
              <w:pStyle w:val="Compact"/>
            </w:pPr>
            <w:r>
              <w:t xml:space="preserve">Compliance workflow telemetry, audit pack completeness and rework counts.</w:t>
            </w:r>
            <w:r>
              <w:t xml:space="preserve"> </w:t>
            </w:r>
            <w:hyperlink r:id="rId48">
              <w:r>
                <w:rPr>
                  <w:rStyle w:val="Hyperlink"/>
                </w:rPr>
                <w:t xml:space="preserve">[51]</w:t>
              </w:r>
            </w:hyperlink>
          </w:p>
        </w:tc>
        <w:tc>
          <w:tcPr/>
          <w:p>
            <w:pPr>
              <w:pStyle w:val="Compact"/>
            </w:pPr>
            <w:r>
              <w:t xml:space="preserve">Over-optimising speed can increase compliance risk unless provenance is strong.</w:t>
            </w:r>
          </w:p>
        </w:tc>
      </w:tr>
      <w:tr>
        <w:tc>
          <w:tcPr/>
          <w:p>
            <w:pPr>
              <w:pStyle w:val="Compact"/>
            </w:pPr>
            <w:r>
              <w:t xml:space="preserve">Permission integrity</w:t>
            </w:r>
          </w:p>
        </w:tc>
        <w:tc>
          <w:tcPr/>
          <w:p>
            <w:pPr>
              <w:pStyle w:val="Compact"/>
            </w:pPr>
            <w:r>
              <w:t xml:space="preserve">Prevent unauthorised knowledge exposure</w:t>
            </w:r>
          </w:p>
        </w:tc>
        <w:tc>
          <w:tcPr/>
          <w:p>
            <w:pPr>
              <w:pStyle w:val="Compact"/>
            </w:pPr>
            <w:r>
              <w:rPr>
                <w:b/>
                <w:bCs/>
              </w:rPr>
              <w:t xml:space="preserve">PI = 1 − (unauthorised exposures / attempted accesses)</w:t>
            </w:r>
          </w:p>
        </w:tc>
        <w:tc>
          <w:tcPr/>
          <w:p>
            <w:pPr>
              <w:pStyle w:val="Compact"/>
            </w:pPr>
            <w:r>
              <w:t xml:space="preserve">Access-control test suites; red-team prompts; sampling audits. Copilot-style architectures explicitly rely on existing permission models.</w:t>
            </w:r>
            <w:r>
              <w:t xml:space="preserve"> </w:t>
            </w:r>
            <w:hyperlink r:id="rId22">
              <w:r>
                <w:rPr>
                  <w:rStyle w:val="Hyperlink"/>
                </w:rPr>
                <w:t xml:space="preserve">[52]</w:t>
              </w:r>
            </w:hyperlink>
          </w:p>
        </w:tc>
        <w:tc>
          <w:tcPr/>
          <w:p>
            <w:pPr>
              <w:pStyle w:val="Compact"/>
            </w:pPr>
            <w:r>
              <w:t xml:space="preserve">Treating “search restriction” as a security boundary can create false assurance.</w:t>
            </w:r>
            <w:r>
              <w:t xml:space="preserve"> </w:t>
            </w:r>
            <w:hyperlink r:id="rId52">
              <w:r>
                <w:rPr>
                  <w:rStyle w:val="Hyperlink"/>
                </w:rPr>
                <w:t xml:space="preserve">[53]</w:t>
              </w:r>
            </w:hyperlink>
          </w:p>
        </w:tc>
      </w:tr>
      <w:tr>
        <w:tc>
          <w:tcPr/>
          <w:p>
            <w:pPr>
              <w:pStyle w:val="Compact"/>
            </w:pPr>
            <w:r>
              <w:t xml:space="preserve">Knowledge lifecycle health</w:t>
            </w:r>
          </w:p>
        </w:tc>
        <w:tc>
          <w:tcPr/>
          <w:p>
            <w:pPr>
              <w:pStyle w:val="Compact"/>
            </w:pPr>
            <w:r>
              <w:t xml:space="preserve">Freshness and stewardship</w:t>
            </w:r>
          </w:p>
        </w:tc>
        <w:tc>
          <w:tcPr/>
          <w:p>
            <w:pPr>
              <w:pStyle w:val="Compact"/>
            </w:pPr>
            <w:r>
              <w:rPr>
                <w:b/>
                <w:bCs/>
              </w:rPr>
              <w:t xml:space="preserve">Freshness SLA = assets within review window / total assets</w:t>
            </w:r>
          </w:p>
        </w:tc>
        <w:tc>
          <w:tcPr/>
          <w:p>
            <w:pPr>
              <w:pStyle w:val="Compact"/>
            </w:pPr>
            <w:r>
              <w:t xml:space="preserve">Review workflows: publish/retire governed by configured workflows.</w:t>
            </w:r>
            <w:r>
              <w:t xml:space="preserve"> </w:t>
            </w:r>
            <w:hyperlink r:id="rId31">
              <w:r>
                <w:rPr>
                  <w:rStyle w:val="Hyperlink"/>
                </w:rPr>
                <w:t xml:space="preserve">[29]</w:t>
              </w:r>
            </w:hyperlink>
          </w:p>
        </w:tc>
        <w:tc>
          <w:tcPr/>
          <w:p>
            <w:pPr>
              <w:pStyle w:val="Compact"/>
            </w:pPr>
            <w:r>
              <w:t xml:space="preserve">Without ownership and incentives, content stales regardless of tooling.</w:t>
            </w:r>
            <w:r>
              <w:t xml:space="preserve"> </w:t>
            </w:r>
            <w:hyperlink r:id="rId21">
              <w:r>
                <w:rPr>
                  <w:rStyle w:val="Hyperlink"/>
                </w:rPr>
                <w:t xml:space="preserve">[54]</w:t>
              </w:r>
            </w:hyperlink>
          </w:p>
        </w:tc>
      </w:tr>
    </w:tbl>
    <w:p>
      <w:pPr>
        <w:pStyle w:val="BodyText"/>
      </w:pPr>
      <w:r>
        <w:t xml:space="preserve">Where organisations want a composite indicator (such as the “knowledge health” signal proposed in the uploaded founding statement), the rigorous approach is to (a) define component metrics clearly, (b) separately validate their correlation with outcomes, and then (c) apply a governance-based weighting scheme rather than assigning arbitrary threshold values.</w:t>
      </w:r>
    </w:p>
    <w:bookmarkEnd w:id="53"/>
    <w:bookmarkEnd w:id="54"/>
    <w:bookmarkStart w:id="60" w:name="X60fafcd8a95b3757c001305376a8988a0c7b4fe"/>
    <w:p>
      <w:pPr>
        <w:pStyle w:val="Heading2"/>
      </w:pPr>
      <w:r>
        <w:t xml:space="preserve">Implementation approaches in enterprise settings</w:t>
      </w:r>
    </w:p>
    <w:p>
      <w:pPr>
        <w:pStyle w:val="FirstParagraph"/>
      </w:pPr>
      <w:r>
        <w:t xml:space="preserve">KI implementation should be treated as a</w:t>
      </w:r>
      <w:r>
        <w:t xml:space="preserve"> </w:t>
      </w:r>
      <w:r>
        <w:rPr>
          <w:b/>
          <w:bCs/>
        </w:rPr>
        <w:t xml:space="preserve">KM management system programme plus an engineering platform build</w:t>
      </w:r>
      <w:r>
        <w:t xml:space="preserve">, not as a standalone tool deployment. The KM system standard provides a management-system reference frame for building a sustainable capability across leadership, planning, support, operation, performance evaluation, and improvement.</w:t>
      </w:r>
      <w:r>
        <w:t xml:space="preserve"> </w:t>
      </w:r>
      <w:hyperlink r:id="rId21">
        <w:r>
          <w:rPr>
            <w:rStyle w:val="Hyperlink"/>
          </w:rPr>
          <w:t xml:space="preserve">[7]</w:t>
        </w:r>
      </w:hyperlink>
    </w:p>
    <w:p>
      <w:pPr>
        <w:pStyle w:val="BodyText"/>
      </w:pPr>
      <w:r>
        <w:t xml:space="preserve">A practical implementation model is “people, process, technology” with explicit attention to data readiness and systems integration.</w:t>
      </w:r>
    </w:p>
    <w:p>
      <w:pPr>
        <w:pStyle w:val="BodyText"/>
      </w:pPr>
      <w:r>
        <w:rPr>
          <w:b/>
          <w:bCs/>
        </w:rPr>
        <w:t xml:space="preserve">People and roles</w:t>
      </w:r>
      <w:r>
        <w:t xml:space="preserve">: mature KI typically requires an operating model spanning knowledge stewardship and technical roles, such as knowledge product owner, information architect (taxonomy/thesaurus steward), knowledge engineer/graph modeller, search relevance engineer (evaluation and tuning), data/ML engineer (pipelines and embeddings), security/privacy lead, and change/adoption lead. This role separation aligns with the governance emphasis of the AI RMF (clear responsibilities and oversight) and with the operational requirements of workflow-controlled knowledge lifecycles.</w:t>
      </w:r>
      <w:r>
        <w:t xml:space="preserve"> </w:t>
      </w:r>
      <w:hyperlink r:id="rId39">
        <w:r>
          <w:rPr>
            <w:rStyle w:val="Hyperlink"/>
          </w:rPr>
          <w:t xml:space="preserve">[55]</w:t>
        </w:r>
      </w:hyperlink>
    </w:p>
    <w:p>
      <w:pPr>
        <w:pStyle w:val="BodyText"/>
      </w:pPr>
      <w:r>
        <w:rPr>
          <w:b/>
          <w:bCs/>
        </w:rPr>
        <w:t xml:space="preserve">Process design</w:t>
      </w:r>
      <w:r>
        <w:t xml:space="preserve">: the process design goal is to embed knowledge capture and improvement “in the flow of work.” In service contexts, KCS v6 explicitly describes practices and roles designed to continuously improve knowledge as it is used; in workflow platforms, knowledge publishing and retirement processes are explicitly governed by defined workflows.</w:t>
      </w:r>
      <w:r>
        <w:t xml:space="preserve"> </w:t>
      </w:r>
      <w:hyperlink r:id="rId46">
        <w:r>
          <w:rPr>
            <w:rStyle w:val="Hyperlink"/>
          </w:rPr>
          <w:t xml:space="preserve">[56]</w:t>
        </w:r>
      </w:hyperlink>
    </w:p>
    <w:p>
      <w:pPr>
        <w:pStyle w:val="BodyText"/>
      </w:pPr>
      <w:r>
        <w:rPr>
          <w:b/>
          <w:bCs/>
        </w:rPr>
        <w:t xml:space="preserve">Technology and data requirements</w:t>
      </w:r>
      <w:r>
        <w:t xml:space="preserve">: KI depends on (a) connectors and ingestion, (b) permission and identity mapping, (c) metadata availability and quality (owner, classification, retention), (d) semantic modelling assets (taxonomy/ontology), and (e) retrieval infrastructure (lexical, vector, and sometimes graph). Copilot grounding documentation illustrates why permission hygiene and identity mapping are foundational: responses can include data from connectors when the user has permission to access it.</w:t>
      </w:r>
      <w:r>
        <w:t xml:space="preserve"> </w:t>
      </w:r>
      <w:hyperlink r:id="rId22">
        <w:r>
          <w:rPr>
            <w:rStyle w:val="Hyperlink"/>
          </w:rPr>
          <w:t xml:space="preserve">[57]</w:t>
        </w:r>
      </w:hyperlink>
    </w:p>
    <w:p>
      <w:pPr>
        <w:pStyle w:val="BodyText"/>
      </w:pPr>
      <w:r>
        <w:rPr>
          <w:b/>
          <w:bCs/>
        </w:rPr>
        <w:t xml:space="preserve">Integration with existing systems</w:t>
      </w:r>
      <w:r>
        <w:t xml:space="preserve">: integration strategy should prioritise “where work happens” (service console, ITSM/CSM, CRM, HR case tools, collaboration) rather than building a separate destination portal. Workflow-embedded knowledge generation features (e.g., generating a knowledge article from a resolved case/incident) illustrate this approach.</w:t>
      </w:r>
      <w:r>
        <w:t xml:space="preserve"> </w:t>
      </w:r>
      <w:hyperlink r:id="rId47">
        <w:r>
          <w:rPr>
            <w:rStyle w:val="Hyperlink"/>
          </w:rPr>
          <w:t xml:space="preserve">[58]</w:t>
        </w:r>
      </w:hyperlink>
    </w:p>
    <w:p>
      <w:pPr>
        <w:pStyle w:val="BodyText"/>
      </w:pPr>
      <w:r>
        <w:rPr>
          <w:b/>
          <w:bCs/>
        </w:rPr>
        <w:t xml:space="preserve">Change management</w:t>
      </w:r>
      <w:r>
        <w:t xml:space="preserve">: KI programmes must address incentives and behaviour (contribution, reuse, review discipline), not only tooling. A stable approach is to define measurable workflow improvements, socialize new practices, and set clear governance (ownership, review SLAs, retirement rules) that are supported by workflow automation.</w:t>
      </w:r>
      <w:r>
        <w:t xml:space="preserve"> </w:t>
      </w:r>
      <w:hyperlink r:id="rId46">
        <w:r>
          <w:rPr>
            <w:rStyle w:val="Hyperlink"/>
          </w:rPr>
          <w:t xml:space="preserve">[59]</w:t>
        </w:r>
      </w:hyperlink>
    </w:p>
    <w:bookmarkStart w:id="59" w:name="X9ac4e8b6a31eb0f8da3f87dbf616d14d21963d3"/>
    <w:p>
      <w:pPr>
        <w:pStyle w:val="Heading3"/>
      </w:pPr>
      <w:r>
        <w:t xml:space="preserve">Maturity models and ROI estimation methods</w:t>
      </w:r>
    </w:p>
    <w:p>
      <w:pPr>
        <w:pStyle w:val="FirstParagraph"/>
      </w:pPr>
      <w:r>
        <w:t xml:space="preserve">For maturity, a practical method is to adapt KM maturity models into KI capability milestones. APQC</w:t>
      </w:r>
      <w:hyperlink r:id="rId34">
        <w:r>
          <w:rPr>
            <w:rStyle w:val="Hyperlink"/>
          </w:rPr>
          <w:t xml:space="preserve">[60]</w:t>
        </w:r>
      </w:hyperlink>
      <w:r>
        <w:t xml:space="preserve"> </w:t>
      </w:r>
      <w:r>
        <w:t xml:space="preserve">publishes a KM maturity model intended as a roadmap from inconsistent KM activities to mature, disciplined approaches aligned to business imperatives. This is a reasonable base for designing KI maturity gates (e.g., from ad hoc findability to measured hybrid retrieval to governed semantic layer to AI-grounded workflow activation).</w:t>
      </w:r>
      <w:r>
        <w:t xml:space="preserve"> </w:t>
      </w:r>
      <w:hyperlink r:id="rId55">
        <w:r>
          <w:rPr>
            <w:rStyle w:val="Hyperlink"/>
          </w:rPr>
          <w:t xml:space="preserve">[61]</w:t>
        </w:r>
      </w:hyperlink>
    </w:p>
    <w:p>
      <w:pPr>
        <w:pStyle w:val="BodyText"/>
      </w:pPr>
      <w:r>
        <w:t xml:space="preserve">For ROI estimation, two complementary methods are recommended:</w:t>
      </w:r>
    </w:p>
    <w:p>
      <w:pPr>
        <w:pStyle w:val="Compact"/>
        <w:numPr>
          <w:ilvl w:val="0"/>
          <w:numId w:val="1002"/>
        </w:numPr>
      </w:pPr>
      <w:r>
        <w:rPr>
          <w:b/>
          <w:bCs/>
        </w:rPr>
        <w:t xml:space="preserve">Total Economic Impact (TEI)</w:t>
      </w:r>
      <w:r>
        <w:t xml:space="preserve">: Forrester</w:t>
      </w:r>
      <w:hyperlink r:id="rId56">
        <w:r>
          <w:rPr>
            <w:rStyle w:val="Hyperlink"/>
          </w:rPr>
          <w:t xml:space="preserve">[62]</w:t>
        </w:r>
      </w:hyperlink>
      <w:r>
        <w:t xml:space="preserve"> </w:t>
      </w:r>
      <w:r>
        <w:t xml:space="preserve">describes TEI as a framework using four components—cost, benefits, flexibility, risk—to evaluate investment value and illustrate ROI. For KI, TEI supports modelling multiple benefit streams (productivity, service efficiency, risk reduction) while adjusting for uncertainty.</w:t>
      </w:r>
      <w:r>
        <w:t xml:space="preserve"> </w:t>
      </w:r>
      <w:hyperlink r:id="rId57">
        <w:r>
          <w:rPr>
            <w:rStyle w:val="Hyperlink"/>
          </w:rPr>
          <w:t xml:space="preserve">[63]</w:t>
        </w:r>
      </w:hyperlink>
    </w:p>
    <w:p>
      <w:pPr>
        <w:pStyle w:val="Compact"/>
        <w:numPr>
          <w:ilvl w:val="0"/>
          <w:numId w:val="1002"/>
        </w:numPr>
      </w:pPr>
      <w:r>
        <w:rPr>
          <w:b/>
          <w:bCs/>
        </w:rPr>
        <w:t xml:space="preserve">Time-driven activity-based costing (TDABC)</w:t>
      </w:r>
      <w:r>
        <w:t xml:space="preserve">: TDABC provides an approach to estimating costs based on time equations and practical capacity, intended as a simpler, faster alternative to traditional ABC implementations. For KI, TDABC can monetise “knowledge friction” (search time, rework, escalations) as baseline cost, then translate measured improvements into savings.</w:t>
      </w:r>
      <w:r>
        <w:t xml:space="preserve"> </w:t>
      </w:r>
      <w:hyperlink r:id="rId58">
        <w:r>
          <w:rPr>
            <w:rStyle w:val="Hyperlink"/>
          </w:rPr>
          <w:t xml:space="preserve">[64]</w:t>
        </w:r>
      </w:hyperlink>
    </w:p>
    <w:p>
      <w:pPr>
        <w:pStyle w:val="FirstParagraph"/>
      </w:pPr>
      <w:r>
        <w:t xml:space="preserve">A rigorous ROI model should explicitly separate (a) cashable savings (e.g., fewer contacts, reduced contractors), (b) capacity release (time savings that requires reallocation to become financial benefit), and (c) risk reduction (expected loss reduction), and should apply sensitivity ranges rather than single-point estimates.</w:t>
      </w:r>
      <w:r>
        <w:t xml:space="preserve"> </w:t>
      </w:r>
      <w:hyperlink r:id="rId57">
        <w:r>
          <w:rPr>
            <w:rStyle w:val="Hyperlink"/>
          </w:rPr>
          <w:t xml:space="preserve">[65]</w:t>
        </w:r>
      </w:hyperlink>
    </w:p>
    <w:bookmarkEnd w:id="59"/>
    <w:bookmarkEnd w:id="60"/>
    <w:bookmarkStart w:id="63" w:name="Xed06dca753b071c96c032e7ccbae80fe5d59f81"/>
    <w:p>
      <w:pPr>
        <w:pStyle w:val="Heading2"/>
      </w:pPr>
      <w:r>
        <w:t xml:space="preserve">Risks, limitations, ethical and governance considerations</w:t>
      </w:r>
    </w:p>
    <w:p>
      <w:pPr>
        <w:pStyle w:val="FirstParagraph"/>
      </w:pPr>
      <w:r>
        <w:t xml:space="preserve">KI inherits classic KM risks (stale content, unclear ownership) and adds AI-era risks. The governance challenge is amplified by EU regulatory requirements and the socio-technical nature of AI risk.</w:t>
      </w:r>
    </w:p>
    <w:p>
      <w:pPr>
        <w:pStyle w:val="BodyText"/>
      </w:pPr>
      <w:r>
        <w:rPr>
          <w:b/>
          <w:bCs/>
        </w:rPr>
        <w:t xml:space="preserve">Limits of “capturing knowledge”</w:t>
      </w:r>
      <w:r>
        <w:t xml:space="preserve">: tacit knowledge cannot be fully articulated; KI programmes must treat tacit knowledge capture as partial and governed by practical methods (structured elicitation, communities, network analysis proxies) rather than promising full extraction.</w:t>
      </w:r>
      <w:r>
        <w:t xml:space="preserve"> </w:t>
      </w:r>
      <w:hyperlink r:id="rId32">
        <w:r>
          <w:rPr>
            <w:rStyle w:val="Hyperlink"/>
          </w:rPr>
          <w:t xml:space="preserve">[66]</w:t>
        </w:r>
      </w:hyperlink>
    </w:p>
    <w:p>
      <w:pPr>
        <w:pStyle w:val="BodyText"/>
      </w:pPr>
      <w:r>
        <w:rPr>
          <w:b/>
          <w:bCs/>
        </w:rPr>
        <w:t xml:space="preserve">Hallucination and overconfidence</w:t>
      </w:r>
      <w:r>
        <w:t xml:space="preserve">: RAG was motivated partly by the limits of purely parametric knowledge and the need for provenance; however, RAG does not eliminate hallucination risk by default, particularly if retrieval is poor or sources are low quality. KI governance must therefore include evaluation, abstention, and human review thresholds aligned to risk.</w:t>
      </w:r>
      <w:r>
        <w:t xml:space="preserve"> </w:t>
      </w:r>
      <w:hyperlink r:id="rId43">
        <w:r>
          <w:rPr>
            <w:rStyle w:val="Hyperlink"/>
          </w:rPr>
          <w:t xml:space="preserve">[67]</w:t>
        </w:r>
      </w:hyperlink>
    </w:p>
    <w:p>
      <w:pPr>
        <w:pStyle w:val="BodyText"/>
      </w:pPr>
      <w:r>
        <w:rPr>
          <w:b/>
          <w:bCs/>
        </w:rPr>
        <w:t xml:space="preserve">Security and permission leakage</w:t>
      </w:r>
      <w:r>
        <w:t xml:space="preserve">: permission-aware retrieval is essential. Platform documentation for Copilot-style grounding highlights that connector data can be returned only if the user has permission; this principle should be applied consistently across KI retrieval and AI answering layers to avoid inadvertent exposure.</w:t>
      </w:r>
      <w:r>
        <w:t xml:space="preserve"> </w:t>
      </w:r>
      <w:hyperlink r:id="rId22">
        <w:r>
          <w:rPr>
            <w:rStyle w:val="Hyperlink"/>
          </w:rPr>
          <w:t xml:space="preserve">[52]</w:t>
        </w:r>
      </w:hyperlink>
    </w:p>
    <w:p>
      <w:pPr>
        <w:pStyle w:val="BodyText"/>
      </w:pPr>
      <w:r>
        <w:rPr>
          <w:b/>
          <w:bCs/>
        </w:rPr>
        <w:t xml:space="preserve">GDPR obligations</w:t>
      </w:r>
      <w:r>
        <w:t xml:space="preserve">: KI systems often process personal data (employee, customer, ticket content). GDPR requires lawful basis, minimisation, and appropriate controls; additionally, DPIAs may be required when processing is likely to result in high risk, including where new technologies are involved. Irish DPC guidance explicitly notes that new technology use can trigger DPIA requirements, linking to Article 35.</w:t>
      </w:r>
      <w:r>
        <w:t xml:space="preserve"> </w:t>
      </w:r>
      <w:hyperlink r:id="rId28">
        <w:r>
          <w:rPr>
            <w:rStyle w:val="Hyperlink"/>
          </w:rPr>
          <w:t xml:space="preserve">[68]</w:t>
        </w:r>
      </w:hyperlink>
    </w:p>
    <w:p>
      <w:pPr>
        <w:pStyle w:val="BodyText"/>
      </w:pPr>
      <w:r>
        <w:rPr>
          <w:b/>
          <w:bCs/>
        </w:rPr>
        <w:t xml:space="preserve">EU AI Act obligations</w:t>
      </w:r>
      <w:r>
        <w:t xml:space="preserve">: the AI Act establishes a risk-based framework with prohibitions and obligations, including transparency requirements (e.g., users informed when interacting with chatbots) and obligations for general-purpose AI providers; the Commission’s policy pages and the Official Journal text provide primary references. KI programmes embedding AI assistants into workflows should map use cases to these categories and implement governance controls (disclosure, logging, oversight) accordingly.</w:t>
      </w:r>
      <w:r>
        <w:t xml:space="preserve"> </w:t>
      </w:r>
      <w:hyperlink r:id="rId61">
        <w:r>
          <w:rPr>
            <w:rStyle w:val="Hyperlink"/>
          </w:rPr>
          <w:t xml:space="preserve">[69]</w:t>
        </w:r>
      </w:hyperlink>
      <w:r>
        <w:br/>
      </w:r>
      <w:r>
        <w:t xml:space="preserve">Because AI governance is unfolding through phased application and guidance, KI programmes should explicitly track regulatory updates and implementation timelines as part of governance (this detail is jurisdiction-dependent and changes over time).</w:t>
      </w:r>
      <w:r>
        <w:t xml:space="preserve"> </w:t>
      </w:r>
      <w:hyperlink r:id="rId62">
        <w:r>
          <w:rPr>
            <w:rStyle w:val="Hyperlink"/>
          </w:rPr>
          <w:t xml:space="preserve">[70]</w:t>
        </w:r>
      </w:hyperlink>
    </w:p>
    <w:p>
      <w:pPr>
        <w:pStyle w:val="BodyText"/>
      </w:pPr>
      <w:r>
        <w:rPr>
          <w:b/>
          <w:bCs/>
        </w:rPr>
        <w:t xml:space="preserve">NIST AI RMF alignment</w:t>
      </w:r>
      <w:r>
        <w:t xml:space="preserve">: the AI RMF provides a structure for managing AI risks across the lifecycle (Govern, Map, Measure, Manage), and the generative AI profile provides cross-sectoral guidance on risks novel to or exacerbated by generative AI use. KI governance can use this structure to ensure that retrieval quality, provenance, model monitoring, and human oversight are systematically managed.</w:t>
      </w:r>
      <w:r>
        <w:t xml:space="preserve"> </w:t>
      </w:r>
      <w:hyperlink r:id="rId39">
        <w:r>
          <w:rPr>
            <w:rStyle w:val="Hyperlink"/>
          </w:rPr>
          <w:t xml:space="preserve">[71]</w:t>
        </w:r>
      </w:hyperlink>
    </w:p>
    <w:bookmarkEnd w:id="63"/>
    <w:bookmarkStart w:id="90" w:name="Xd964bdb1f1c2d6334078a50969c790e370f395e"/>
    <w:p>
      <w:pPr>
        <w:pStyle w:val="Heading2"/>
      </w:pPr>
      <w:r>
        <w:t xml:space="preserve">Vendor landscape, open-source options, and a phased adoption roadmap</w:t>
      </w:r>
    </w:p>
    <w:bookmarkStart w:id="83" w:name="vendor-feature-comparison"/>
    <w:p>
      <w:pPr>
        <w:pStyle w:val="Heading3"/>
      </w:pPr>
      <w:r>
        <w:t xml:space="preserve">Vendor feature comparison</w:t>
      </w:r>
    </w:p>
    <w:p>
      <w:pPr>
        <w:pStyle w:val="FirstParagraph"/>
      </w:pPr>
      <w:r>
        <w:t xml:space="preserve">The table below compares eight vendors frequently used as KI building blocks. It reflects only what is publicly described in their documentation and product pages; the exact depth of semantic layer support and governance features is implementation-dependent and should be verified in procurement discovery.</w:t>
      </w:r>
      <w:r>
        <w:t xml:space="preserve"> </w:t>
      </w:r>
      <w:hyperlink r:id="rId64">
        <w:r>
          <w:rPr>
            <w:rStyle w:val="Hyperlink"/>
          </w:rPr>
          <w:t xml:space="preserve">[72]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Vendor</w:t>
            </w:r>
          </w:p>
        </w:tc>
        <w:tc>
          <w:tcPr/>
          <w:p>
            <w:pPr>
              <w:pStyle w:val="Compact"/>
            </w:pPr>
            <w:r>
              <w:t xml:space="preserve">Connectors / ingestion</w:t>
            </w:r>
          </w:p>
        </w:tc>
        <w:tc>
          <w:tcPr/>
          <w:p>
            <w:pPr>
              <w:pStyle w:val="Compact"/>
            </w:pPr>
            <w:r>
              <w:t xml:space="preserve">Semantic layer (taxonomy/ontology)</w:t>
            </w:r>
          </w:p>
        </w:tc>
        <w:tc>
          <w:tcPr/>
          <w:p>
            <w:pPr>
              <w:pStyle w:val="Compact"/>
            </w:pPr>
            <w:r>
              <w:t xml:space="preserve">Vector search / RAG</w:t>
            </w:r>
          </w:p>
        </w:tc>
        <w:tc>
          <w:tcPr/>
          <w:p>
            <w:pPr>
              <w:pStyle w:val="Compact"/>
            </w:pPr>
            <w:r>
              <w:t xml:space="preserve">Knowledge graph</w:t>
            </w:r>
          </w:p>
        </w:tc>
        <w:tc>
          <w:tcPr/>
          <w:p>
            <w:pPr>
              <w:pStyle w:val="Compact"/>
            </w:pPr>
            <w:r>
              <w:t xml:space="preserve">Deployment</w:t>
            </w:r>
          </w:p>
        </w:tc>
        <w:tc>
          <w:tcPr/>
          <w:p>
            <w:pPr>
              <w:pStyle w:val="Compact"/>
            </w:pPr>
            <w:r>
              <w:t xml:space="preserve">Governance &amp; permissions</w:t>
            </w:r>
          </w:p>
        </w:tc>
        <w:tc>
          <w:tcPr/>
          <w:p>
            <w:pPr>
              <w:pStyle w:val="Compact"/>
            </w:pPr>
            <w:r>
              <w:t xml:space="preserve">Evidence basis</w:t>
            </w:r>
          </w:p>
        </w:tc>
      </w:tr>
      <w:tr>
        <w:tc>
          <w:tcPr/>
          <w:p>
            <w:pPr>
              <w:pStyle w:val="Compact"/>
            </w:pPr>
            <w:r>
              <w:t xml:space="preserve">Microsoft</w:t>
            </w:r>
            <w:hyperlink r:id="rId65">
              <w:r>
                <w:rPr>
                  <w:rStyle w:val="Hyperlink"/>
                </w:rPr>
                <w:t xml:space="preserve">[73]</w:t>
              </w:r>
            </w:hyperlink>
          </w:p>
        </w:tc>
        <w:tc>
          <w:tcPr/>
          <w:p>
            <w:pPr>
              <w:pStyle w:val="Compact"/>
            </w:pPr>
            <w:r>
              <w:t xml:space="preserve">Graph connectors can contribute data to grounded answers when user has permission.</w:t>
            </w:r>
            <w:r>
              <w:t xml:space="preserve"> </w:t>
            </w:r>
            <w:hyperlink r:id="rId22">
              <w:r>
                <w:rPr>
                  <w:rStyle w:val="Hyperlink"/>
                </w:rPr>
                <w:t xml:space="preserve">[74]</w:t>
              </w:r>
            </w:hyperlink>
          </w:p>
        </w:tc>
        <w:tc>
          <w:tcPr/>
          <w:p>
            <w:pPr>
              <w:pStyle w:val="Compact"/>
            </w:pPr>
            <w:r>
              <w:t xml:space="preserve">Not a standalone ontology suite (typically via partners/graph modelling externally); governance relies heavily on M365 information governance controls.</w:t>
            </w:r>
            <w:r>
              <w:t xml:space="preserve"> </w:t>
            </w:r>
            <w:hyperlink r:id="rId30">
              <w:r>
                <w:rPr>
                  <w:rStyle w:val="Hyperlink"/>
                </w:rPr>
                <w:t xml:space="preserve">[75]</w:t>
              </w:r>
            </w:hyperlink>
          </w:p>
        </w:tc>
        <w:tc>
          <w:tcPr/>
          <w:p>
            <w:pPr>
              <w:pStyle w:val="Compact"/>
            </w:pPr>
            <w:r>
              <w:t xml:space="preserve">Copilot grounding described; permission-aware retrieval via Graph.</w:t>
            </w:r>
            <w:r>
              <w:t xml:space="preserve"> </w:t>
            </w:r>
            <w:hyperlink r:id="rId30">
              <w:r>
                <w:rPr>
                  <w:rStyle w:val="Hyperlink"/>
                </w:rPr>
                <w:t xml:space="preserve">[76]</w:t>
              </w:r>
            </w:hyperlink>
          </w:p>
        </w:tc>
        <w:tc>
          <w:tcPr/>
          <w:p>
            <w:pPr>
              <w:pStyle w:val="Compact"/>
            </w:pPr>
            <w:r>
              <w:t xml:space="preserve">“Graph” here is primarily data plane, not necessarily a knowledge graph in RDF/OWL sense.</w:t>
            </w:r>
            <w:r>
              <w:t xml:space="preserve"> </w:t>
            </w:r>
            <w:hyperlink r:id="rId30">
              <w:r>
                <w:rPr>
                  <w:rStyle w:val="Hyperlink"/>
                </w:rPr>
                <w:t xml:space="preserve">[77]</w:t>
              </w:r>
            </w:hyperlink>
          </w:p>
        </w:tc>
        <w:tc>
          <w:tcPr/>
          <w:p>
            <w:pPr>
              <w:pStyle w:val="Compact"/>
            </w:pPr>
            <w:r>
              <w:t xml:space="preserve">Cloud service model; governance controls include options like restricted SharePoint search and Purview references.</w:t>
            </w:r>
            <w:r>
              <w:t xml:space="preserve"> </w:t>
            </w:r>
            <w:hyperlink r:id="rId30">
              <w:r>
                <w:rPr>
                  <w:rStyle w:val="Hyperlink"/>
                </w:rPr>
                <w:t xml:space="preserve">[78]</w:t>
              </w:r>
            </w:hyperlink>
          </w:p>
        </w:tc>
        <w:tc>
          <w:tcPr/>
          <w:p>
            <w:pPr>
              <w:pStyle w:val="Compact"/>
            </w:pPr>
            <w:r>
              <w:t xml:space="preserve">Explicit emphasis on permissions and access boundaries; restricted search is not a security boundary.</w:t>
            </w:r>
            <w:r>
              <w:t xml:space="preserve"> </w:t>
            </w:r>
            <w:hyperlink r:id="rId30">
              <w:r>
                <w:rPr>
                  <w:rStyle w:val="Hyperlink"/>
                </w:rPr>
                <w:t xml:space="preserve">[79]</w:t>
              </w:r>
            </w:hyperlink>
          </w:p>
        </w:tc>
        <w:tc>
          <w:tcPr/>
          <w:p>
            <w:pPr>
              <w:pStyle w:val="Compact"/>
            </w:pPr>
            <w:hyperlink r:id="rId30">
              <w:r>
                <w:rPr>
                  <w:rStyle w:val="Hyperlink"/>
                </w:rPr>
                <w:t xml:space="preserve">[80]</w:t>
              </w:r>
            </w:hyperlink>
          </w:p>
        </w:tc>
      </w:tr>
      <w:tr>
        <w:tc>
          <w:tcPr/>
          <w:p>
            <w:pPr>
              <w:pStyle w:val="Compact"/>
            </w:pPr>
            <w:r>
              <w:t xml:space="preserve">Amazon Web Services</w:t>
            </w:r>
            <w:hyperlink r:id="rId66">
              <w:r>
                <w:rPr>
                  <w:rStyle w:val="Hyperlink"/>
                </w:rPr>
                <w:t xml:space="preserve">[81]</w:t>
              </w:r>
            </w:hyperlink>
          </w:p>
        </w:tc>
        <w:tc>
          <w:tcPr/>
          <w:p>
            <w:pPr>
              <w:pStyle w:val="Compact"/>
            </w:pPr>
            <w:r>
              <w:t xml:space="preserve">Amazon Q Business provides a published list of connectors and web crawling options.</w:t>
            </w:r>
            <w:r>
              <w:t xml:space="preserve"> </w:t>
            </w:r>
            <w:hyperlink r:id="rId67">
              <w:r>
                <w:rPr>
                  <w:rStyle w:val="Hyperlink"/>
                </w:rPr>
                <w:t xml:space="preserve">[82]</w:t>
              </w:r>
            </w:hyperlink>
          </w:p>
        </w:tc>
        <w:tc>
          <w:tcPr/>
          <w:p>
            <w:pPr>
              <w:pStyle w:val="Compact"/>
            </w:pPr>
            <w:r>
              <w:t xml:space="preserve">Not positioned as taxonomy/ontology tooling; semantic structures are typically external.</w:t>
            </w:r>
          </w:p>
        </w:tc>
        <w:tc>
          <w:tcPr/>
          <w:p>
            <w:pPr>
              <w:pStyle w:val="Compact"/>
            </w:pPr>
            <w:r>
              <w:t xml:space="preserve">Q Business requires an index and retriever; connector documentation frames ingestion and retrieval components.</w:t>
            </w:r>
            <w:r>
              <w:t xml:space="preserve"> </w:t>
            </w:r>
            <w:hyperlink r:id="rId68">
              <w:r>
                <w:rPr>
                  <w:rStyle w:val="Hyperlink"/>
                </w:rPr>
                <w:t xml:space="preserve">[83]</w:t>
              </w:r>
            </w:hyperlink>
          </w:p>
        </w:tc>
        <w:tc>
          <w:tcPr/>
          <w:p>
            <w:pPr>
              <w:pStyle w:val="Compact"/>
            </w:pPr>
            <w:r>
              <w:t xml:space="preserve">No explicit KG layer described in connector docs; can be built separately.</w:t>
            </w:r>
          </w:p>
        </w:tc>
        <w:tc>
          <w:tcPr/>
          <w:p>
            <w:pPr>
              <w:pStyle w:val="Compact"/>
            </w:pPr>
            <w:r>
              <w:t xml:space="preserve">Managed cloud service (AWS).</w:t>
            </w:r>
            <w:r>
              <w:t xml:space="preserve"> </w:t>
            </w:r>
            <w:hyperlink r:id="rId69">
              <w:r>
                <w:rPr>
                  <w:rStyle w:val="Hyperlink"/>
                </w:rPr>
                <w:t xml:space="preserve">[84]</w:t>
              </w:r>
            </w:hyperlink>
          </w:p>
        </w:tc>
        <w:tc>
          <w:tcPr/>
          <w:p>
            <w:pPr>
              <w:pStyle w:val="Compact"/>
            </w:pPr>
            <w:r>
              <w:t xml:space="preserve">Uses AWS identity and access patterns (e.g., IAM Identity Center referenced in architecture guidance).</w:t>
            </w:r>
            <w:r>
              <w:t xml:space="preserve"> </w:t>
            </w:r>
            <w:hyperlink r:id="rId70">
              <w:r>
                <w:rPr>
                  <w:rStyle w:val="Hyperlink"/>
                </w:rPr>
                <w:t xml:space="preserve">[85]</w:t>
              </w:r>
            </w:hyperlink>
          </w:p>
        </w:tc>
        <w:tc>
          <w:tcPr/>
          <w:p>
            <w:pPr>
              <w:pStyle w:val="Compact"/>
            </w:pPr>
            <w:hyperlink r:id="rId67">
              <w:r>
                <w:rPr>
                  <w:rStyle w:val="Hyperlink"/>
                </w:rPr>
                <w:t xml:space="preserve">[86]</w:t>
              </w:r>
            </w:hyperlink>
          </w:p>
        </w:tc>
      </w:tr>
      <w:tr>
        <w:tc>
          <w:tcPr/>
          <w:p>
            <w:pPr>
              <w:pStyle w:val="Compact"/>
            </w:pPr>
            <w:r>
              <w:t xml:space="preserve">ServiceNow</w:t>
            </w:r>
            <w:hyperlink r:id="rId47">
              <w:r>
                <w:rPr>
                  <w:rStyle w:val="Hyperlink"/>
                </w:rPr>
                <w:t xml:space="preserve">[87]</w:t>
              </w:r>
            </w:hyperlink>
          </w:p>
        </w:tc>
        <w:tc>
          <w:tcPr/>
          <w:p>
            <w:pPr>
              <w:pStyle w:val="Compact"/>
            </w:pPr>
            <w:r>
              <w:t xml:space="preserve">Primary ingestion is native workflow knowledge (cases/incidents); external ingestion varies by implementation.</w:t>
            </w:r>
            <w:r>
              <w:t xml:space="preserve"> </w:t>
            </w:r>
            <w:hyperlink r:id="rId47">
              <w:r>
                <w:rPr>
                  <w:rStyle w:val="Hyperlink"/>
                </w:rPr>
                <w:t xml:space="preserve">[88]</w:t>
              </w:r>
            </w:hyperlink>
          </w:p>
        </w:tc>
        <w:tc>
          <w:tcPr/>
          <w:p>
            <w:pPr>
              <w:pStyle w:val="Compact"/>
            </w:pPr>
            <w:r>
              <w:t xml:space="preserve">Knowledge base structures and workflows; not primarily an ontology platform.</w:t>
            </w:r>
            <w:r>
              <w:t xml:space="preserve"> </w:t>
            </w:r>
            <w:hyperlink r:id="rId31">
              <w:r>
                <w:rPr>
                  <w:rStyle w:val="Hyperlink"/>
                </w:rPr>
                <w:t xml:space="preserve">[89]</w:t>
              </w:r>
            </w:hyperlink>
          </w:p>
        </w:tc>
        <w:tc>
          <w:tcPr/>
          <w:p>
            <w:pPr>
              <w:pStyle w:val="Compact"/>
            </w:pPr>
            <w:r>
              <w:t xml:space="preserve">Now Assist can generate knowledge articles from cases/incidents.</w:t>
            </w:r>
            <w:r>
              <w:t xml:space="preserve"> </w:t>
            </w:r>
            <w:hyperlink r:id="rId47">
              <w:r>
                <w:rPr>
                  <w:rStyle w:val="Hyperlink"/>
                </w:rPr>
                <w:t xml:space="preserve">[88]</w:t>
              </w:r>
            </w:hyperlink>
          </w:p>
        </w:tc>
        <w:tc>
          <w:tcPr/>
          <w:p>
            <w:pPr>
              <w:pStyle w:val="Compact"/>
            </w:pPr>
            <w:r>
              <w:t xml:space="preserve">No explicit KG engine in core KM docs.</w:t>
            </w:r>
          </w:p>
        </w:tc>
        <w:tc>
          <w:tcPr/>
          <w:p>
            <w:pPr>
              <w:pStyle w:val="Compact"/>
            </w:pPr>
            <w:r>
              <w:t xml:space="preserve">SaaS platform.</w:t>
            </w:r>
          </w:p>
        </w:tc>
        <w:tc>
          <w:tcPr/>
          <w:p>
            <w:pPr>
              <w:pStyle w:val="Compact"/>
            </w:pPr>
            <w:r>
              <w:t xml:space="preserve">Publishing and retirement controlled by workflows; explicit lifecycle governance patterns.</w:t>
            </w:r>
            <w:r>
              <w:t xml:space="preserve"> </w:t>
            </w:r>
            <w:hyperlink r:id="rId31">
              <w:r>
                <w:rPr>
                  <w:rStyle w:val="Hyperlink"/>
                </w:rPr>
                <w:t xml:space="preserve">[29]</w:t>
              </w:r>
            </w:hyperlink>
          </w:p>
        </w:tc>
        <w:tc>
          <w:tcPr/>
          <w:p>
            <w:pPr>
              <w:pStyle w:val="Compact"/>
            </w:pPr>
            <w:hyperlink r:id="rId47">
              <w:r>
                <w:rPr>
                  <w:rStyle w:val="Hyperlink"/>
                </w:rPr>
                <w:t xml:space="preserve">[90]</w:t>
              </w:r>
            </w:hyperlink>
          </w:p>
        </w:tc>
      </w:tr>
      <w:tr>
        <w:tc>
          <w:tcPr/>
          <w:p>
            <w:pPr>
              <w:pStyle w:val="Compact"/>
            </w:pPr>
            <w:r>
              <w:t xml:space="preserve">Salesforce</w:t>
            </w:r>
            <w:hyperlink r:id="rId34">
              <w:r>
                <w:rPr>
                  <w:rStyle w:val="Hyperlink"/>
                </w:rPr>
                <w:t xml:space="preserve">[91]</w:t>
              </w:r>
            </w:hyperlink>
          </w:p>
        </w:tc>
        <w:tc>
          <w:tcPr/>
          <w:p>
            <w:pPr>
              <w:pStyle w:val="Compact"/>
            </w:pPr>
            <w:r>
              <w:t xml:space="preserve">Primarily CRM-native knowledge; external integrations exist but are not enumerated here.</w:t>
            </w:r>
          </w:p>
        </w:tc>
        <w:tc>
          <w:tcPr/>
          <w:p>
            <w:pPr>
              <w:pStyle w:val="Compact"/>
            </w:pPr>
            <w:r>
              <w:t xml:space="preserve">Data categories and permissions control article visibility; structured knowledge base.</w:t>
            </w:r>
            <w:r>
              <w:t xml:space="preserve"> </w:t>
            </w:r>
            <w:hyperlink r:id="rId71">
              <w:r>
                <w:rPr>
                  <w:rStyle w:val="Hyperlink"/>
                </w:rPr>
                <w:t xml:space="preserve">[92]</w:t>
              </w:r>
            </w:hyperlink>
          </w:p>
        </w:tc>
        <w:tc>
          <w:tcPr/>
          <w:p>
            <w:pPr>
              <w:pStyle w:val="Compact"/>
            </w:pPr>
            <w:r>
              <w:t xml:space="preserve">Generative Knowledge Answers searches knowledge base then generates answers.</w:t>
            </w:r>
            <w:r>
              <w:t xml:space="preserve"> </w:t>
            </w:r>
            <w:hyperlink r:id="rId72">
              <w:r>
                <w:rPr>
                  <w:rStyle w:val="Hyperlink"/>
                </w:rPr>
                <w:t xml:space="preserve">[93]</w:t>
              </w:r>
            </w:hyperlink>
          </w:p>
        </w:tc>
        <w:tc>
          <w:tcPr/>
          <w:p>
            <w:pPr>
              <w:pStyle w:val="Compact"/>
            </w:pPr>
            <w:r>
              <w:t xml:space="preserve">No explicit KG engine in cited docs.</w:t>
            </w:r>
          </w:p>
        </w:tc>
        <w:tc>
          <w:tcPr/>
          <w:p>
            <w:pPr>
              <w:pStyle w:val="Compact"/>
            </w:pPr>
            <w:r>
              <w:t xml:space="preserve">SaaS platform.</w:t>
            </w:r>
          </w:p>
        </w:tc>
        <w:tc>
          <w:tcPr/>
          <w:p>
            <w:pPr>
              <w:pStyle w:val="Compact"/>
            </w:pPr>
            <w:r>
              <w:t xml:space="preserve">Knowledge access controlled by permissions and user access settings.</w:t>
            </w:r>
            <w:r>
              <w:t xml:space="preserve"> </w:t>
            </w:r>
            <w:hyperlink r:id="rId71">
              <w:r>
                <w:rPr>
                  <w:rStyle w:val="Hyperlink"/>
                </w:rPr>
                <w:t xml:space="preserve">[94]</w:t>
              </w:r>
            </w:hyperlink>
          </w:p>
        </w:tc>
        <w:tc>
          <w:tcPr/>
          <w:p>
            <w:pPr>
              <w:pStyle w:val="Compact"/>
            </w:pPr>
            <w:hyperlink r:id="rId72">
              <w:r>
                <w:rPr>
                  <w:rStyle w:val="Hyperlink"/>
                </w:rPr>
                <w:t xml:space="preserve">[95]</w:t>
              </w:r>
            </w:hyperlink>
          </w:p>
        </w:tc>
      </w:tr>
      <w:tr>
        <w:tc>
          <w:tcPr/>
          <w:p>
            <w:pPr>
              <w:pStyle w:val="Compact"/>
            </w:pPr>
            <w:r>
              <w:t xml:space="preserve">Elastic</w:t>
            </w:r>
            <w:hyperlink r:id="rId27">
              <w:r>
                <w:rPr>
                  <w:rStyle w:val="Hyperlink"/>
                </w:rPr>
                <w:t xml:space="preserve">[96]</w:t>
              </w:r>
            </w:hyperlink>
          </w:p>
        </w:tc>
        <w:tc>
          <w:tcPr/>
          <w:p>
            <w:pPr>
              <w:pStyle w:val="Compact"/>
            </w:pPr>
            <w:r>
              <w:t xml:space="preserve">Content connectors documented; web crawler and connectors sync third-party data to Elasticsearch.</w:t>
            </w:r>
            <w:r>
              <w:t xml:space="preserve"> </w:t>
            </w:r>
            <w:hyperlink r:id="rId73">
              <w:r>
                <w:rPr>
                  <w:rStyle w:val="Hyperlink"/>
                </w:rPr>
                <w:t xml:space="preserve">[97]</w:t>
              </w:r>
            </w:hyperlink>
          </w:p>
        </w:tc>
        <w:tc>
          <w:tcPr/>
          <w:p>
            <w:pPr>
              <w:pStyle w:val="Compact"/>
            </w:pPr>
            <w:r>
              <w:t xml:space="preserve">Not an ontology platform; supports structured fields and metadata-driven retrieval.</w:t>
            </w:r>
          </w:p>
        </w:tc>
        <w:tc>
          <w:tcPr/>
          <w:p>
            <w:pPr>
              <w:pStyle w:val="Compact"/>
            </w:pPr>
            <w:r>
              <w:t xml:space="preserve">Semantic search and vector search documented, including kNN over dense vectors; hybrid search patterns described.</w:t>
            </w:r>
            <w:r>
              <w:t xml:space="preserve"> </w:t>
            </w:r>
            <w:hyperlink r:id="rId74">
              <w:r>
                <w:rPr>
                  <w:rStyle w:val="Hyperlink"/>
                </w:rPr>
                <w:t xml:space="preserve">[98]</w:t>
              </w:r>
            </w:hyperlink>
          </w:p>
        </w:tc>
        <w:tc>
          <w:tcPr/>
          <w:p>
            <w:pPr>
              <w:pStyle w:val="Compact"/>
            </w:pPr>
            <w:r>
              <w:t xml:space="preserve">KG is not a core feature; graph modelling typically external or via plugins.</w:t>
            </w:r>
          </w:p>
        </w:tc>
        <w:tc>
          <w:tcPr/>
          <w:p>
            <w:pPr>
              <w:pStyle w:val="Compact"/>
            </w:pPr>
            <w:r>
              <w:t xml:space="preserve">Self-managed and cloud options exist (implementation-specific).</w:t>
            </w:r>
          </w:p>
        </w:tc>
        <w:tc>
          <w:tcPr/>
          <w:p>
            <w:pPr>
              <w:pStyle w:val="Compact"/>
            </w:pPr>
            <w:r>
              <w:t xml:space="preserve">Governance is implemented via access controls and operational controls; connector management documented.</w:t>
            </w:r>
            <w:r>
              <w:t xml:space="preserve"> </w:t>
            </w:r>
            <w:hyperlink r:id="rId75">
              <w:r>
                <w:rPr>
                  <w:rStyle w:val="Hyperlink"/>
                </w:rPr>
                <w:t xml:space="preserve">[99]</w:t>
              </w:r>
            </w:hyperlink>
          </w:p>
        </w:tc>
        <w:tc>
          <w:tcPr/>
          <w:p>
            <w:pPr>
              <w:pStyle w:val="Compact"/>
            </w:pPr>
            <w:hyperlink r:id="rId73">
              <w:r>
                <w:rPr>
                  <w:rStyle w:val="Hyperlink"/>
                </w:rPr>
                <w:t xml:space="preserve">[100]</w:t>
              </w:r>
            </w:hyperlink>
          </w:p>
        </w:tc>
      </w:tr>
      <w:tr>
        <w:tc>
          <w:tcPr/>
          <w:p>
            <w:pPr>
              <w:pStyle w:val="Compact"/>
            </w:pPr>
            <w:r>
              <w:t xml:space="preserve">Glean</w:t>
            </w:r>
            <w:hyperlink r:id="rId76">
              <w:r>
                <w:rPr>
                  <w:rStyle w:val="Hyperlink"/>
                </w:rPr>
                <w:t xml:space="preserve">[101]</w:t>
              </w:r>
            </w:hyperlink>
          </w:p>
        </w:tc>
        <w:tc>
          <w:tcPr/>
          <w:p>
            <w:pPr>
              <w:pStyle w:val="Compact"/>
            </w:pPr>
            <w:r>
              <w:t xml:space="preserve">Markets 100+ app connectors; positions as permissions-enforced enterprise search.</w:t>
            </w:r>
            <w:r>
              <w:t xml:space="preserve"> </w:t>
            </w:r>
            <w:hyperlink r:id="rId66">
              <w:r>
                <w:rPr>
                  <w:rStyle w:val="Hyperlink"/>
                </w:rPr>
                <w:t xml:space="preserve">[102]</w:t>
              </w:r>
            </w:hyperlink>
          </w:p>
        </w:tc>
        <w:tc>
          <w:tcPr/>
          <w:p>
            <w:pPr>
              <w:pStyle w:val="Compact"/>
            </w:pPr>
            <w:r>
              <w:t xml:space="preserve">Not primarily ontology tooling; semantics via “understands your data” positioning and governance product.</w:t>
            </w:r>
            <w:r>
              <w:t xml:space="preserve"> </w:t>
            </w:r>
            <w:hyperlink r:id="rId66">
              <w:r>
                <w:rPr>
                  <w:rStyle w:val="Hyperlink"/>
                </w:rPr>
                <w:t xml:space="preserve">[103]</w:t>
              </w:r>
            </w:hyperlink>
          </w:p>
        </w:tc>
        <w:tc>
          <w:tcPr/>
          <w:p>
            <w:pPr>
              <w:pStyle w:val="Compact"/>
            </w:pPr>
            <w:r>
              <w:t xml:space="preserve">Positioned as agents/assistant/search; details vary by product packaging (verify in procurement).</w:t>
            </w:r>
            <w:r>
              <w:t xml:space="preserve"> </w:t>
            </w:r>
            <w:hyperlink r:id="rId66">
              <w:r>
                <w:rPr>
                  <w:rStyle w:val="Hyperlink"/>
                </w:rPr>
                <w:t xml:space="preserve">[102]</w:t>
              </w:r>
            </w:hyperlink>
          </w:p>
        </w:tc>
        <w:tc>
          <w:tcPr/>
          <w:p>
            <w:pPr>
              <w:pStyle w:val="Compact"/>
            </w:pPr>
            <w:r>
              <w:t xml:space="preserve">KG not explicit in cited sources.</w:t>
            </w:r>
          </w:p>
        </w:tc>
        <w:tc>
          <w:tcPr/>
          <w:p>
            <w:pPr>
              <w:pStyle w:val="Compact"/>
            </w:pPr>
            <w:r>
              <w:t xml:space="preserve">Cloud deployment model; some connector pages describe data stored “inside your cloud account” for a given integration.</w:t>
            </w:r>
            <w:r>
              <w:t xml:space="preserve"> </w:t>
            </w:r>
            <w:hyperlink r:id="rId77">
              <w:r>
                <w:rPr>
                  <w:rStyle w:val="Hyperlink"/>
                </w:rPr>
                <w:t xml:space="preserve">[104]</w:t>
              </w:r>
            </w:hyperlink>
          </w:p>
        </w:tc>
        <w:tc>
          <w:tcPr/>
          <w:p>
            <w:pPr>
              <w:pStyle w:val="Compact"/>
            </w:pPr>
            <w:r>
              <w:t xml:space="preserve">Strong emphasis on permissions-aware access control and governance packaging.</w:t>
            </w:r>
            <w:r>
              <w:t xml:space="preserve"> </w:t>
            </w:r>
            <w:hyperlink r:id="rId78">
              <w:r>
                <w:rPr>
                  <w:rStyle w:val="Hyperlink"/>
                </w:rPr>
                <w:t xml:space="preserve">[105]</w:t>
              </w:r>
            </w:hyperlink>
          </w:p>
        </w:tc>
        <w:tc>
          <w:tcPr/>
          <w:p>
            <w:pPr>
              <w:pStyle w:val="Compact"/>
            </w:pPr>
            <w:hyperlink r:id="rId66">
              <w:r>
                <w:rPr>
                  <w:rStyle w:val="Hyperlink"/>
                </w:rPr>
                <w:t xml:space="preserve">[106]</w:t>
              </w:r>
            </w:hyperlink>
          </w:p>
        </w:tc>
      </w:tr>
      <w:tr>
        <w:tc>
          <w:tcPr/>
          <w:p>
            <w:pPr>
              <w:pStyle w:val="Compact"/>
            </w:pPr>
            <w:r>
              <w:t xml:space="preserve">Coveo</w:t>
            </w:r>
            <w:hyperlink r:id="rId46">
              <w:r>
                <w:rPr>
                  <w:rStyle w:val="Hyperlink"/>
                </w:rPr>
                <w:t xml:space="preserve">[107]</w:t>
              </w:r>
            </w:hyperlink>
          </w:p>
        </w:tc>
        <w:tc>
          <w:tcPr/>
          <w:p>
            <w:pPr>
              <w:pStyle w:val="Compact"/>
            </w:pPr>
            <w:r>
              <w:t xml:space="preserve">Connector availability described in training content; unified index theme.</w:t>
            </w:r>
            <w:r>
              <w:t xml:space="preserve"> </w:t>
            </w:r>
            <w:hyperlink r:id="rId79">
              <w:r>
                <w:rPr>
                  <w:rStyle w:val="Hyperlink"/>
                </w:rPr>
                <w:t xml:space="preserve">[108]</w:t>
              </w:r>
            </w:hyperlink>
          </w:p>
        </w:tc>
        <w:tc>
          <w:tcPr/>
          <w:p>
            <w:pPr>
              <w:pStyle w:val="Compact"/>
            </w:pPr>
            <w:r>
              <w:t xml:space="preserve">Not positioned as ontology tooling; semantic search and relevance.</w:t>
            </w:r>
            <w:r>
              <w:t xml:space="preserve"> </w:t>
            </w:r>
            <w:hyperlink r:id="rId38">
              <w:r>
                <w:rPr>
                  <w:rStyle w:val="Hyperlink"/>
                </w:rPr>
                <w:t xml:space="preserve">[109]</w:t>
              </w:r>
            </w:hyperlink>
          </w:p>
        </w:tc>
        <w:tc>
          <w:tcPr/>
          <w:p>
            <w:pPr>
              <w:pStyle w:val="Compact"/>
            </w:pPr>
            <w:r>
              <w:t xml:space="preserve">Relevance Generative Answering described as grounded in enterprise content with unified index and retrieval APIs.</w:t>
            </w:r>
            <w:r>
              <w:t xml:space="preserve"> </w:t>
            </w:r>
            <w:hyperlink r:id="rId80">
              <w:r>
                <w:rPr>
                  <w:rStyle w:val="Hyperlink"/>
                </w:rPr>
                <w:t xml:space="preserve">[110]</w:t>
              </w:r>
            </w:hyperlink>
          </w:p>
        </w:tc>
        <w:tc>
          <w:tcPr/>
          <w:p>
            <w:pPr>
              <w:pStyle w:val="Compact"/>
            </w:pPr>
            <w:r>
              <w:t xml:space="preserve">KG not explicit in RGA docs; can be integrated externally.</w:t>
            </w:r>
          </w:p>
        </w:tc>
        <w:tc>
          <w:tcPr/>
          <w:p>
            <w:pPr>
              <w:pStyle w:val="Compact"/>
            </w:pPr>
            <w:r>
              <w:t xml:space="preserve">Cloud platform model (implementation-specific).</w:t>
            </w:r>
          </w:p>
        </w:tc>
        <w:tc>
          <w:tcPr/>
          <w:p>
            <w:pPr>
              <w:pStyle w:val="Compact"/>
            </w:pPr>
            <w:r>
              <w:t xml:space="preserve">Security features referenced as part of RGA working with existing indexing and security features.</w:t>
            </w:r>
            <w:r>
              <w:t xml:space="preserve"> </w:t>
            </w:r>
            <w:hyperlink r:id="rId81">
              <w:r>
                <w:rPr>
                  <w:rStyle w:val="Hyperlink"/>
                </w:rPr>
                <w:t xml:space="preserve">[111]</w:t>
              </w:r>
            </w:hyperlink>
          </w:p>
        </w:tc>
        <w:tc>
          <w:tcPr/>
          <w:p>
            <w:pPr>
              <w:pStyle w:val="Compact"/>
            </w:pPr>
            <w:hyperlink r:id="rId80">
              <w:r>
                <w:rPr>
                  <w:rStyle w:val="Hyperlink"/>
                </w:rPr>
                <w:t xml:space="preserve">[112]</w:t>
              </w:r>
            </w:hyperlink>
          </w:p>
        </w:tc>
      </w:tr>
      <w:tr>
        <w:tc>
          <w:tcPr/>
          <w:p>
            <w:pPr>
              <w:pStyle w:val="Compact"/>
            </w:pPr>
            <w:r>
              <w:t xml:space="preserve">Sinequa</w:t>
            </w:r>
            <w:hyperlink r:id="rId82">
              <w:r>
                <w:rPr>
                  <w:rStyle w:val="Hyperlink"/>
                </w:rPr>
                <w:t xml:space="preserve">[113]</w:t>
              </w:r>
            </w:hyperlink>
          </w:p>
        </w:tc>
        <w:tc>
          <w:tcPr/>
          <w:p>
            <w:pPr>
              <w:pStyle w:val="Compact"/>
            </w:pPr>
            <w:r>
              <w:t xml:space="preserve">Product positioning includes 200+ connectors and enterprise indexing.</w:t>
            </w:r>
            <w:r>
              <w:t xml:space="preserve"> </w:t>
            </w:r>
            <w:hyperlink r:id="rId64">
              <w:r>
                <w:rPr>
                  <w:rStyle w:val="Hyperlink"/>
                </w:rPr>
                <w:t xml:space="preserve">[114]</w:t>
              </w:r>
            </w:hyperlink>
          </w:p>
        </w:tc>
        <w:tc>
          <w:tcPr/>
          <w:p>
            <w:pPr>
              <w:pStyle w:val="Compact"/>
            </w:pPr>
            <w:r>
              <w:t xml:space="preserve">Semantic extraction of entities/concepts described; ontology tooling not explicit in cited pages.</w:t>
            </w:r>
            <w:r>
              <w:t xml:space="preserve"> </w:t>
            </w:r>
            <w:hyperlink r:id="rId56">
              <w:r>
                <w:rPr>
                  <w:rStyle w:val="Hyperlink"/>
                </w:rPr>
                <w:t xml:space="preserve">[115]</w:t>
              </w:r>
            </w:hyperlink>
          </w:p>
        </w:tc>
        <w:tc>
          <w:tcPr/>
          <w:p>
            <w:pPr>
              <w:pStyle w:val="Compact"/>
            </w:pPr>
            <w:r>
              <w:t xml:space="preserve">Described as powering search, assistants, and RAG copilots with traceable answers.</w:t>
            </w:r>
            <w:r>
              <w:t xml:space="preserve"> </w:t>
            </w:r>
            <w:hyperlink r:id="rId56">
              <w:r>
                <w:rPr>
                  <w:rStyle w:val="Hyperlink"/>
                </w:rPr>
                <w:t xml:space="preserve">[116]</w:t>
              </w:r>
            </w:hyperlink>
          </w:p>
        </w:tc>
        <w:tc>
          <w:tcPr/>
          <w:p>
            <w:pPr>
              <w:pStyle w:val="Compact"/>
            </w:pPr>
            <w:r>
              <w:t xml:space="preserve">KG not explicit in cited pages; semantic extraction is described.</w:t>
            </w:r>
          </w:p>
        </w:tc>
        <w:tc>
          <w:tcPr/>
          <w:p>
            <w:pPr>
              <w:pStyle w:val="Compact"/>
            </w:pPr>
            <w:r>
              <w:t xml:space="preserve">Cloud / integration into business environments described; precise deployment options are product- and contract-specific.</w:t>
            </w:r>
            <w:r>
              <w:t xml:space="preserve"> </w:t>
            </w:r>
            <w:hyperlink r:id="rId56">
              <w:r>
                <w:rPr>
                  <w:rStyle w:val="Hyperlink"/>
                </w:rPr>
                <w:t xml:space="preserve">[115]</w:t>
              </w:r>
            </w:hyperlink>
          </w:p>
        </w:tc>
        <w:tc>
          <w:tcPr/>
          <w:p>
            <w:pPr>
              <w:pStyle w:val="Compact"/>
            </w:pPr>
            <w:r>
              <w:t xml:space="preserve">Fine-grained governance and access traceability described.</w:t>
            </w:r>
            <w:r>
              <w:t xml:space="preserve"> </w:t>
            </w:r>
            <w:hyperlink r:id="rId56">
              <w:r>
                <w:rPr>
                  <w:rStyle w:val="Hyperlink"/>
                </w:rPr>
                <w:t xml:space="preserve">[115]</w:t>
              </w:r>
            </w:hyperlink>
          </w:p>
        </w:tc>
        <w:tc>
          <w:tcPr/>
          <w:p>
            <w:pPr>
              <w:pStyle w:val="Compact"/>
            </w:pPr>
            <w:hyperlink r:id="rId56">
              <w:r>
                <w:rPr>
                  <w:rStyle w:val="Hyperlink"/>
                </w:rPr>
                <w:t xml:space="preserve">[116]</w:t>
              </w:r>
            </w:hyperlink>
          </w:p>
        </w:tc>
      </w:tr>
    </w:tbl>
    <w:bookmarkEnd w:id="83"/>
    <w:bookmarkStart w:id="88" w:name="open-source-tools-and-reference-stack"/>
    <w:p>
      <w:pPr>
        <w:pStyle w:val="Heading3"/>
      </w:pPr>
      <w:r>
        <w:t xml:space="preserve">Open-source tools and reference stack</w:t>
      </w:r>
    </w:p>
    <w:p>
      <w:pPr>
        <w:pStyle w:val="FirstParagraph"/>
      </w:pPr>
      <w:r>
        <w:t xml:space="preserve">Open-source options can cover most of a KI stack, especially when an organisation prefers composability or needs to align deployment to specific security constraints. 아래 suggestions reflect tool roles rather than fixed endorsements.</w:t>
      </w:r>
      <w:r>
        <w:t xml:space="preserve"> </w:t>
      </w:r>
      <w:hyperlink r:id="rId84">
        <w:r>
          <w:rPr>
            <w:rStyle w:val="Hyperlink"/>
          </w:rPr>
          <w:t xml:space="preserve">[117]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 capability</w:t>
            </w:r>
          </w:p>
        </w:tc>
        <w:tc>
          <w:tcPr/>
          <w:p>
            <w:pPr>
              <w:pStyle w:val="Compact"/>
            </w:pPr>
            <w:r>
              <w:t xml:space="preserve">Representative open-source tools</w:t>
            </w:r>
          </w:p>
        </w:tc>
        <w:tc>
          <w:tcPr/>
          <w:p>
            <w:pPr>
              <w:pStyle w:val="Compact"/>
            </w:pPr>
            <w:r>
              <w:t xml:space="preserve">What they enable</w:t>
            </w:r>
          </w:p>
        </w:tc>
        <w:tc>
          <w:tcPr/>
          <w:p>
            <w:pPr>
              <w:pStyle w:val="Compact"/>
            </w:pPr>
            <w:r>
              <w:t xml:space="preserve">Primary references</w:t>
            </w:r>
          </w:p>
        </w:tc>
      </w:tr>
      <w:tr>
        <w:tc>
          <w:tcPr/>
          <w:p>
            <w:pPr>
              <w:pStyle w:val="Compact"/>
            </w:pPr>
            <w:r>
              <w:t xml:space="preserve">Full-text / hybrid search</w:t>
            </w:r>
          </w:p>
        </w:tc>
        <w:tc>
          <w:tcPr/>
          <w:p>
            <w:pPr>
              <w:pStyle w:val="Compact"/>
            </w:pPr>
            <w:r>
              <w:t xml:space="preserve">OpenSearch; Apache Solr</w:t>
            </w:r>
          </w:p>
        </w:tc>
        <w:tc>
          <w:tcPr/>
          <w:p>
            <w:pPr>
              <w:pStyle w:val="Compact"/>
            </w:pPr>
            <w:r>
              <w:t xml:space="preserve">Indexing, lexical retrieval, and multi-modal search building blocks; Solr explicitly positions itself as multi-modal including vector search.</w:t>
            </w:r>
            <w:r>
              <w:t xml:space="preserve"> </w:t>
            </w:r>
            <w:hyperlink r:id="rId85">
              <w:r>
                <w:rPr>
                  <w:rStyle w:val="Hyperlink"/>
                </w:rPr>
                <w:t xml:space="preserve">[118]</w:t>
              </w:r>
            </w:hyperlink>
          </w:p>
        </w:tc>
        <w:tc>
          <w:tcPr/>
          <w:p>
            <w:pPr>
              <w:pStyle w:val="Compact"/>
            </w:pPr>
            <w:hyperlink r:id="rId84">
              <w:r>
                <w:rPr>
                  <w:rStyle w:val="Hyperlink"/>
                </w:rPr>
                <w:t xml:space="preserve">[119]</w:t>
              </w:r>
            </w:hyperlink>
          </w:p>
        </w:tc>
      </w:tr>
      <w:tr>
        <w:tc>
          <w:tcPr/>
          <w:p>
            <w:pPr>
              <w:pStyle w:val="Compact"/>
            </w:pPr>
            <w:r>
              <w:t xml:space="preserve">Semantic web / RDF graph</w:t>
            </w:r>
          </w:p>
        </w:tc>
        <w:tc>
          <w:tcPr/>
          <w:p>
            <w:pPr>
              <w:pStyle w:val="Compact"/>
            </w:pPr>
            <w:r>
              <w:t xml:space="preserve">Apache Jena; Eclipse RDF4J</w:t>
            </w:r>
          </w:p>
        </w:tc>
        <w:tc>
          <w:tcPr/>
          <w:p>
            <w:pPr>
              <w:pStyle w:val="Compact"/>
            </w:pPr>
            <w:r>
              <w:t xml:space="preserve">RDF storage/query, SPARQL endpoints, linked data applications.</w:t>
            </w:r>
            <w:r>
              <w:t xml:space="preserve"> </w:t>
            </w:r>
            <w:hyperlink r:id="rId86">
              <w:r>
                <w:rPr>
                  <w:rStyle w:val="Hyperlink"/>
                </w:rPr>
                <w:t xml:space="preserve">[120]</w:t>
              </w:r>
            </w:hyperlink>
          </w:p>
        </w:tc>
        <w:tc>
          <w:tcPr/>
          <w:p>
            <w:pPr>
              <w:pStyle w:val="Compact"/>
            </w:pPr>
            <w:hyperlink r:id="rId86">
              <w:r>
                <w:rPr>
                  <w:rStyle w:val="Hyperlink"/>
                </w:rPr>
                <w:t xml:space="preserve">[120]</w:t>
              </w:r>
            </w:hyperlink>
          </w:p>
        </w:tc>
      </w:tr>
      <w:tr>
        <w:tc>
          <w:tcPr/>
          <w:p>
            <w:pPr>
              <w:pStyle w:val="Compact"/>
            </w:pPr>
            <w:r>
              <w:t xml:space="preserve">Vector similarity search</w:t>
            </w:r>
          </w:p>
        </w:tc>
        <w:tc>
          <w:tcPr/>
          <w:p>
            <w:pPr>
              <w:pStyle w:val="Compact"/>
            </w:pPr>
            <w:r>
              <w:t xml:space="preserve">FAISS; Milvus; Qdrant; pgvector</w:t>
            </w:r>
          </w:p>
        </w:tc>
        <w:tc>
          <w:tcPr/>
          <w:p>
            <w:pPr>
              <w:pStyle w:val="Compact"/>
            </w:pPr>
            <w:r>
              <w:t xml:space="preserve">Vector indexing and similarity search; FAISS focuses on efficient similarity search; Milvus/Qdrant are vector databases; pgvector adds vector search within Postgres.</w:t>
            </w:r>
            <w:r>
              <w:t xml:space="preserve"> </w:t>
            </w:r>
            <w:hyperlink r:id="rId76">
              <w:r>
                <w:rPr>
                  <w:rStyle w:val="Hyperlink"/>
                </w:rPr>
                <w:t xml:space="preserve">[121]</w:t>
              </w:r>
            </w:hyperlink>
          </w:p>
        </w:tc>
        <w:tc>
          <w:tcPr/>
          <w:p>
            <w:pPr>
              <w:pStyle w:val="Compact"/>
            </w:pPr>
            <w:hyperlink r:id="rId76">
              <w:r>
                <w:rPr>
                  <w:rStyle w:val="Hyperlink"/>
                </w:rPr>
                <w:t xml:space="preserve">[121]</w:t>
              </w:r>
            </w:hyperlink>
          </w:p>
        </w:tc>
      </w:tr>
      <w:tr>
        <w:tc>
          <w:tcPr/>
          <w:p>
            <w:pPr>
              <w:pStyle w:val="Compact"/>
            </w:pPr>
            <w:r>
              <w:t xml:space="preserve">Metadata governance and discovery</w:t>
            </w:r>
          </w:p>
        </w:tc>
        <w:tc>
          <w:tcPr/>
          <w:p>
            <w:pPr>
              <w:pStyle w:val="Compact"/>
            </w:pPr>
            <w:r>
              <w:t xml:space="preserve">OpenMetadata; DataHub</w:t>
            </w:r>
          </w:p>
        </w:tc>
        <w:tc>
          <w:tcPr/>
          <w:p>
            <w:pPr>
              <w:pStyle w:val="Compact"/>
            </w:pPr>
            <w:r>
              <w:t xml:space="preserve">Metadata graphs, discovery, governance and lineage patterns (data/AI asset focus).</w:t>
            </w:r>
            <w:r>
              <w:t xml:space="preserve"> </w:t>
            </w:r>
            <w:hyperlink r:id="rId65">
              <w:r>
                <w:rPr>
                  <w:rStyle w:val="Hyperlink"/>
                </w:rPr>
                <w:t xml:space="preserve">[122]</w:t>
              </w:r>
            </w:hyperlink>
          </w:p>
        </w:tc>
        <w:tc>
          <w:tcPr/>
          <w:p>
            <w:pPr>
              <w:pStyle w:val="Compact"/>
            </w:pPr>
            <w:hyperlink r:id="rId65">
              <w:r>
                <w:rPr>
                  <w:rStyle w:val="Hyperlink"/>
                </w:rPr>
                <w:t xml:space="preserve">[122]</w:t>
              </w:r>
            </w:hyperlink>
          </w:p>
        </w:tc>
      </w:tr>
      <w:tr>
        <w:tc>
          <w:tcPr/>
          <w:p>
            <w:pPr>
              <w:pStyle w:val="Compact"/>
            </w:pPr>
            <w:r>
              <w:t xml:space="preserve">Workflow orchestration</w:t>
            </w:r>
          </w:p>
        </w:tc>
        <w:tc>
          <w:tcPr/>
          <w:p>
            <w:pPr>
              <w:pStyle w:val="Compact"/>
            </w:pPr>
            <w:r>
              <w:t xml:space="preserve">Apache Airflow</w:t>
            </w:r>
          </w:p>
        </w:tc>
        <w:tc>
          <w:tcPr/>
          <w:p>
            <w:pPr>
              <w:pStyle w:val="Compact"/>
            </w:pPr>
            <w:r>
              <w:t xml:space="preserve">Programmatic authoring/scheduling/monitoring of workflows; useful for ingestion/enrichment pipelines.</w:t>
            </w:r>
            <w:r>
              <w:t xml:space="preserve"> </w:t>
            </w:r>
            <w:hyperlink r:id="rId82">
              <w:r>
                <w:rPr>
                  <w:rStyle w:val="Hyperlink"/>
                </w:rPr>
                <w:t xml:space="preserve">[123]</w:t>
              </w:r>
            </w:hyperlink>
          </w:p>
        </w:tc>
        <w:tc>
          <w:tcPr/>
          <w:p>
            <w:pPr>
              <w:pStyle w:val="Compact"/>
            </w:pPr>
            <w:hyperlink r:id="rId82">
              <w:r>
                <w:rPr>
                  <w:rStyle w:val="Hyperlink"/>
                </w:rPr>
                <w:t xml:space="preserve">[123]</w:t>
              </w:r>
            </w:hyperlink>
          </w:p>
        </w:tc>
      </w:tr>
      <w:tr>
        <w:tc>
          <w:tcPr/>
          <w:p>
            <w:pPr>
              <w:pStyle w:val="Compact"/>
            </w:pPr>
            <w:r>
              <w:t xml:space="preserve">RAG application framework</w:t>
            </w:r>
          </w:p>
        </w:tc>
        <w:tc>
          <w:tcPr/>
          <w:p>
            <w:pPr>
              <w:pStyle w:val="Compact"/>
            </w:pPr>
            <w:r>
              <w:t xml:space="preserve">LangChain</w:t>
            </w:r>
          </w:p>
        </w:tc>
        <w:tc>
          <w:tcPr/>
          <w:p>
            <w:pPr>
              <w:pStyle w:val="Compact"/>
            </w:pPr>
            <w:r>
              <w:t xml:space="preserve">RAG building blocks and integrations to vector stores and LLMs (framework choice should align to security review).</w:t>
            </w:r>
            <w:r>
              <w:t xml:space="preserve"> </w:t>
            </w:r>
            <w:hyperlink r:id="rId87">
              <w:r>
                <w:rPr>
                  <w:rStyle w:val="Hyperlink"/>
                </w:rPr>
                <w:t xml:space="preserve">[124]</w:t>
              </w:r>
            </w:hyperlink>
          </w:p>
        </w:tc>
        <w:tc>
          <w:tcPr/>
          <w:p>
            <w:pPr>
              <w:pStyle w:val="Compact"/>
            </w:pPr>
            <w:hyperlink r:id="rId87">
              <w:r>
                <w:rPr>
                  <w:rStyle w:val="Hyperlink"/>
                </w:rPr>
                <w:t xml:space="preserve">[124]</w:t>
              </w:r>
            </w:hyperlink>
          </w:p>
        </w:tc>
      </w:tr>
    </w:tbl>
    <w:bookmarkEnd w:id="88"/>
    <w:bookmarkStart w:id="89" w:name="X1390064ac178cf769557016dffbc44dbb371848"/>
    <w:p>
      <w:pPr>
        <w:pStyle w:val="Heading3"/>
      </w:pPr>
      <w:r>
        <w:t xml:space="preserve">Practical recommendations and a phased 12–18 month roadmap</w:t>
      </w:r>
    </w:p>
    <w:p>
      <w:pPr>
        <w:pStyle w:val="FirstParagraph"/>
      </w:pPr>
      <w:r>
        <w:t xml:space="preserve">A defensible KI adoption programme should be</w:t>
      </w:r>
      <w:r>
        <w:t xml:space="preserve"> </w:t>
      </w:r>
      <w:r>
        <w:rPr>
          <w:b/>
          <w:bCs/>
        </w:rPr>
        <w:t xml:space="preserve">use-case led</w:t>
      </w:r>
      <w:r>
        <w:t xml:space="preserve">,</w:t>
      </w:r>
      <w:r>
        <w:t xml:space="preserve"> </w:t>
      </w:r>
      <w:r>
        <w:rPr>
          <w:b/>
          <w:bCs/>
        </w:rPr>
        <w:t xml:space="preserve">measurement-first</w:t>
      </w:r>
      <w:r>
        <w:t xml:space="preserve">, and</w:t>
      </w:r>
      <w:r>
        <w:t xml:space="preserve"> </w:t>
      </w:r>
      <w:r>
        <w:rPr>
          <w:b/>
          <w:bCs/>
        </w:rPr>
        <w:t xml:space="preserve">governance-by-design</w:t>
      </w:r>
      <w:r>
        <w:t xml:space="preserve">. The KM management-system standard and AI risk management framework together suggest a disciplined approach: define context and objectives, implement controls, evaluate performance, and improve continuously.</w:t>
      </w:r>
      <w:r>
        <w:t xml:space="preserve"> </w:t>
      </w:r>
      <w:hyperlink r:id="rId21">
        <w:r>
          <w:rPr>
            <w:rStyle w:val="Hyperlink"/>
          </w:rPr>
          <w:t xml:space="preserve">[125]</w:t>
        </w:r>
      </w:hyperlink>
    </w:p>
    <w:p>
      <w:pPr>
        <w:pStyle w:val="BodyText"/>
      </w:pPr>
      <w:r>
        <w:t xml:space="preserve">The recommended phases below assume no specific industry or budget; they prioritise early measurable wins while building durable foundations.</w:t>
      </w:r>
    </w:p>
    <w:p>
      <w:pPr>
        <w:pStyle w:val="SourceCode"/>
      </w:pPr>
      <w:r>
        <w:rPr>
          <w:rStyle w:val="VerbatimChar"/>
        </w:rPr>
        <w:t xml:space="preserve">gantt</w:t>
      </w:r>
      <w:r>
        <w:br/>
      </w:r>
      <w:r>
        <w:rPr>
          <w:rStyle w:val="VerbatimChar"/>
        </w:rPr>
        <w:t xml:space="preserve">  title Knowledge intelligence adoption timeline</w:t>
      </w:r>
      <w:r>
        <w:br/>
      </w:r>
      <w:r>
        <w:rPr>
          <w:rStyle w:val="VerbatimChar"/>
        </w:rPr>
        <w:t xml:space="preserve">  dateFormat  YYYY-MM-DD</w:t>
      </w:r>
      <w:r>
        <w:br/>
      </w:r>
      <w:r>
        <w:rPr>
          <w:rStyle w:val="VerbatimChar"/>
        </w:rPr>
        <w:t xml:space="preserve">  axisFormat  %b %Y</w:t>
      </w:r>
      <w:r>
        <w:br/>
      </w:r>
      <w:r>
        <w:br/>
      </w:r>
      <w:r>
        <w:rPr>
          <w:rStyle w:val="VerbatimChar"/>
        </w:rPr>
        <w:t xml:space="preserve">  section Direction and governance</w:t>
      </w:r>
      <w:r>
        <w:br/>
      </w:r>
      <w:r>
        <w:rPr>
          <w:rStyle w:val="VerbatimChar"/>
        </w:rPr>
        <w:t xml:space="preserve">  Scope, value cases, KPI baseline            :a1, 2026-03-01, 45d</w:t>
      </w:r>
      <w:r>
        <w:br/>
      </w:r>
      <w:r>
        <w:rPr>
          <w:rStyle w:val="VerbatimChar"/>
        </w:rPr>
        <w:t xml:space="preserve">  Operating model and policy design          :a2, 2026-03-15, 75d</w:t>
      </w:r>
      <w:r>
        <w:br/>
      </w:r>
      <w:r>
        <w:br/>
      </w:r>
      <w:r>
        <w:rPr>
          <w:rStyle w:val="VerbatimChar"/>
        </w:rPr>
        <w:t xml:space="preserve">  section Foundations</w:t>
      </w:r>
      <w:r>
        <w:br/>
      </w:r>
      <w:r>
        <w:rPr>
          <w:rStyle w:val="VerbatimChar"/>
        </w:rPr>
        <w:t xml:space="preserve">  Source inventory, permissions, metadata    :b1, 2026-04-01, 75d</w:t>
      </w:r>
      <w:r>
        <w:br/>
      </w:r>
      <w:r>
        <w:rPr>
          <w:rStyle w:val="VerbatimChar"/>
        </w:rPr>
        <w:t xml:space="preserve">  Taxonomy/thesaurus v1 and stewardship      :b2, 2026-04-15, 90d</w:t>
      </w:r>
      <w:r>
        <w:br/>
      </w:r>
      <w:r>
        <w:rPr>
          <w:rStyle w:val="VerbatimChar"/>
        </w:rPr>
        <w:t xml:space="preserve">  Retrieval evaluation harness (offline+online):b3, 2026-05-01, 75d</w:t>
      </w:r>
      <w:r>
        <w:br/>
      </w:r>
      <w:r>
        <w:br/>
      </w:r>
      <w:r>
        <w:rPr>
          <w:rStyle w:val="VerbatimChar"/>
        </w:rPr>
        <w:t xml:space="preserve">  section Pilots</w:t>
      </w:r>
      <w:r>
        <w:br/>
      </w:r>
      <w:r>
        <w:rPr>
          <w:rStyle w:val="VerbatimChar"/>
        </w:rPr>
        <w:t xml:space="preserve">  Pilot workflow A (service/HR/IT)           :c1, 2026-06-15, 90d</w:t>
      </w:r>
      <w:r>
        <w:br/>
      </w:r>
      <w:r>
        <w:rPr>
          <w:rStyle w:val="VerbatimChar"/>
        </w:rPr>
        <w:t xml:space="preserve">  Pilot workflow B (R&amp;D/legal/sales)         :c2, 2026-07-01, 90d</w:t>
      </w:r>
      <w:r>
        <w:br/>
      </w:r>
      <w:r>
        <w:rPr>
          <w:rStyle w:val="VerbatimChar"/>
        </w:rPr>
        <w:t xml:space="preserve">  Governance hardening (logging, DPIA triggers):c3, 2026-07-01, 120d</w:t>
      </w:r>
      <w:r>
        <w:br/>
      </w:r>
      <w:r>
        <w:br/>
      </w:r>
      <w:r>
        <w:rPr>
          <w:rStyle w:val="VerbatimChar"/>
        </w:rPr>
        <w:t xml:space="preserve">  section Scale and embed</w:t>
      </w:r>
      <w:r>
        <w:br/>
      </w:r>
      <w:r>
        <w:rPr>
          <w:rStyle w:val="VerbatimChar"/>
        </w:rPr>
        <w:t xml:space="preserve">  Expand connectors and enrichment pipelines :d1, 2026-09-15, 120d</w:t>
      </w:r>
      <w:r>
        <w:br/>
      </w:r>
      <w:r>
        <w:rPr>
          <w:rStyle w:val="VerbatimChar"/>
        </w:rPr>
        <w:t xml:space="preserve">  Embed in systems-of-work                   :d2, 2026-10-01, 150d</w:t>
      </w:r>
      <w:r>
        <w:br/>
      </w:r>
      <w:r>
        <w:rPr>
          <w:rStyle w:val="VerbatimChar"/>
        </w:rPr>
        <w:t xml:space="preserve">  Continuous improvement loop (zero-results, freshness):d3, 2026-10-15, 150d</w:t>
      </w:r>
      <w:r>
        <w:br/>
      </w:r>
      <w:r>
        <w:br/>
      </w:r>
      <w:r>
        <w:rPr>
          <w:rStyle w:val="VerbatimChar"/>
        </w:rPr>
        <w:t xml:space="preserve">  section Optimise</w:t>
      </w:r>
      <w:r>
        <w:br/>
      </w:r>
      <w:r>
        <w:rPr>
          <w:rStyle w:val="VerbatimChar"/>
        </w:rPr>
        <w:t xml:space="preserve">  KI maturity assessment and ROI refresh     :e1, 2027-02-01, 60d</w:t>
      </w:r>
      <w:r>
        <w:br/>
      </w:r>
      <w:r>
        <w:rPr>
          <w:rStyle w:val="VerbatimChar"/>
        </w:rPr>
        <w:t xml:space="preserve">  Scale to additional functions              :e2, 2027-03-01, 150d</w:t>
      </w:r>
    </w:p>
    <w:p>
      <w:pPr>
        <w:pStyle w:val="FirstParagraph"/>
      </w:pPr>
      <w:r>
        <w:rPr>
          <w:b/>
          <w:bCs/>
        </w:rPr>
        <w:t xml:space="preserve">Actionable recommendations (concise):</w:t>
      </w:r>
      <w:r>
        <w:br/>
      </w:r>
      <w:r>
        <w:t xml:space="preserve">Treat KI as a new KM field by (1) establishing an explicit KI ownership model and governance (policy, stewardship, lifecycle) aligned to management-system principles, (2) building a measurable knowledge layer using hybrid retrieval and semantic enrichment grounded in IR evaluation methods, (3) embedding KI into two workflow pilots with clear KPI baselines and benefit hypotheses, (4) implementing permission-aware access controls and governance artefacts aligned to GDPR DPIA expectations and AI risk frameworks, and (5) scaling only after KPI improvements and governance controls are verified in real workflow telemetry.</w:t>
      </w:r>
      <w:r>
        <w:t xml:space="preserve"> </w:t>
      </w:r>
      <w:hyperlink r:id="rId21">
        <w:r>
          <w:rPr>
            <w:rStyle w:val="Hyperlink"/>
          </w:rPr>
          <w:t xml:space="preserve">[126]</w:t>
        </w:r>
      </w:hyperlink>
    </w:p>
    <w:p>
      <w:pPr>
        <w:pStyle w:val="BodyText"/>
      </w:pPr>
      <w:r>
        <w:rPr>
          <w:b/>
          <w:bCs/>
        </w:rPr>
        <w:t xml:space="preserve">What to explicitly avoid:</w:t>
      </w:r>
      <w:r>
        <w:br/>
      </w:r>
      <w:r>
        <w:t xml:space="preserve">Avoid assuming that more AI automatically improves KM outcomes without retrieval evaluation and governance; avoid treating “restricted search” controls as security boundaries; avoid launching enterprise-wide rollouts before proving measurable improvements and permission integrity in scoped workflows.</w:t>
      </w:r>
      <w:r>
        <w:t xml:space="preserve"> </w:t>
      </w:r>
      <w:hyperlink r:id="rId43">
        <w:r>
          <w:rPr>
            <w:rStyle w:val="Hyperlink"/>
          </w:rPr>
          <w:t xml:space="preserve">[127]</w:t>
        </w:r>
      </w:hyperlink>
    </w:p>
    <w:p>
      <w:pPr>
        <w:pStyle w:val="BodyText"/>
      </w:pPr>
      <w:r>
        <w:rPr>
          <w:b/>
          <w:bCs/>
        </w:rPr>
        <w:t xml:space="preserve">Selected primary sources used throughout (non-exhaustive, see inline citations):</w:t>
      </w:r>
      <w:r>
        <w:t xml:space="preserve"> </w:t>
      </w:r>
      <w:r>
        <w:t xml:space="preserve">the KM systems standard abstract and scope, RDF/OWL/SPARQL standards, the RAG paper, the knowledge graph survey paper, the AI RMF and generative AI profile, EU AI Act official text and Commission policy pages, GDPR legal text and Irish DPC DPIA guidance, the IR textbook PDF, and KCS v6 Practices Guide.</w:t>
      </w:r>
      <w:r>
        <w:t xml:space="preserve"> </w:t>
      </w:r>
      <w:hyperlink r:id="rId21">
        <w:r>
          <w:rPr>
            <w:rStyle w:val="Hyperlink"/>
          </w:rPr>
          <w:t xml:space="preserve">[128]</w:t>
        </w:r>
      </w:hyperlink>
    </w:p>
    <w:bookmarkEnd w:id="89"/>
    <w:bookmarkEnd w:id="90"/>
    <w:bookmarkEnd w:id="91"/>
    <w:bookmarkEnd w:id="92"/>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[36]</w:t>
        </w:r>
      </w:hyperlink>
      <w:r>
        <w:t xml:space="preserve"> </w:t>
      </w:r>
      <w:hyperlink r:id="rId21">
        <w:r>
          <w:rPr>
            <w:rStyle w:val="Hyperlink"/>
          </w:rPr>
          <w:t xml:space="preserve">[54]</w:t>
        </w:r>
      </w:hyperlink>
      <w:r>
        <w:t xml:space="preserve"> </w:t>
      </w:r>
      <w:hyperlink r:id="rId21">
        <w:r>
          <w:rPr>
            <w:rStyle w:val="Hyperlink"/>
          </w:rPr>
          <w:t xml:space="preserve">[125]</w:t>
        </w:r>
      </w:hyperlink>
      <w:r>
        <w:t xml:space="preserve"> </w:t>
      </w:r>
      <w:hyperlink r:id="rId21">
        <w:r>
          <w:rPr>
            <w:rStyle w:val="Hyperlink"/>
          </w:rPr>
          <w:t xml:space="preserve">[126]</w:t>
        </w:r>
      </w:hyperlink>
      <w:r>
        <w:t xml:space="preserve"> </w:t>
      </w:r>
      <w:hyperlink r:id="rId21">
        <w:r>
          <w:rPr>
            <w:rStyle w:val="Hyperlink"/>
          </w:rPr>
          <w:t xml:space="preserve">[128]</w:t>
        </w:r>
      </w:hyperlink>
      <w:r>
        <w:t xml:space="preserve"> </w:t>
      </w:r>
      <w:r>
        <w:t xml:space="preserve">https://www.iso.org/standard/68683.html</w:t>
      </w:r>
    </w:p>
    <w:p>
      <w:pPr>
        <w:pStyle w:val="BodyText"/>
      </w:pPr>
      <w:hyperlink r:id="rId21">
        <w:r>
          <w:rPr>
            <w:rStyle w:val="Hyperlink"/>
          </w:rPr>
          <w:t xml:space="preserve">https://www.iso.org/standard/68683.html</w:t>
        </w:r>
      </w:hyperlink>
    </w:p>
    <w:p>
      <w:pPr>
        <w:pStyle w:val="BodyText"/>
      </w:pPr>
      <w:hyperlink r:id="rId22">
        <w:r>
          <w:rPr>
            <w:rStyle w:val="Hyperlink"/>
          </w:rPr>
          <w:t xml:space="preserve">[2]</w:t>
        </w:r>
      </w:hyperlink>
      <w:r>
        <w:t xml:space="preserve"> </w:t>
      </w:r>
      <w:hyperlink r:id="rId22">
        <w:r>
          <w:rPr>
            <w:rStyle w:val="Hyperlink"/>
          </w:rPr>
          <w:t xml:space="preserve">[52]</w:t>
        </w:r>
      </w:hyperlink>
      <w:r>
        <w:t xml:space="preserve"> </w:t>
      </w:r>
      <w:hyperlink r:id="rId22">
        <w:r>
          <w:rPr>
            <w:rStyle w:val="Hyperlink"/>
          </w:rPr>
          <w:t xml:space="preserve">[57]</w:t>
        </w:r>
      </w:hyperlink>
      <w:r>
        <w:t xml:space="preserve"> </w:t>
      </w:r>
      <w:hyperlink r:id="rId22">
        <w:r>
          <w:rPr>
            <w:rStyle w:val="Hyperlink"/>
          </w:rPr>
          <w:t xml:space="preserve">[74]</w:t>
        </w:r>
      </w:hyperlink>
      <w:r>
        <w:t xml:space="preserve"> </w:t>
      </w:r>
      <w:r>
        <w:t xml:space="preserve">https://learn.microsoft.com/en-us/copilot/microsoft-365/microsoft-365-copilot-privacy</w:t>
      </w:r>
    </w:p>
    <w:p>
      <w:pPr>
        <w:pStyle w:val="BodyText"/>
      </w:pPr>
      <w:hyperlink r:id="rId22">
        <w:r>
          <w:rPr>
            <w:rStyle w:val="Hyperlink"/>
          </w:rPr>
          <w:t xml:space="preserve">https://learn.microsoft.com/en-us/copilot/microsoft-365/microsoft-365-copilot-privacy</w:t>
        </w:r>
      </w:hyperlink>
    </w:p>
    <w:p>
      <w:pPr>
        <w:pStyle w:val="BodyText"/>
      </w:pPr>
      <w:hyperlink r:id="rId23">
        <w:r>
          <w:rPr>
            <w:rStyle w:val="Hyperlink"/>
          </w:rPr>
          <w:t xml:space="preserve">[6]</w:t>
        </w:r>
      </w:hyperlink>
      <w:r>
        <w:t xml:space="preserve"> </w:t>
      </w:r>
      <w:hyperlink r:id="rId23">
        <w:r>
          <w:rPr>
            <w:rStyle w:val="Hyperlink"/>
          </w:rPr>
          <w:t xml:space="preserve">[40]</w:t>
        </w:r>
      </w:hyperlink>
      <w:r>
        <w:t xml:space="preserve"> </w:t>
      </w:r>
      <w:r>
        <w:t xml:space="preserve">https://arxiv.org/abs/2404.17723</w:t>
      </w:r>
    </w:p>
    <w:p>
      <w:pPr>
        <w:pStyle w:val="BodyText"/>
      </w:pPr>
      <w:hyperlink r:id="rId23">
        <w:r>
          <w:rPr>
            <w:rStyle w:val="Hyperlink"/>
          </w:rPr>
          <w:t xml:space="preserve">https://arxiv.org/abs/2404.17723</w:t>
        </w:r>
      </w:hyperlink>
    </w:p>
    <w:p>
      <w:pPr>
        <w:pStyle w:val="BodyText"/>
      </w:pPr>
      <w:hyperlink r:id="rId25">
        <w:r>
          <w:rPr>
            <w:rStyle w:val="Hyperlink"/>
          </w:rPr>
          <w:t xml:space="preserve">[8]</w:t>
        </w:r>
      </w:hyperlink>
      <w:r>
        <w:t xml:space="preserve"> </w:t>
      </w:r>
      <w:r>
        <w:t xml:space="preserve">https://enterprise-knowledge.com/solutions/knowledge-intelligence/</w:t>
      </w:r>
    </w:p>
    <w:p>
      <w:pPr>
        <w:pStyle w:val="BodyText"/>
      </w:pPr>
      <w:hyperlink r:id="rId25">
        <w:r>
          <w:rPr>
            <w:rStyle w:val="Hyperlink"/>
          </w:rPr>
          <w:t xml:space="preserve">https://enterprise-knowledge.com/solutions/knowledge-intelligence/</w:t>
        </w:r>
      </w:hyperlink>
    </w:p>
    <w:p>
      <w:pPr>
        <w:pStyle w:val="BodyText"/>
      </w:pPr>
      <w:hyperlink r:id="rId26">
        <w:r>
          <w:rPr>
            <w:rStyle w:val="Hyperlink"/>
          </w:rPr>
          <w:t xml:space="preserve">[9]</w:t>
        </w:r>
      </w:hyperlink>
      <w:r>
        <w:t xml:space="preserve"> </w:t>
      </w:r>
      <w:r>
        <w:t xml:space="preserve">https://www.w3.org/TR/rdf11-concepts/</w:t>
      </w:r>
    </w:p>
    <w:p>
      <w:pPr>
        <w:pStyle w:val="BodyText"/>
      </w:pPr>
      <w:hyperlink r:id="rId26">
        <w:r>
          <w:rPr>
            <w:rStyle w:val="Hyperlink"/>
          </w:rPr>
          <w:t xml:space="preserve">https://www.w3.org/TR/rdf11-concepts/</w:t>
        </w:r>
      </w:hyperlink>
    </w:p>
    <w:p>
      <w:pPr>
        <w:pStyle w:val="BodyText"/>
      </w:pPr>
      <w:hyperlink r:id="rId27">
        <w:r>
          <w:rPr>
            <w:rStyle w:val="Hyperlink"/>
          </w:rPr>
          <w:t xml:space="preserve">[10]</w:t>
        </w:r>
      </w:hyperlink>
      <w:r>
        <w:t xml:space="preserve"> </w:t>
      </w:r>
      <w:hyperlink r:id="rId27">
        <w:r>
          <w:rPr>
            <w:rStyle w:val="Hyperlink"/>
          </w:rPr>
          <w:t xml:space="preserve">[27]</w:t>
        </w:r>
      </w:hyperlink>
      <w:r>
        <w:t xml:space="preserve"> </w:t>
      </w:r>
      <w:hyperlink r:id="rId27">
        <w:r>
          <w:rPr>
            <w:rStyle w:val="Hyperlink"/>
          </w:rPr>
          <w:t xml:space="preserve">[96]</w:t>
        </w:r>
      </w:hyperlink>
      <w:r>
        <w:t xml:space="preserve"> </w:t>
      </w:r>
      <w:r>
        <w:t xml:space="preserve">https://arxiv.org/pdf/1301.3781</w:t>
      </w:r>
    </w:p>
    <w:p>
      <w:pPr>
        <w:pStyle w:val="BodyText"/>
      </w:pPr>
      <w:hyperlink r:id="rId27">
        <w:r>
          <w:rPr>
            <w:rStyle w:val="Hyperlink"/>
          </w:rPr>
          <w:t xml:space="preserve">https://arxiv.org/pdf/1301.3781</w:t>
        </w:r>
      </w:hyperlink>
    </w:p>
    <w:p>
      <w:pPr>
        <w:pStyle w:val="BodyText"/>
      </w:pPr>
      <w:hyperlink r:id="rId28">
        <w:r>
          <w:rPr>
            <w:rStyle w:val="Hyperlink"/>
          </w:rPr>
          <w:t xml:space="preserve">[11]</w:t>
        </w:r>
      </w:hyperlink>
      <w:r>
        <w:t xml:space="preserve"> </w:t>
      </w:r>
      <w:hyperlink r:id="rId28">
        <w:r>
          <w:rPr>
            <w:rStyle w:val="Hyperlink"/>
          </w:rPr>
          <w:t xml:space="preserve">[68]</w:t>
        </w:r>
      </w:hyperlink>
      <w:r>
        <w:t xml:space="preserve"> </w:t>
      </w:r>
      <w:r>
        <w:t xml:space="preserve">https://eur-lex.europa.eu/eli/reg/2016/679/oj</w:t>
      </w:r>
    </w:p>
    <w:p>
      <w:pPr>
        <w:pStyle w:val="BodyText"/>
      </w:pPr>
      <w:hyperlink r:id="rId28">
        <w:r>
          <w:rPr>
            <w:rStyle w:val="Hyperlink"/>
          </w:rPr>
          <w:t xml:space="preserve">https://eur-lex.europa.eu/eli/reg/2016/679/oj</w:t>
        </w:r>
      </w:hyperlink>
    </w:p>
    <w:p>
      <w:pPr>
        <w:pStyle w:val="BodyText"/>
      </w:pPr>
      <w:hyperlink r:id="rId30">
        <w:r>
          <w:rPr>
            <w:rStyle w:val="Hyperlink"/>
          </w:rPr>
          <w:t xml:space="preserve">[13]</w:t>
        </w:r>
      </w:hyperlink>
      <w:r>
        <w:t xml:space="preserve"> </w:t>
      </w:r>
      <w:hyperlink r:id="rId30">
        <w:r>
          <w:rPr>
            <w:rStyle w:val="Hyperlink"/>
          </w:rPr>
          <w:t xml:space="preserve">[30]</w:t>
        </w:r>
      </w:hyperlink>
      <w:r>
        <w:t xml:space="preserve"> </w:t>
      </w:r>
      <w:hyperlink r:id="rId30">
        <w:r>
          <w:rPr>
            <w:rStyle w:val="Hyperlink"/>
          </w:rPr>
          <w:t xml:space="preserve">[75]</w:t>
        </w:r>
      </w:hyperlink>
      <w:r>
        <w:t xml:space="preserve"> </w:t>
      </w:r>
      <w:hyperlink r:id="rId30">
        <w:r>
          <w:rPr>
            <w:rStyle w:val="Hyperlink"/>
          </w:rPr>
          <w:t xml:space="preserve">[76]</w:t>
        </w:r>
      </w:hyperlink>
      <w:r>
        <w:t xml:space="preserve"> </w:t>
      </w:r>
      <w:hyperlink r:id="rId30">
        <w:r>
          <w:rPr>
            <w:rStyle w:val="Hyperlink"/>
          </w:rPr>
          <w:t xml:space="preserve">[77]</w:t>
        </w:r>
      </w:hyperlink>
      <w:r>
        <w:t xml:space="preserve"> </w:t>
      </w:r>
      <w:hyperlink r:id="rId30">
        <w:r>
          <w:rPr>
            <w:rStyle w:val="Hyperlink"/>
          </w:rPr>
          <w:t xml:space="preserve">[78]</w:t>
        </w:r>
      </w:hyperlink>
      <w:r>
        <w:t xml:space="preserve"> </w:t>
      </w:r>
      <w:hyperlink r:id="rId30">
        <w:r>
          <w:rPr>
            <w:rStyle w:val="Hyperlink"/>
          </w:rPr>
          <w:t xml:space="preserve">[79]</w:t>
        </w:r>
      </w:hyperlink>
      <w:r>
        <w:t xml:space="preserve"> </w:t>
      </w:r>
      <w:hyperlink r:id="rId30">
        <w:r>
          <w:rPr>
            <w:rStyle w:val="Hyperlink"/>
          </w:rPr>
          <w:t xml:space="preserve">[80]</w:t>
        </w:r>
      </w:hyperlink>
      <w:r>
        <w:t xml:space="preserve"> </w:t>
      </w:r>
      <w:r>
        <w:t xml:space="preserve">https://learn.microsoft.com/en-us/copilot/microsoft-365/microsoft-365-copilot-architecture</w:t>
      </w:r>
    </w:p>
    <w:p>
      <w:pPr>
        <w:pStyle w:val="BodyText"/>
      </w:pPr>
      <w:hyperlink r:id="rId30">
        <w:r>
          <w:rPr>
            <w:rStyle w:val="Hyperlink"/>
          </w:rPr>
          <w:t xml:space="preserve">https://learn.microsoft.com/en-us/copilot/microsoft-365/microsoft-365-copilot-architecture</w:t>
        </w:r>
      </w:hyperlink>
    </w:p>
    <w:p>
      <w:pPr>
        <w:pStyle w:val="BodyText"/>
      </w:pPr>
      <w:hyperlink r:id="rId31">
        <w:r>
          <w:rPr>
            <w:rStyle w:val="Hyperlink"/>
          </w:rPr>
          <w:t xml:space="preserve">[14]</w:t>
        </w:r>
      </w:hyperlink>
      <w:r>
        <w:t xml:space="preserve"> </w:t>
      </w:r>
      <w:hyperlink r:id="rId31">
        <w:r>
          <w:rPr>
            <w:rStyle w:val="Hyperlink"/>
          </w:rPr>
          <w:t xml:space="preserve">[29]</w:t>
        </w:r>
      </w:hyperlink>
      <w:r>
        <w:t xml:space="preserve"> </w:t>
      </w:r>
      <w:hyperlink r:id="rId31">
        <w:r>
          <w:rPr>
            <w:rStyle w:val="Hyperlink"/>
          </w:rPr>
          <w:t xml:space="preserve">[89]</w:t>
        </w:r>
      </w:hyperlink>
      <w:r>
        <w:t xml:space="preserve"> </w:t>
      </w:r>
      <w:r>
        <w:t xml:space="preserve">https://www.servicenow.com/docs/r/servicenow-platform/knowledge-management/r_KnowledgeWorkflows.html?contentId=O5iAHBMs9jE4qm0u5mu4kQ</w:t>
      </w:r>
    </w:p>
    <w:p>
      <w:pPr>
        <w:pStyle w:val="BodyText"/>
      </w:pPr>
      <w:hyperlink r:id="rId31">
        <w:r>
          <w:rPr>
            <w:rStyle w:val="Hyperlink"/>
          </w:rPr>
          <w:t xml:space="preserve">https://www.servicenow.com/docs/r/servicenow-platform/knowledge-management/r_KnowledgeWorkflows.html?contentId=O5iAHBMs9jE4qm0u5mu4kQ</w:t>
        </w:r>
      </w:hyperlink>
    </w:p>
    <w:p>
      <w:pPr>
        <w:pStyle w:val="BodyText"/>
      </w:pPr>
      <w:hyperlink r:id="rId32">
        <w:r>
          <w:rPr>
            <w:rStyle w:val="Hyperlink"/>
          </w:rPr>
          <w:t xml:space="preserve">[15]</w:t>
        </w:r>
      </w:hyperlink>
      <w:r>
        <w:t xml:space="preserve"> </w:t>
      </w:r>
      <w:hyperlink r:id="rId32">
        <w:r>
          <w:rPr>
            <w:rStyle w:val="Hyperlink"/>
          </w:rPr>
          <w:t xml:space="preserve">[66]</w:t>
        </w:r>
      </w:hyperlink>
      <w:r>
        <w:t xml:space="preserve"> </w:t>
      </w:r>
      <w:r>
        <w:t xml:space="preserve">https://archive.org/details/tacitdimension0000pola</w:t>
      </w:r>
    </w:p>
    <w:p>
      <w:pPr>
        <w:pStyle w:val="BodyText"/>
      </w:pPr>
      <w:hyperlink r:id="rId32">
        <w:r>
          <w:rPr>
            <w:rStyle w:val="Hyperlink"/>
          </w:rPr>
          <w:t xml:space="preserve">https://archive.org/details/tacitdimension0000pola</w:t>
        </w:r>
      </w:hyperlink>
    </w:p>
    <w:p>
      <w:pPr>
        <w:pStyle w:val="BodyText"/>
      </w:pPr>
      <w:hyperlink r:id="rId33">
        <w:r>
          <w:rPr>
            <w:rStyle w:val="Hyperlink"/>
          </w:rPr>
          <w:t xml:space="preserve">[16]</w:t>
        </w:r>
      </w:hyperlink>
      <w:r>
        <w:t xml:space="preserve"> </w:t>
      </w:r>
      <w:r>
        <w:t xml:space="preserve">https://www.avannistelrooij.nl/wp/wp-content/uploads/2017/11/Argyris-1977-Double-Loop-Learning-in-Organisations-HBR.pdf</w:t>
      </w:r>
    </w:p>
    <w:p>
      <w:pPr>
        <w:pStyle w:val="BodyText"/>
      </w:pPr>
      <w:hyperlink r:id="rId33">
        <w:r>
          <w:rPr>
            <w:rStyle w:val="Hyperlink"/>
          </w:rPr>
          <w:t xml:space="preserve">https://www.avannistelrooij.nl/wp/wp-content/uploads/2017/11/Argyris-1977-Double-Loop-Learning-in-Organisations-HBR.pdf</w:t>
        </w:r>
      </w:hyperlink>
    </w:p>
    <w:p>
      <w:pPr>
        <w:pStyle w:val="BodyText"/>
      </w:pPr>
      <w:hyperlink r:id="rId34">
        <w:r>
          <w:rPr>
            <w:rStyle w:val="Hyperlink"/>
          </w:rPr>
          <w:t xml:space="preserve">[17]</w:t>
        </w:r>
      </w:hyperlink>
      <w:r>
        <w:t xml:space="preserve"> </w:t>
      </w:r>
      <w:hyperlink r:id="rId34">
        <w:r>
          <w:rPr>
            <w:rStyle w:val="Hyperlink"/>
          </w:rPr>
          <w:t xml:space="preserve">[26]</w:t>
        </w:r>
      </w:hyperlink>
      <w:r>
        <w:t xml:space="preserve"> </w:t>
      </w:r>
      <w:hyperlink r:id="rId34">
        <w:r>
          <w:rPr>
            <w:rStyle w:val="Hyperlink"/>
          </w:rPr>
          <w:t xml:space="preserve">[35]</w:t>
        </w:r>
      </w:hyperlink>
      <w:r>
        <w:t xml:space="preserve"> </w:t>
      </w:r>
      <w:hyperlink r:id="rId34">
        <w:r>
          <w:rPr>
            <w:rStyle w:val="Hyperlink"/>
          </w:rPr>
          <w:t xml:space="preserve">[42]</w:t>
        </w:r>
      </w:hyperlink>
      <w:r>
        <w:t xml:space="preserve"> </w:t>
      </w:r>
      <w:hyperlink r:id="rId34">
        <w:r>
          <w:rPr>
            <w:rStyle w:val="Hyperlink"/>
          </w:rPr>
          <w:t xml:space="preserve">[43]</w:t>
        </w:r>
      </w:hyperlink>
      <w:r>
        <w:t xml:space="preserve"> </w:t>
      </w:r>
      <w:hyperlink r:id="rId34">
        <w:r>
          <w:rPr>
            <w:rStyle w:val="Hyperlink"/>
          </w:rPr>
          <w:t xml:space="preserve">[44]</w:t>
        </w:r>
      </w:hyperlink>
      <w:r>
        <w:t xml:space="preserve"> </w:t>
      </w:r>
      <w:hyperlink r:id="rId34">
        <w:r>
          <w:rPr>
            <w:rStyle w:val="Hyperlink"/>
          </w:rPr>
          <w:t xml:space="preserve">[45]</w:t>
        </w:r>
      </w:hyperlink>
      <w:r>
        <w:t xml:space="preserve"> </w:t>
      </w:r>
      <w:hyperlink r:id="rId34">
        <w:r>
          <w:rPr>
            <w:rStyle w:val="Hyperlink"/>
          </w:rPr>
          <w:t xml:space="preserve">[46]</w:t>
        </w:r>
      </w:hyperlink>
      <w:r>
        <w:t xml:space="preserve"> </w:t>
      </w:r>
      <w:hyperlink r:id="rId34">
        <w:r>
          <w:rPr>
            <w:rStyle w:val="Hyperlink"/>
          </w:rPr>
          <w:t xml:space="preserve">[50]</w:t>
        </w:r>
      </w:hyperlink>
      <w:r>
        <w:t xml:space="preserve"> </w:t>
      </w:r>
      <w:hyperlink r:id="rId34">
        <w:r>
          <w:rPr>
            <w:rStyle w:val="Hyperlink"/>
          </w:rPr>
          <w:t xml:space="preserve">[60]</w:t>
        </w:r>
      </w:hyperlink>
      <w:r>
        <w:t xml:space="preserve"> </w:t>
      </w:r>
      <w:hyperlink r:id="rId34">
        <w:r>
          <w:rPr>
            <w:rStyle w:val="Hyperlink"/>
          </w:rPr>
          <w:t xml:space="preserve">[91]</w:t>
        </w:r>
      </w:hyperlink>
      <w:r>
        <w:t xml:space="preserve"> </w:t>
      </w:r>
      <w:r>
        <w:t xml:space="preserve">https://nlp.stanford.edu/IR-book/pdf/irbookonlinereading.pdf</w:t>
      </w:r>
    </w:p>
    <w:p>
      <w:pPr>
        <w:pStyle w:val="BodyText"/>
      </w:pPr>
      <w:hyperlink r:id="rId34">
        <w:r>
          <w:rPr>
            <w:rStyle w:val="Hyperlink"/>
          </w:rPr>
          <w:t xml:space="preserve">https://nlp.stanford.edu/IR-book/pdf/irbookonlinereading.pdf</w:t>
        </w:r>
      </w:hyperlink>
    </w:p>
    <w:p>
      <w:pPr>
        <w:pStyle w:val="BodyText"/>
      </w:pPr>
      <w:hyperlink r:id="rId35">
        <w:r>
          <w:rPr>
            <w:rStyle w:val="Hyperlink"/>
          </w:rPr>
          <w:t xml:space="preserve">[18]</w:t>
        </w:r>
      </w:hyperlink>
      <w:r>
        <w:t xml:space="preserve"> </w:t>
      </w:r>
      <w:hyperlink r:id="rId35">
        <w:r>
          <w:rPr>
            <w:rStyle w:val="Hyperlink"/>
          </w:rPr>
          <w:t xml:space="preserve">[24]</w:t>
        </w:r>
      </w:hyperlink>
      <w:r>
        <w:t xml:space="preserve"> </w:t>
      </w:r>
      <w:hyperlink r:id="rId35">
        <w:r>
          <w:rPr>
            <w:rStyle w:val="Hyperlink"/>
          </w:rPr>
          <w:t xml:space="preserve">[39]</w:t>
        </w:r>
      </w:hyperlink>
      <w:r>
        <w:t xml:space="preserve"> </w:t>
      </w:r>
      <w:r>
        <w:t xml:space="preserve">https://tomgruber.org/writing/definition-of-ontology.pdf</w:t>
      </w:r>
    </w:p>
    <w:p>
      <w:pPr>
        <w:pStyle w:val="BodyText"/>
      </w:pPr>
      <w:hyperlink r:id="rId35">
        <w:r>
          <w:rPr>
            <w:rStyle w:val="Hyperlink"/>
          </w:rPr>
          <w:t xml:space="preserve">https://tomgruber.org/writing/definition-of-ontology.pdf</w:t>
        </w:r>
      </w:hyperlink>
    </w:p>
    <w:p>
      <w:pPr>
        <w:pStyle w:val="BodyText"/>
      </w:pPr>
      <w:hyperlink r:id="rId36">
        <w:r>
          <w:rPr>
            <w:rStyle w:val="Hyperlink"/>
          </w:rPr>
          <w:t xml:space="preserve">[19]</w:t>
        </w:r>
      </w:hyperlink>
      <w:r>
        <w:t xml:space="preserve"> </w:t>
      </w:r>
      <w:r>
        <w:t xml:space="preserve">https://arxiv.org/abs/1706.03762</w:t>
      </w:r>
    </w:p>
    <w:p>
      <w:pPr>
        <w:pStyle w:val="BodyText"/>
      </w:pPr>
      <w:hyperlink r:id="rId36">
        <w:r>
          <w:rPr>
            <w:rStyle w:val="Hyperlink"/>
          </w:rPr>
          <w:t xml:space="preserve">https://arxiv.org/abs/1706.03762</w:t>
        </w:r>
      </w:hyperlink>
    </w:p>
    <w:p>
      <w:pPr>
        <w:pStyle w:val="BodyText"/>
      </w:pPr>
      <w:hyperlink r:id="rId37">
        <w:r>
          <w:rPr>
            <w:rStyle w:val="Hyperlink"/>
          </w:rPr>
          <w:t xml:space="preserve">[20]</w:t>
        </w:r>
      </w:hyperlink>
      <w:r>
        <w:t xml:space="preserve"> </w:t>
      </w:r>
      <w:r>
        <w:t xml:space="preserve">https://netman.aiops.org/~peidan/ANM2018/6.AnomalyLocalization/ReadingLists/Gama-2014-A%20survey%20on%20concept%20drift%20adaptation.pdf.pdf</w:t>
      </w:r>
    </w:p>
    <w:p>
      <w:pPr>
        <w:pStyle w:val="BodyText"/>
      </w:pPr>
      <w:hyperlink r:id="rId37">
        <w:r>
          <w:rPr>
            <w:rStyle w:val="Hyperlink"/>
          </w:rPr>
          <w:t xml:space="preserve">https://netman.aiops.org/~peidan/ANM2018/6.AnomalyLocalization/ReadingLists/Gama-2014-A%20survey%20on%20concept%20drift%20adaptation.pdf.pdf</w:t>
        </w:r>
      </w:hyperlink>
    </w:p>
    <w:p>
      <w:pPr>
        <w:pStyle w:val="BodyText"/>
      </w:pPr>
      <w:hyperlink r:id="rId38">
        <w:r>
          <w:rPr>
            <w:rStyle w:val="Hyperlink"/>
          </w:rPr>
          <w:t xml:space="preserve">[21]</w:t>
        </w:r>
      </w:hyperlink>
      <w:r>
        <w:t xml:space="preserve"> </w:t>
      </w:r>
      <w:hyperlink r:id="rId38">
        <w:r>
          <w:rPr>
            <w:rStyle w:val="Hyperlink"/>
          </w:rPr>
          <w:t xml:space="preserve">[109]</w:t>
        </w:r>
      </w:hyperlink>
      <w:r>
        <w:t xml:space="preserve"> </w:t>
      </w:r>
      <w:r>
        <w:t xml:space="preserve">https://www.coveo.com/en/platform</w:t>
      </w:r>
    </w:p>
    <w:p>
      <w:pPr>
        <w:pStyle w:val="BodyText"/>
      </w:pPr>
      <w:hyperlink r:id="rId38">
        <w:r>
          <w:rPr>
            <w:rStyle w:val="Hyperlink"/>
          </w:rPr>
          <w:t xml:space="preserve">https://www.coveo.com/en/platform</w:t>
        </w:r>
      </w:hyperlink>
    </w:p>
    <w:p>
      <w:pPr>
        <w:pStyle w:val="BodyText"/>
      </w:pPr>
      <w:hyperlink r:id="rId39">
        <w:r>
          <w:rPr>
            <w:rStyle w:val="Hyperlink"/>
          </w:rPr>
          <w:t xml:space="preserve">[22]</w:t>
        </w:r>
      </w:hyperlink>
      <w:r>
        <w:t xml:space="preserve"> </w:t>
      </w:r>
      <w:hyperlink r:id="rId39">
        <w:r>
          <w:rPr>
            <w:rStyle w:val="Hyperlink"/>
          </w:rPr>
          <w:t xml:space="preserve">[49]</w:t>
        </w:r>
      </w:hyperlink>
      <w:r>
        <w:t xml:space="preserve"> </w:t>
      </w:r>
      <w:hyperlink r:id="rId39">
        <w:r>
          <w:rPr>
            <w:rStyle w:val="Hyperlink"/>
          </w:rPr>
          <w:t xml:space="preserve">[55]</w:t>
        </w:r>
      </w:hyperlink>
      <w:r>
        <w:t xml:space="preserve"> </w:t>
      </w:r>
      <w:hyperlink r:id="rId39">
        <w:r>
          <w:rPr>
            <w:rStyle w:val="Hyperlink"/>
          </w:rPr>
          <w:t xml:space="preserve">[71]</w:t>
        </w:r>
      </w:hyperlink>
      <w:r>
        <w:t xml:space="preserve"> </w:t>
      </w:r>
      <w:r>
        <w:t xml:space="preserve">https://nvlpubs.nist.gov/nistpubs/ai/nist.ai.100-1.pdf</w:t>
      </w:r>
    </w:p>
    <w:p>
      <w:pPr>
        <w:pStyle w:val="BodyText"/>
      </w:pPr>
      <w:hyperlink r:id="rId39">
        <w:r>
          <w:rPr>
            <w:rStyle w:val="Hyperlink"/>
          </w:rPr>
          <w:t xml:space="preserve">https://nvlpubs.nist.gov/nistpubs/ai/nist.ai.100-1.pdf</w:t>
        </w:r>
      </w:hyperlink>
    </w:p>
    <w:p>
      <w:pPr>
        <w:pStyle w:val="BodyText"/>
      </w:pPr>
      <w:hyperlink r:id="rId41">
        <w:r>
          <w:rPr>
            <w:rStyle w:val="Hyperlink"/>
          </w:rPr>
          <w:t xml:space="preserve">[23]</w:t>
        </w:r>
      </w:hyperlink>
      <w:r>
        <w:t xml:space="preserve"> </w:t>
      </w:r>
      <w:r>
        <w:t xml:space="preserve">https://www.iso.org/standard/53657.html</w:t>
      </w:r>
    </w:p>
    <w:p>
      <w:pPr>
        <w:pStyle w:val="BodyText"/>
      </w:pPr>
      <w:hyperlink r:id="rId41">
        <w:r>
          <w:rPr>
            <w:rStyle w:val="Hyperlink"/>
          </w:rPr>
          <w:t xml:space="preserve">https://www.iso.org/standard/53657.html</w:t>
        </w:r>
      </w:hyperlink>
    </w:p>
    <w:p>
      <w:pPr>
        <w:pStyle w:val="BodyText"/>
      </w:pPr>
      <w:hyperlink r:id="rId42">
        <w:r>
          <w:rPr>
            <w:rStyle w:val="Hyperlink"/>
          </w:rPr>
          <w:t xml:space="preserve">[25]</w:t>
        </w:r>
      </w:hyperlink>
      <w:r>
        <w:t xml:space="preserve"> </w:t>
      </w:r>
      <w:hyperlink r:id="rId42">
        <w:r>
          <w:rPr>
            <w:rStyle w:val="Hyperlink"/>
          </w:rPr>
          <w:t xml:space="preserve">[31]</w:t>
        </w:r>
      </w:hyperlink>
      <w:r>
        <w:t xml:space="preserve"> </w:t>
      </w:r>
      <w:r>
        <w:t xml:space="preserve">https://aidanhogan.com/docs/knowledge-graphs-computing-surveys.pdf</w:t>
      </w:r>
    </w:p>
    <w:p>
      <w:pPr>
        <w:pStyle w:val="BodyText"/>
      </w:pPr>
      <w:hyperlink r:id="rId42">
        <w:r>
          <w:rPr>
            <w:rStyle w:val="Hyperlink"/>
          </w:rPr>
          <w:t xml:space="preserve">https://aidanhogan.com/docs/knowledge-graphs-computing-surveys.pdf</w:t>
        </w:r>
      </w:hyperlink>
    </w:p>
    <w:p>
      <w:pPr>
        <w:pStyle w:val="BodyText"/>
      </w:pPr>
      <w:hyperlink r:id="rId43">
        <w:r>
          <w:rPr>
            <w:rStyle w:val="Hyperlink"/>
          </w:rPr>
          <w:t xml:space="preserve">[28]</w:t>
        </w:r>
      </w:hyperlink>
      <w:r>
        <w:t xml:space="preserve"> </w:t>
      </w:r>
      <w:hyperlink r:id="rId43">
        <w:r>
          <w:rPr>
            <w:rStyle w:val="Hyperlink"/>
          </w:rPr>
          <w:t xml:space="preserve">[34]</w:t>
        </w:r>
      </w:hyperlink>
      <w:r>
        <w:t xml:space="preserve"> </w:t>
      </w:r>
      <w:hyperlink r:id="rId43">
        <w:r>
          <w:rPr>
            <w:rStyle w:val="Hyperlink"/>
          </w:rPr>
          <w:t xml:space="preserve">[67]</w:t>
        </w:r>
      </w:hyperlink>
      <w:r>
        <w:t xml:space="preserve"> </w:t>
      </w:r>
      <w:hyperlink r:id="rId43">
        <w:r>
          <w:rPr>
            <w:rStyle w:val="Hyperlink"/>
          </w:rPr>
          <w:t xml:space="preserve">[127]</w:t>
        </w:r>
      </w:hyperlink>
      <w:r>
        <w:t xml:space="preserve"> </w:t>
      </w:r>
      <w:r>
        <w:t xml:space="preserve">https://arxiv.org/abs/2005.11401</w:t>
      </w:r>
    </w:p>
    <w:p>
      <w:pPr>
        <w:pStyle w:val="BodyText"/>
      </w:pPr>
      <w:hyperlink r:id="rId43">
        <w:r>
          <w:rPr>
            <w:rStyle w:val="Hyperlink"/>
          </w:rPr>
          <w:t xml:space="preserve">https://arxiv.org/abs/2005.11401</w:t>
        </w:r>
      </w:hyperlink>
    </w:p>
    <w:p>
      <w:pPr>
        <w:pStyle w:val="BodyText"/>
      </w:pPr>
      <w:hyperlink r:id="rId46">
        <w:r>
          <w:rPr>
            <w:rStyle w:val="Hyperlink"/>
          </w:rPr>
          <w:t xml:space="preserve">[32]</w:t>
        </w:r>
      </w:hyperlink>
      <w:r>
        <w:t xml:space="preserve"> </w:t>
      </w:r>
      <w:hyperlink r:id="rId46">
        <w:r>
          <w:rPr>
            <w:rStyle w:val="Hyperlink"/>
          </w:rPr>
          <w:t xml:space="preserve">[48]</w:t>
        </w:r>
      </w:hyperlink>
      <w:r>
        <w:t xml:space="preserve"> </w:t>
      </w:r>
      <w:hyperlink r:id="rId46">
        <w:r>
          <w:rPr>
            <w:rStyle w:val="Hyperlink"/>
          </w:rPr>
          <w:t xml:space="preserve">[56]</w:t>
        </w:r>
      </w:hyperlink>
      <w:r>
        <w:t xml:space="preserve"> </w:t>
      </w:r>
      <w:hyperlink r:id="rId46">
        <w:r>
          <w:rPr>
            <w:rStyle w:val="Hyperlink"/>
          </w:rPr>
          <w:t xml:space="preserve">[59]</w:t>
        </w:r>
      </w:hyperlink>
      <w:r>
        <w:t xml:space="preserve"> </w:t>
      </w:r>
      <w:hyperlink r:id="rId46">
        <w:r>
          <w:rPr>
            <w:rStyle w:val="Hyperlink"/>
          </w:rPr>
          <w:t xml:space="preserve">[107]</w:t>
        </w:r>
      </w:hyperlink>
      <w:r>
        <w:t xml:space="preserve"> </w:t>
      </w:r>
      <w:r>
        <w:t xml:space="preserve">https://www.serviceinnovation.org/included/docs/KCS_v6_Practices_Guide_2023_06_08.pdf</w:t>
      </w:r>
    </w:p>
    <w:p>
      <w:pPr>
        <w:pStyle w:val="BodyText"/>
      </w:pPr>
      <w:hyperlink r:id="rId46">
        <w:r>
          <w:rPr>
            <w:rStyle w:val="Hyperlink"/>
          </w:rPr>
          <w:t xml:space="preserve">https://www.serviceinnovation.org/included/docs/KCS_v6_Practices_Guide_2023_06_08.pdf</w:t>
        </w:r>
      </w:hyperlink>
    </w:p>
    <w:p>
      <w:pPr>
        <w:pStyle w:val="BodyText"/>
      </w:pPr>
      <w:hyperlink r:id="rId47">
        <w:r>
          <w:rPr>
            <w:rStyle w:val="Hyperlink"/>
          </w:rPr>
          <w:t xml:space="preserve">[33]</w:t>
        </w:r>
      </w:hyperlink>
      <w:r>
        <w:t xml:space="preserve"> </w:t>
      </w:r>
      <w:hyperlink r:id="rId47">
        <w:r>
          <w:rPr>
            <w:rStyle w:val="Hyperlink"/>
          </w:rPr>
          <w:t xml:space="preserve">[58]</w:t>
        </w:r>
      </w:hyperlink>
      <w:r>
        <w:t xml:space="preserve"> </w:t>
      </w:r>
      <w:hyperlink r:id="rId47">
        <w:r>
          <w:rPr>
            <w:rStyle w:val="Hyperlink"/>
          </w:rPr>
          <w:t xml:space="preserve">[87]</w:t>
        </w:r>
      </w:hyperlink>
      <w:r>
        <w:t xml:space="preserve"> </w:t>
      </w:r>
      <w:hyperlink r:id="rId47">
        <w:r>
          <w:rPr>
            <w:rStyle w:val="Hyperlink"/>
          </w:rPr>
          <w:t xml:space="preserve">[88]</w:t>
        </w:r>
      </w:hyperlink>
      <w:r>
        <w:t xml:space="preserve"> </w:t>
      </w:r>
      <w:hyperlink r:id="rId47">
        <w:r>
          <w:rPr>
            <w:rStyle w:val="Hyperlink"/>
          </w:rPr>
          <w:t xml:space="preserve">[90]</w:t>
        </w:r>
      </w:hyperlink>
      <w:r>
        <w:t xml:space="preserve"> </w:t>
      </w:r>
      <w:r>
        <w:t xml:space="preserve">https://www.servicenow.com/docs/r/servicenow-platform/now-assist-in-knowledge-management/now-assist-knowledge-management.html</w:t>
      </w:r>
    </w:p>
    <w:p>
      <w:pPr>
        <w:pStyle w:val="BodyText"/>
      </w:pPr>
      <w:hyperlink r:id="rId47">
        <w:r>
          <w:rPr>
            <w:rStyle w:val="Hyperlink"/>
          </w:rPr>
          <w:t xml:space="preserve">https://www.servicenow.com/docs/r/servicenow-platform/now-assist-in-knowledge-management/now-assist-knowledge-management.html</w:t>
        </w:r>
      </w:hyperlink>
    </w:p>
    <w:p>
      <w:pPr>
        <w:pStyle w:val="BodyText"/>
      </w:pPr>
      <w:hyperlink r:id="rId48">
        <w:r>
          <w:rPr>
            <w:rStyle w:val="Hyperlink"/>
          </w:rPr>
          <w:t xml:space="preserve">[37]</w:t>
        </w:r>
      </w:hyperlink>
      <w:r>
        <w:t xml:space="preserve"> </w:t>
      </w:r>
      <w:hyperlink r:id="rId48">
        <w:r>
          <w:rPr>
            <w:rStyle w:val="Hyperlink"/>
          </w:rPr>
          <w:t xml:space="preserve">[51]</w:t>
        </w:r>
      </w:hyperlink>
      <w:r>
        <w:t xml:space="preserve"> </w:t>
      </w:r>
      <w:r>
        <w:t xml:space="preserve">https://www.bio-itworld.com/docs/librariesprovider76/whitepapers/the-sinequa-espresso-guide-to-intelligent-search-whitepaper.pdf</w:t>
      </w:r>
    </w:p>
    <w:p>
      <w:pPr>
        <w:pStyle w:val="BodyText"/>
      </w:pPr>
      <w:hyperlink r:id="rId48">
        <w:r>
          <w:rPr>
            <w:rStyle w:val="Hyperlink"/>
          </w:rPr>
          <w:t xml:space="preserve">https://www.bio-itworld.com/docs/librariesprovider76/whitepapers/the-sinequa-espresso-guide-to-intelligent-search-whitepaper.pdf</w:t>
        </w:r>
      </w:hyperlink>
    </w:p>
    <w:p>
      <w:pPr>
        <w:pStyle w:val="BodyText"/>
      </w:pPr>
      <w:hyperlink r:id="rId49">
        <w:r>
          <w:rPr>
            <w:rStyle w:val="Hyperlink"/>
          </w:rPr>
          <w:t xml:space="preserve">[38]</w:t>
        </w:r>
      </w:hyperlink>
      <w:r>
        <w:t xml:space="preserve"> </w:t>
      </w:r>
      <w:hyperlink r:id="rId49">
        <w:r>
          <w:rPr>
            <w:rStyle w:val="Hyperlink"/>
          </w:rPr>
          <w:t xml:space="preserve">[41]</w:t>
        </w:r>
      </w:hyperlink>
      <w:r>
        <w:t xml:space="preserve"> </w:t>
      </w:r>
      <w:hyperlink r:id="rId49">
        <w:r>
          <w:rPr>
            <w:rStyle w:val="Hyperlink"/>
          </w:rPr>
          <w:t xml:space="preserve">[47]</w:t>
        </w:r>
      </w:hyperlink>
      <w:r>
        <w:t xml:space="preserve"> </w:t>
      </w:r>
      <w:r>
        <w:t xml:space="preserve">https://cdn.featuredcustomers.com/CustomerCaseStudy.document/Trouba_Finserv_Anon_Case_Study_Coveo.pdf</w:t>
      </w:r>
    </w:p>
    <w:p>
      <w:pPr>
        <w:pStyle w:val="BodyText"/>
      </w:pPr>
      <w:hyperlink r:id="rId49">
        <w:r>
          <w:rPr>
            <w:rStyle w:val="Hyperlink"/>
          </w:rPr>
          <w:t xml:space="preserve">https://cdn.featuredcustomers.com/CustomerCaseStudy.document/Trouba_Finserv_Anon_Case_Study_Coveo.pdf</w:t>
        </w:r>
      </w:hyperlink>
    </w:p>
    <w:p>
      <w:pPr>
        <w:pStyle w:val="BodyText"/>
      </w:pPr>
      <w:hyperlink r:id="rId52">
        <w:r>
          <w:rPr>
            <w:rStyle w:val="Hyperlink"/>
          </w:rPr>
          <w:t xml:space="preserve">[53]</w:t>
        </w:r>
      </w:hyperlink>
      <w:r>
        <w:t xml:space="preserve"> </w:t>
      </w:r>
      <w:r>
        <w:t xml:space="preserve">https://learn.microsoft.com/en-us/sharepoint/restricted-sharepoint-search</w:t>
      </w:r>
    </w:p>
    <w:p>
      <w:pPr>
        <w:pStyle w:val="BodyText"/>
      </w:pPr>
      <w:hyperlink r:id="rId52">
        <w:r>
          <w:rPr>
            <w:rStyle w:val="Hyperlink"/>
          </w:rPr>
          <w:t xml:space="preserve">https://learn.microsoft.com/en-us/sharepoint/restricted-sharepoint-search</w:t>
        </w:r>
      </w:hyperlink>
    </w:p>
    <w:p>
      <w:pPr>
        <w:pStyle w:val="BodyText"/>
      </w:pPr>
      <w:hyperlink r:id="rId55">
        <w:r>
          <w:rPr>
            <w:rStyle w:val="Hyperlink"/>
          </w:rPr>
          <w:t xml:space="preserve">[61]</w:t>
        </w:r>
      </w:hyperlink>
      <w:r>
        <w:t xml:space="preserve"> </w:t>
      </w:r>
      <w:r>
        <w:t xml:space="preserve">https://www.apqc.org/resource-library/resource-listing/apqcs-levels-knowledge-management-maturity</w:t>
      </w:r>
    </w:p>
    <w:p>
      <w:pPr>
        <w:pStyle w:val="BodyText"/>
      </w:pPr>
      <w:hyperlink r:id="rId55">
        <w:r>
          <w:rPr>
            <w:rStyle w:val="Hyperlink"/>
          </w:rPr>
          <w:t xml:space="preserve">https://www.apqc.org/resource-library/resource-listing/apqcs-levels-knowledge-management-maturity</w:t>
        </w:r>
      </w:hyperlink>
    </w:p>
    <w:p>
      <w:pPr>
        <w:pStyle w:val="BodyText"/>
      </w:pPr>
      <w:hyperlink r:id="rId56">
        <w:r>
          <w:rPr>
            <w:rStyle w:val="Hyperlink"/>
          </w:rPr>
          <w:t xml:space="preserve">[62]</w:t>
        </w:r>
      </w:hyperlink>
      <w:r>
        <w:t xml:space="preserve"> </w:t>
      </w:r>
      <w:hyperlink r:id="rId56">
        <w:r>
          <w:rPr>
            <w:rStyle w:val="Hyperlink"/>
          </w:rPr>
          <w:t xml:space="preserve">[115]</w:t>
        </w:r>
      </w:hyperlink>
      <w:r>
        <w:t xml:space="preserve"> </w:t>
      </w:r>
      <w:hyperlink r:id="rId56">
        <w:r>
          <w:rPr>
            <w:rStyle w:val="Hyperlink"/>
          </w:rPr>
          <w:t xml:space="preserve">[116]</w:t>
        </w:r>
      </w:hyperlink>
      <w:r>
        <w:t xml:space="preserve"> </w:t>
      </w:r>
      <w:r>
        <w:t xml:space="preserve">https://www.chapsvision.com/en-us/platform/sinequa/</w:t>
      </w:r>
    </w:p>
    <w:p>
      <w:pPr>
        <w:pStyle w:val="BodyText"/>
      </w:pPr>
      <w:hyperlink r:id="rId56">
        <w:r>
          <w:rPr>
            <w:rStyle w:val="Hyperlink"/>
          </w:rPr>
          <w:t xml:space="preserve">https://www.chapsvision.com/en-us/platform/sinequa/</w:t>
        </w:r>
      </w:hyperlink>
    </w:p>
    <w:p>
      <w:pPr>
        <w:pStyle w:val="BodyText"/>
      </w:pPr>
      <w:hyperlink r:id="rId57">
        <w:r>
          <w:rPr>
            <w:rStyle w:val="Hyperlink"/>
          </w:rPr>
          <w:t xml:space="preserve">[63]</w:t>
        </w:r>
      </w:hyperlink>
      <w:r>
        <w:t xml:space="preserve"> </w:t>
      </w:r>
      <w:hyperlink r:id="rId57">
        <w:r>
          <w:rPr>
            <w:rStyle w:val="Hyperlink"/>
          </w:rPr>
          <w:t xml:space="preserve">[65]</w:t>
        </w:r>
      </w:hyperlink>
      <w:r>
        <w:t xml:space="preserve"> </w:t>
      </w:r>
      <w:r>
        <w:t xml:space="preserve">https://www.forrester.com/policies/tei/</w:t>
      </w:r>
    </w:p>
    <w:p>
      <w:pPr>
        <w:pStyle w:val="BodyText"/>
      </w:pPr>
      <w:hyperlink r:id="rId57">
        <w:r>
          <w:rPr>
            <w:rStyle w:val="Hyperlink"/>
          </w:rPr>
          <w:t xml:space="preserve">https://www.forrester.com/policies/tei/</w:t>
        </w:r>
      </w:hyperlink>
    </w:p>
    <w:p>
      <w:pPr>
        <w:pStyle w:val="BodyText"/>
      </w:pPr>
      <w:hyperlink r:id="rId58">
        <w:r>
          <w:rPr>
            <w:rStyle w:val="Hyperlink"/>
          </w:rPr>
          <w:t xml:space="preserve">[64]</w:t>
        </w:r>
      </w:hyperlink>
      <w:r>
        <w:t xml:space="preserve"> </w:t>
      </w:r>
      <w:r>
        <w:t xml:space="preserve">https://www.hbs.edu/ris/Publication%20Files/04-045_d62528d4-7931-4ea1-a205-d9683c639d6e.pdf</w:t>
      </w:r>
    </w:p>
    <w:p>
      <w:pPr>
        <w:pStyle w:val="BodyText"/>
      </w:pPr>
      <w:hyperlink r:id="rId58">
        <w:r>
          <w:rPr>
            <w:rStyle w:val="Hyperlink"/>
          </w:rPr>
          <w:t xml:space="preserve">https://www.hbs.edu/ris/Publication%20Files/04-045_d62528d4-7931-4ea1-a205-d9683c639d6e.pdf</w:t>
        </w:r>
      </w:hyperlink>
    </w:p>
    <w:p>
      <w:pPr>
        <w:pStyle w:val="BodyText"/>
      </w:pPr>
      <w:hyperlink r:id="rId61">
        <w:r>
          <w:rPr>
            <w:rStyle w:val="Hyperlink"/>
          </w:rPr>
          <w:t xml:space="preserve">[69]</w:t>
        </w:r>
      </w:hyperlink>
      <w:r>
        <w:t xml:space="preserve"> </w:t>
      </w:r>
      <w:r>
        <w:t xml:space="preserve">https://eur-lex.europa.eu/legal-content/EN/TXT/PDF/?uri=OJ%3AL_202401689</w:t>
      </w:r>
    </w:p>
    <w:p>
      <w:pPr>
        <w:pStyle w:val="BodyText"/>
      </w:pPr>
      <w:hyperlink r:id="rId61">
        <w:r>
          <w:rPr>
            <w:rStyle w:val="Hyperlink"/>
          </w:rPr>
          <w:t xml:space="preserve">https://eur-lex.europa.eu/legal-content/EN/TXT/PDF/?uri=OJ%3AL_202401689</w:t>
        </w:r>
      </w:hyperlink>
    </w:p>
    <w:p>
      <w:pPr>
        <w:pStyle w:val="BodyText"/>
      </w:pPr>
      <w:hyperlink r:id="rId62">
        <w:r>
          <w:rPr>
            <w:rStyle w:val="Hyperlink"/>
          </w:rPr>
          <w:t xml:space="preserve">[70]</w:t>
        </w:r>
      </w:hyperlink>
      <w:r>
        <w:t xml:space="preserve"> </w:t>
      </w:r>
      <w:r>
        <w:t xml:space="preserve">https://enterprise.gov.ie/en/what-we-do/innovation-research-development/artificial-intelligence/eu-ai-act/</w:t>
      </w:r>
    </w:p>
    <w:p>
      <w:pPr>
        <w:pStyle w:val="BodyText"/>
      </w:pPr>
      <w:hyperlink r:id="rId62">
        <w:r>
          <w:rPr>
            <w:rStyle w:val="Hyperlink"/>
          </w:rPr>
          <w:t xml:space="preserve">https://enterprise.gov.ie/en/what-we-do/innovation-research-development/artificial-intelligence/eu-ai-act/</w:t>
        </w:r>
      </w:hyperlink>
    </w:p>
    <w:p>
      <w:pPr>
        <w:pStyle w:val="BodyText"/>
      </w:pPr>
      <w:hyperlink r:id="rId64">
        <w:r>
          <w:rPr>
            <w:rStyle w:val="Hyperlink"/>
          </w:rPr>
          <w:t xml:space="preserve">[72]</w:t>
        </w:r>
      </w:hyperlink>
      <w:r>
        <w:t xml:space="preserve"> </w:t>
      </w:r>
      <w:hyperlink r:id="rId64">
        <w:r>
          <w:rPr>
            <w:rStyle w:val="Hyperlink"/>
          </w:rPr>
          <w:t xml:space="preserve">[114]</w:t>
        </w:r>
      </w:hyperlink>
      <w:r>
        <w:t xml:space="preserve"> </w:t>
      </w:r>
      <w:r>
        <w:t xml:space="preserve">https://www.sinequa.com/product/</w:t>
      </w:r>
    </w:p>
    <w:p>
      <w:pPr>
        <w:pStyle w:val="BodyText"/>
      </w:pPr>
      <w:hyperlink r:id="rId64">
        <w:r>
          <w:rPr>
            <w:rStyle w:val="Hyperlink"/>
          </w:rPr>
          <w:t xml:space="preserve">https://www.sinequa.com/product/</w:t>
        </w:r>
      </w:hyperlink>
    </w:p>
    <w:p>
      <w:pPr>
        <w:pStyle w:val="BodyText"/>
      </w:pPr>
      <w:hyperlink r:id="rId65">
        <w:r>
          <w:rPr>
            <w:rStyle w:val="Hyperlink"/>
          </w:rPr>
          <w:t xml:space="preserve">[73]</w:t>
        </w:r>
      </w:hyperlink>
      <w:r>
        <w:t xml:space="preserve"> </w:t>
      </w:r>
      <w:hyperlink r:id="rId65">
        <w:r>
          <w:rPr>
            <w:rStyle w:val="Hyperlink"/>
          </w:rPr>
          <w:t xml:space="preserve">[122]</w:t>
        </w:r>
      </w:hyperlink>
      <w:r>
        <w:t xml:space="preserve"> </w:t>
      </w:r>
      <w:r>
        <w:t xml:space="preserve">https://open-metadata.org/</w:t>
      </w:r>
    </w:p>
    <w:p>
      <w:pPr>
        <w:pStyle w:val="BodyText"/>
      </w:pPr>
      <w:hyperlink r:id="rId65">
        <w:r>
          <w:rPr>
            <w:rStyle w:val="Hyperlink"/>
          </w:rPr>
          <w:t xml:space="preserve">https://open-metadata.org/</w:t>
        </w:r>
      </w:hyperlink>
    </w:p>
    <w:p>
      <w:pPr>
        <w:pStyle w:val="BodyText"/>
      </w:pPr>
      <w:hyperlink r:id="rId66">
        <w:r>
          <w:rPr>
            <w:rStyle w:val="Hyperlink"/>
          </w:rPr>
          <w:t xml:space="preserve">[81]</w:t>
        </w:r>
      </w:hyperlink>
      <w:r>
        <w:t xml:space="preserve"> </w:t>
      </w:r>
      <w:hyperlink r:id="rId66">
        <w:r>
          <w:rPr>
            <w:rStyle w:val="Hyperlink"/>
          </w:rPr>
          <w:t xml:space="preserve">[102]</w:t>
        </w:r>
      </w:hyperlink>
      <w:r>
        <w:t xml:space="preserve"> </w:t>
      </w:r>
      <w:hyperlink r:id="rId66">
        <w:r>
          <w:rPr>
            <w:rStyle w:val="Hyperlink"/>
          </w:rPr>
          <w:t xml:space="preserve">[103]</w:t>
        </w:r>
      </w:hyperlink>
      <w:r>
        <w:t xml:space="preserve"> </w:t>
      </w:r>
      <w:hyperlink r:id="rId66">
        <w:r>
          <w:rPr>
            <w:rStyle w:val="Hyperlink"/>
          </w:rPr>
          <w:t xml:space="preserve">[106]</w:t>
        </w:r>
      </w:hyperlink>
      <w:r>
        <w:t xml:space="preserve"> </w:t>
      </w:r>
      <w:r>
        <w:t xml:space="preserve">https://www.glean.com/</w:t>
      </w:r>
    </w:p>
    <w:p>
      <w:pPr>
        <w:pStyle w:val="BodyText"/>
      </w:pPr>
      <w:hyperlink r:id="rId66">
        <w:r>
          <w:rPr>
            <w:rStyle w:val="Hyperlink"/>
          </w:rPr>
          <w:t xml:space="preserve">https://www.glean.com/</w:t>
        </w:r>
      </w:hyperlink>
    </w:p>
    <w:p>
      <w:pPr>
        <w:pStyle w:val="BodyText"/>
      </w:pPr>
      <w:hyperlink r:id="rId67">
        <w:r>
          <w:rPr>
            <w:rStyle w:val="Hyperlink"/>
          </w:rPr>
          <w:t xml:space="preserve">[82]</w:t>
        </w:r>
      </w:hyperlink>
      <w:r>
        <w:t xml:space="preserve"> </w:t>
      </w:r>
      <w:hyperlink r:id="rId67">
        <w:r>
          <w:rPr>
            <w:rStyle w:val="Hyperlink"/>
          </w:rPr>
          <w:t xml:space="preserve">[86]</w:t>
        </w:r>
      </w:hyperlink>
      <w:r>
        <w:t xml:space="preserve"> </w:t>
      </w:r>
      <w:r>
        <w:t xml:space="preserve">https://docs.aws.amazon.com/amazonq/latest/qbusiness-ug/connectors-list.html</w:t>
      </w:r>
    </w:p>
    <w:p>
      <w:pPr>
        <w:pStyle w:val="BodyText"/>
      </w:pPr>
      <w:hyperlink r:id="rId67">
        <w:r>
          <w:rPr>
            <w:rStyle w:val="Hyperlink"/>
          </w:rPr>
          <w:t xml:space="preserve">https://docs.aws.amazon.com/amazonq/latest/qbusiness-ug/connectors-list.html</w:t>
        </w:r>
      </w:hyperlink>
    </w:p>
    <w:p>
      <w:pPr>
        <w:pStyle w:val="BodyText"/>
      </w:pPr>
      <w:hyperlink r:id="rId68">
        <w:r>
          <w:rPr>
            <w:rStyle w:val="Hyperlink"/>
          </w:rPr>
          <w:t xml:space="preserve">[83]</w:t>
        </w:r>
      </w:hyperlink>
      <w:r>
        <w:t xml:space="preserve"> </w:t>
      </w:r>
      <w:r>
        <w:t xml:space="preserve">https://docs.aws.amazon.com/amazonq/latest/qbusiness-ug/supported-connectors.html</w:t>
      </w:r>
    </w:p>
    <w:p>
      <w:pPr>
        <w:pStyle w:val="BodyText"/>
      </w:pPr>
      <w:hyperlink r:id="rId68">
        <w:r>
          <w:rPr>
            <w:rStyle w:val="Hyperlink"/>
          </w:rPr>
          <w:t xml:space="preserve">https://docs.aws.amazon.com/amazonq/latest/qbusiness-ug/supported-connectors.html</w:t>
        </w:r>
      </w:hyperlink>
    </w:p>
    <w:p>
      <w:pPr>
        <w:pStyle w:val="BodyText"/>
      </w:pPr>
      <w:hyperlink r:id="rId69">
        <w:r>
          <w:rPr>
            <w:rStyle w:val="Hyperlink"/>
          </w:rPr>
          <w:t xml:space="preserve">[84]</w:t>
        </w:r>
      </w:hyperlink>
      <w:r>
        <w:t xml:space="preserve"> </w:t>
      </w:r>
      <w:r>
        <w:t xml:space="preserve">https://aws.amazon.com/q/business/connectors/</w:t>
      </w:r>
    </w:p>
    <w:p>
      <w:pPr>
        <w:pStyle w:val="BodyText"/>
      </w:pPr>
      <w:hyperlink r:id="rId69">
        <w:r>
          <w:rPr>
            <w:rStyle w:val="Hyperlink"/>
          </w:rPr>
          <w:t xml:space="preserve">https://aws.amazon.com/q/business/connectors/</w:t>
        </w:r>
      </w:hyperlink>
    </w:p>
    <w:p>
      <w:pPr>
        <w:pStyle w:val="BodyText"/>
      </w:pPr>
      <w:hyperlink r:id="rId70">
        <w:r>
          <w:rPr>
            <w:rStyle w:val="Hyperlink"/>
          </w:rPr>
          <w:t xml:space="preserve">[85]</w:t>
        </w:r>
      </w:hyperlink>
      <w:r>
        <w:t xml:space="preserve"> </w:t>
      </w:r>
      <w:r>
        <w:t xml:space="preserve">https://d1.awsstatic.com/onedam/marketing-channels/website/aws/en_US/solutions/approved/documents/architecture-diagrams/application-and-data-connectors-for-amazon-q-business.pdf</w:t>
      </w:r>
    </w:p>
    <w:p>
      <w:pPr>
        <w:pStyle w:val="BodyText"/>
      </w:pPr>
      <w:hyperlink r:id="rId70">
        <w:r>
          <w:rPr>
            <w:rStyle w:val="Hyperlink"/>
          </w:rPr>
          <w:t xml:space="preserve">https://d1.awsstatic.com/onedam/marketing-channels/website/aws/en_US/solutions/approved/documents/architecture-diagrams/application-and-data-connectors-for-amazon-q-business.pdf</w:t>
        </w:r>
      </w:hyperlink>
    </w:p>
    <w:p>
      <w:pPr>
        <w:pStyle w:val="BodyText"/>
      </w:pPr>
      <w:hyperlink r:id="rId71">
        <w:r>
          <w:rPr>
            <w:rStyle w:val="Hyperlink"/>
          </w:rPr>
          <w:t xml:space="preserve">[92]</w:t>
        </w:r>
      </w:hyperlink>
      <w:r>
        <w:t xml:space="preserve"> </w:t>
      </w:r>
      <w:hyperlink r:id="rId71">
        <w:r>
          <w:rPr>
            <w:rStyle w:val="Hyperlink"/>
          </w:rPr>
          <w:t xml:space="preserve">[94]</w:t>
        </w:r>
      </w:hyperlink>
      <w:r>
        <w:t xml:space="preserve"> </w:t>
      </w:r>
      <w:r>
        <w:t xml:space="preserve">https://help.salesforce.com/s/articleView?id=service.knowledge_setup_users_lex.htm&amp;language=en_US&amp;type=5</w:t>
      </w:r>
    </w:p>
    <w:p>
      <w:pPr>
        <w:pStyle w:val="BodyText"/>
      </w:pPr>
      <w:hyperlink r:id="rId71">
        <w:r>
          <w:rPr>
            <w:rStyle w:val="Hyperlink"/>
          </w:rPr>
          <w:t xml:space="preserve">https://help.salesforce.com/s/articleView?id=service.knowledge_setup_users_lex.htm&amp;language=en_US&amp;type=5</w:t>
        </w:r>
      </w:hyperlink>
    </w:p>
    <w:p>
      <w:pPr>
        <w:pStyle w:val="BodyText"/>
      </w:pPr>
      <w:hyperlink r:id="rId72">
        <w:r>
          <w:rPr>
            <w:rStyle w:val="Hyperlink"/>
          </w:rPr>
          <w:t xml:space="preserve">[93]</w:t>
        </w:r>
      </w:hyperlink>
      <w:r>
        <w:t xml:space="preserve"> </w:t>
      </w:r>
      <w:hyperlink r:id="rId72">
        <w:r>
          <w:rPr>
            <w:rStyle w:val="Hyperlink"/>
          </w:rPr>
          <w:t xml:space="preserve">[95]</w:t>
        </w:r>
      </w:hyperlink>
      <w:r>
        <w:t xml:space="preserve"> </w:t>
      </w:r>
      <w:r>
        <w:t xml:space="preserve">https://help.salesforce.com/s/articleView?id=service.bots_service_action_knowledge.htm&amp;language=en_US&amp;type=5</w:t>
      </w:r>
    </w:p>
    <w:p>
      <w:pPr>
        <w:pStyle w:val="BodyText"/>
      </w:pPr>
      <w:hyperlink r:id="rId72">
        <w:r>
          <w:rPr>
            <w:rStyle w:val="Hyperlink"/>
          </w:rPr>
          <w:t xml:space="preserve">https://help.salesforce.com/s/articleView?id=service.bots_service_action_knowledge.htm&amp;language=en_US&amp;type=5</w:t>
        </w:r>
      </w:hyperlink>
    </w:p>
    <w:p>
      <w:pPr>
        <w:pStyle w:val="BodyText"/>
      </w:pPr>
      <w:hyperlink r:id="rId73">
        <w:r>
          <w:rPr>
            <w:rStyle w:val="Hyperlink"/>
          </w:rPr>
          <w:t xml:space="preserve">[97]</w:t>
        </w:r>
      </w:hyperlink>
      <w:r>
        <w:t xml:space="preserve"> </w:t>
      </w:r>
      <w:hyperlink r:id="rId73">
        <w:r>
          <w:rPr>
            <w:rStyle w:val="Hyperlink"/>
          </w:rPr>
          <w:t xml:space="preserve">[100]</w:t>
        </w:r>
      </w:hyperlink>
      <w:r>
        <w:t xml:space="preserve"> </w:t>
      </w:r>
      <w:r>
        <w:t xml:space="preserve">https://www.elastic.co/docs/reference/search-connectors</w:t>
      </w:r>
    </w:p>
    <w:p>
      <w:pPr>
        <w:pStyle w:val="BodyText"/>
      </w:pPr>
      <w:hyperlink r:id="rId73">
        <w:r>
          <w:rPr>
            <w:rStyle w:val="Hyperlink"/>
          </w:rPr>
          <w:t xml:space="preserve">https://www.elastic.co/docs/reference/search-connectors</w:t>
        </w:r>
      </w:hyperlink>
    </w:p>
    <w:p>
      <w:pPr>
        <w:pStyle w:val="BodyText"/>
      </w:pPr>
      <w:hyperlink r:id="rId74">
        <w:r>
          <w:rPr>
            <w:rStyle w:val="Hyperlink"/>
          </w:rPr>
          <w:t xml:space="preserve">[98]</w:t>
        </w:r>
      </w:hyperlink>
      <w:r>
        <w:t xml:space="preserve"> </w:t>
      </w:r>
      <w:r>
        <w:t xml:space="preserve">https://www.elastic.co/docs/solutions/search/semantic-search</w:t>
      </w:r>
    </w:p>
    <w:p>
      <w:pPr>
        <w:pStyle w:val="BodyText"/>
      </w:pPr>
      <w:hyperlink r:id="rId74">
        <w:r>
          <w:rPr>
            <w:rStyle w:val="Hyperlink"/>
          </w:rPr>
          <w:t xml:space="preserve">https://www.elastic.co/docs/solutions/search/semantic-search</w:t>
        </w:r>
      </w:hyperlink>
    </w:p>
    <w:p>
      <w:pPr>
        <w:pStyle w:val="BodyText"/>
      </w:pPr>
      <w:hyperlink r:id="rId75">
        <w:r>
          <w:rPr>
            <w:rStyle w:val="Hyperlink"/>
          </w:rPr>
          <w:t xml:space="preserve">[99]</w:t>
        </w:r>
      </w:hyperlink>
      <w:r>
        <w:t xml:space="preserve"> </w:t>
      </w:r>
      <w:r>
        <w:t xml:space="preserve">https://www.elastic.co/docs/deploy-manage/manage-connectors</w:t>
      </w:r>
    </w:p>
    <w:p>
      <w:pPr>
        <w:pStyle w:val="BodyText"/>
      </w:pPr>
      <w:hyperlink r:id="rId75">
        <w:r>
          <w:rPr>
            <w:rStyle w:val="Hyperlink"/>
          </w:rPr>
          <w:t xml:space="preserve">https://www.elastic.co/docs/deploy-manage/manage-connectors</w:t>
        </w:r>
      </w:hyperlink>
    </w:p>
    <w:p>
      <w:pPr>
        <w:pStyle w:val="BodyText"/>
      </w:pPr>
      <w:hyperlink r:id="rId76">
        <w:r>
          <w:rPr>
            <w:rStyle w:val="Hyperlink"/>
          </w:rPr>
          <w:t xml:space="preserve">[101]</w:t>
        </w:r>
      </w:hyperlink>
      <w:r>
        <w:t xml:space="preserve"> </w:t>
      </w:r>
      <w:hyperlink r:id="rId76">
        <w:r>
          <w:rPr>
            <w:rStyle w:val="Hyperlink"/>
          </w:rPr>
          <w:t xml:space="preserve">[121]</w:t>
        </w:r>
      </w:hyperlink>
      <w:r>
        <w:t xml:space="preserve"> </w:t>
      </w:r>
      <w:r>
        <w:t xml:space="preserve">https://github.com/facebookresearch/faiss</w:t>
      </w:r>
    </w:p>
    <w:p>
      <w:pPr>
        <w:pStyle w:val="BodyText"/>
      </w:pPr>
      <w:hyperlink r:id="rId76">
        <w:r>
          <w:rPr>
            <w:rStyle w:val="Hyperlink"/>
          </w:rPr>
          <w:t xml:space="preserve">https://github.com/facebookresearch/faiss</w:t>
        </w:r>
      </w:hyperlink>
    </w:p>
    <w:p>
      <w:pPr>
        <w:pStyle w:val="BodyText"/>
      </w:pPr>
      <w:hyperlink r:id="rId77">
        <w:r>
          <w:rPr>
            <w:rStyle w:val="Hyperlink"/>
          </w:rPr>
          <w:t xml:space="preserve">[104]</w:t>
        </w:r>
      </w:hyperlink>
      <w:r>
        <w:t xml:space="preserve"> </w:t>
      </w:r>
      <w:r>
        <w:t xml:space="preserve">https://www.glean.com/connectors/shortcut</w:t>
      </w:r>
    </w:p>
    <w:p>
      <w:pPr>
        <w:pStyle w:val="BodyText"/>
      </w:pPr>
      <w:hyperlink r:id="rId77">
        <w:r>
          <w:rPr>
            <w:rStyle w:val="Hyperlink"/>
          </w:rPr>
          <w:t xml:space="preserve">https://www.glean.com/connectors/shortcut</w:t>
        </w:r>
      </w:hyperlink>
    </w:p>
    <w:p>
      <w:pPr>
        <w:pStyle w:val="BodyText"/>
      </w:pPr>
      <w:hyperlink r:id="rId78">
        <w:r>
          <w:rPr>
            <w:rStyle w:val="Hyperlink"/>
          </w:rPr>
          <w:t xml:space="preserve">[105]</w:t>
        </w:r>
      </w:hyperlink>
      <w:r>
        <w:t xml:space="preserve"> </w:t>
      </w:r>
      <w:r>
        <w:t xml:space="preserve">https://www.glean.com/blog/secure-generative-ai-for-the-enterprise-requires-the-right-permissions-structure</w:t>
      </w:r>
    </w:p>
    <w:p>
      <w:pPr>
        <w:pStyle w:val="BodyText"/>
      </w:pPr>
      <w:hyperlink r:id="rId78">
        <w:r>
          <w:rPr>
            <w:rStyle w:val="Hyperlink"/>
          </w:rPr>
          <w:t xml:space="preserve">https://www.glean.com/blog/secure-generative-ai-for-the-enterprise-requires-the-right-permissions-structure</w:t>
        </w:r>
      </w:hyperlink>
    </w:p>
    <w:p>
      <w:pPr>
        <w:pStyle w:val="BodyText"/>
      </w:pPr>
      <w:hyperlink r:id="rId79">
        <w:r>
          <w:rPr>
            <w:rStyle w:val="Hyperlink"/>
          </w:rPr>
          <w:t xml:space="preserve">[108]</w:t>
        </w:r>
      </w:hyperlink>
      <w:r>
        <w:t xml:space="preserve"> </w:t>
      </w:r>
      <w:r>
        <w:t xml:space="preserve">https://levelup.coveo.com/learn/courses/relevance-generative-answering/lessons/why-use-relevance-generative-answering</w:t>
      </w:r>
    </w:p>
    <w:p>
      <w:pPr>
        <w:pStyle w:val="BodyText"/>
      </w:pPr>
      <w:hyperlink r:id="rId79">
        <w:r>
          <w:rPr>
            <w:rStyle w:val="Hyperlink"/>
          </w:rPr>
          <w:t xml:space="preserve">https://levelup.coveo.com/learn/courses/relevance-generative-answering/lessons/why-use-relevance-generative-answering</w:t>
        </w:r>
      </w:hyperlink>
    </w:p>
    <w:p>
      <w:pPr>
        <w:pStyle w:val="BodyText"/>
      </w:pPr>
      <w:hyperlink r:id="rId80">
        <w:r>
          <w:rPr>
            <w:rStyle w:val="Hyperlink"/>
          </w:rPr>
          <w:t xml:space="preserve">[110]</w:t>
        </w:r>
      </w:hyperlink>
      <w:r>
        <w:t xml:space="preserve"> </w:t>
      </w:r>
      <w:hyperlink r:id="rId80">
        <w:r>
          <w:rPr>
            <w:rStyle w:val="Hyperlink"/>
          </w:rPr>
          <w:t xml:space="preserve">[112]</w:t>
        </w:r>
      </w:hyperlink>
      <w:r>
        <w:t xml:space="preserve"> </w:t>
      </w:r>
      <w:r>
        <w:t xml:space="preserve">https://www.coveo.com/en/platform/generative-ai</w:t>
      </w:r>
    </w:p>
    <w:p>
      <w:pPr>
        <w:pStyle w:val="BodyText"/>
      </w:pPr>
      <w:hyperlink r:id="rId80">
        <w:r>
          <w:rPr>
            <w:rStyle w:val="Hyperlink"/>
          </w:rPr>
          <w:t xml:space="preserve">https://www.coveo.com/en/platform/generative-ai</w:t>
        </w:r>
      </w:hyperlink>
    </w:p>
    <w:p>
      <w:pPr>
        <w:pStyle w:val="BodyText"/>
      </w:pPr>
      <w:hyperlink r:id="rId81">
        <w:r>
          <w:rPr>
            <w:rStyle w:val="Hyperlink"/>
          </w:rPr>
          <w:t xml:space="preserve">[111]</w:t>
        </w:r>
      </w:hyperlink>
      <w:r>
        <w:t xml:space="preserve"> </w:t>
      </w:r>
      <w:r>
        <w:t xml:space="preserve">https://docs.coveo.com/en/n9de0370/</w:t>
      </w:r>
    </w:p>
    <w:p>
      <w:pPr>
        <w:pStyle w:val="BodyText"/>
      </w:pPr>
      <w:hyperlink r:id="rId81">
        <w:r>
          <w:rPr>
            <w:rStyle w:val="Hyperlink"/>
          </w:rPr>
          <w:t xml:space="preserve">https://docs.coveo.com/en/n9de0370/</w:t>
        </w:r>
      </w:hyperlink>
    </w:p>
    <w:p>
      <w:pPr>
        <w:pStyle w:val="BodyText"/>
      </w:pPr>
      <w:hyperlink r:id="rId82">
        <w:r>
          <w:rPr>
            <w:rStyle w:val="Hyperlink"/>
          </w:rPr>
          <w:t xml:space="preserve">[113]</w:t>
        </w:r>
      </w:hyperlink>
      <w:r>
        <w:t xml:space="preserve"> </w:t>
      </w:r>
      <w:hyperlink r:id="rId82">
        <w:r>
          <w:rPr>
            <w:rStyle w:val="Hyperlink"/>
          </w:rPr>
          <w:t xml:space="preserve">[123]</w:t>
        </w:r>
      </w:hyperlink>
      <w:r>
        <w:t xml:space="preserve"> </w:t>
      </w:r>
      <w:r>
        <w:t xml:space="preserve">https://airflow.apache.org/</w:t>
      </w:r>
    </w:p>
    <w:p>
      <w:pPr>
        <w:pStyle w:val="BodyText"/>
      </w:pPr>
      <w:hyperlink r:id="rId82">
        <w:r>
          <w:rPr>
            <w:rStyle w:val="Hyperlink"/>
          </w:rPr>
          <w:t xml:space="preserve">https://airflow.apache.org/</w:t>
        </w:r>
      </w:hyperlink>
    </w:p>
    <w:p>
      <w:pPr>
        <w:pStyle w:val="BodyText"/>
      </w:pPr>
      <w:hyperlink r:id="rId84">
        <w:r>
          <w:rPr>
            <w:rStyle w:val="Hyperlink"/>
          </w:rPr>
          <w:t xml:space="preserve">[117]</w:t>
        </w:r>
      </w:hyperlink>
      <w:r>
        <w:t xml:space="preserve"> </w:t>
      </w:r>
      <w:hyperlink r:id="rId84">
        <w:r>
          <w:rPr>
            <w:rStyle w:val="Hyperlink"/>
          </w:rPr>
          <w:t xml:space="preserve">[119]</w:t>
        </w:r>
      </w:hyperlink>
      <w:r>
        <w:t xml:space="preserve"> </w:t>
      </w:r>
      <w:r>
        <w:t xml:space="preserve">https://opensearch.org/</w:t>
      </w:r>
    </w:p>
    <w:p>
      <w:pPr>
        <w:pStyle w:val="BodyText"/>
      </w:pPr>
      <w:hyperlink r:id="rId84">
        <w:r>
          <w:rPr>
            <w:rStyle w:val="Hyperlink"/>
          </w:rPr>
          <w:t xml:space="preserve">https://opensearch.org/</w:t>
        </w:r>
      </w:hyperlink>
    </w:p>
    <w:p>
      <w:pPr>
        <w:pStyle w:val="BodyText"/>
      </w:pPr>
      <w:hyperlink r:id="rId85">
        <w:r>
          <w:rPr>
            <w:rStyle w:val="Hyperlink"/>
          </w:rPr>
          <w:t xml:space="preserve">[118]</w:t>
        </w:r>
      </w:hyperlink>
      <w:r>
        <w:t xml:space="preserve"> </w:t>
      </w:r>
      <w:r>
        <w:t xml:space="preserve">https://solr.apache.org/</w:t>
      </w:r>
    </w:p>
    <w:p>
      <w:pPr>
        <w:pStyle w:val="BodyText"/>
      </w:pPr>
      <w:hyperlink r:id="rId85">
        <w:r>
          <w:rPr>
            <w:rStyle w:val="Hyperlink"/>
          </w:rPr>
          <w:t xml:space="preserve">https://solr.apache.org/</w:t>
        </w:r>
      </w:hyperlink>
    </w:p>
    <w:p>
      <w:pPr>
        <w:pStyle w:val="BodyText"/>
      </w:pPr>
      <w:hyperlink r:id="rId86">
        <w:r>
          <w:rPr>
            <w:rStyle w:val="Hyperlink"/>
          </w:rPr>
          <w:t xml:space="preserve">[120]</w:t>
        </w:r>
      </w:hyperlink>
      <w:r>
        <w:t xml:space="preserve"> </w:t>
      </w:r>
      <w:r>
        <w:t xml:space="preserve">https://jena.apache.org/</w:t>
      </w:r>
    </w:p>
    <w:p>
      <w:pPr>
        <w:pStyle w:val="BodyText"/>
      </w:pPr>
      <w:hyperlink r:id="rId86">
        <w:r>
          <w:rPr>
            <w:rStyle w:val="Hyperlink"/>
          </w:rPr>
          <w:t xml:space="preserve">https://jena.apache.org/</w:t>
        </w:r>
      </w:hyperlink>
    </w:p>
    <w:p>
      <w:pPr>
        <w:pStyle w:val="BodyText"/>
      </w:pPr>
      <w:hyperlink r:id="rId87">
        <w:r>
          <w:rPr>
            <w:rStyle w:val="Hyperlink"/>
          </w:rPr>
          <w:t xml:space="preserve">[124]</w:t>
        </w:r>
      </w:hyperlink>
      <w:r>
        <w:t xml:space="preserve"> </w:t>
      </w:r>
      <w:r>
        <w:t xml:space="preserve">https://docs.langchain.com/oss/python/langchain/rag</w:t>
      </w:r>
    </w:p>
    <w:p>
      <w:pPr>
        <w:pStyle w:val="BodyText"/>
      </w:pPr>
      <w:hyperlink r:id="rId87">
        <w:r>
          <w:rPr>
            <w:rStyle w:val="Hyperlink"/>
          </w:rPr>
          <w:t xml:space="preserve">https://docs.langchain.com/oss/python/langchain/rag</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idanhogan.com/docs/knowledge-graphs-computing-surveys.pdf" TargetMode="External" /><Relationship Type="http://schemas.openxmlformats.org/officeDocument/2006/relationships/hyperlink" Id="rId82" Target="https://airflow.apache.org/" TargetMode="External" /><Relationship Type="http://schemas.openxmlformats.org/officeDocument/2006/relationships/hyperlink" Id="rId32" Target="https://archive.org/details/tacitdimension0000pola" TargetMode="External" /><Relationship Type="http://schemas.openxmlformats.org/officeDocument/2006/relationships/hyperlink" Id="rId36" Target="https://arxiv.org/abs/1706.03762" TargetMode="External" /><Relationship Type="http://schemas.openxmlformats.org/officeDocument/2006/relationships/hyperlink" Id="rId43" Target="https://arxiv.org/abs/2005.11401" TargetMode="External" /><Relationship Type="http://schemas.openxmlformats.org/officeDocument/2006/relationships/hyperlink" Id="rId23" Target="https://arxiv.org/abs/2404.17723" TargetMode="External" /><Relationship Type="http://schemas.openxmlformats.org/officeDocument/2006/relationships/hyperlink" Id="rId27" Target="https://arxiv.org/pdf/1301.3781" TargetMode="External" /><Relationship Type="http://schemas.openxmlformats.org/officeDocument/2006/relationships/hyperlink" Id="rId69" Target="https://aws.amazon.com/q/business/connectors/" TargetMode="External" /><Relationship Type="http://schemas.openxmlformats.org/officeDocument/2006/relationships/hyperlink" Id="rId49" Target="https://cdn.featuredcustomers.com/CustomerCaseStudy.document/Trouba_Finserv_Anon_Case_Study_Coveo.pdf" TargetMode="External" /><Relationship Type="http://schemas.openxmlformats.org/officeDocument/2006/relationships/hyperlink" Id="rId70" Target="https://d1.awsstatic.com/onedam/marketing-channels/website/aws/en_US/solutions/approved/documents/architecture-diagrams/application-and-data-connectors-for-amazon-q-business.pdf" TargetMode="External" /><Relationship Type="http://schemas.openxmlformats.org/officeDocument/2006/relationships/hyperlink" Id="rId67" Target="https://docs.aws.amazon.com/amazonq/latest/qbusiness-ug/connectors-list.html" TargetMode="External" /><Relationship Type="http://schemas.openxmlformats.org/officeDocument/2006/relationships/hyperlink" Id="rId68" Target="https://docs.aws.amazon.com/amazonq/latest/qbusiness-ug/supported-connectors.html" TargetMode="External" /><Relationship Type="http://schemas.openxmlformats.org/officeDocument/2006/relationships/hyperlink" Id="rId81" Target="https://docs.coveo.com/en/n9de0370/" TargetMode="External" /><Relationship Type="http://schemas.openxmlformats.org/officeDocument/2006/relationships/hyperlink" Id="rId87" Target="https://docs.langchain.com/oss/python/langchain/rag" TargetMode="External" /><Relationship Type="http://schemas.openxmlformats.org/officeDocument/2006/relationships/hyperlink" Id="rId25" Target="https://enterprise-knowledge.com/solutions/knowledge-intelligence/" TargetMode="External" /><Relationship Type="http://schemas.openxmlformats.org/officeDocument/2006/relationships/hyperlink" Id="rId62" Target="https://enterprise.gov.ie/en/what-we-do/innovation-research-development/artificial-intelligence/eu-ai-act/" TargetMode="External" /><Relationship Type="http://schemas.openxmlformats.org/officeDocument/2006/relationships/hyperlink" Id="rId28" Target="https://eur-lex.europa.eu/eli/reg/2016/679/oj" TargetMode="External" /><Relationship Type="http://schemas.openxmlformats.org/officeDocument/2006/relationships/hyperlink" Id="rId61" Target="https://eur-lex.europa.eu/legal-content/EN/TXT/PDF/?uri=OJ%3AL_202401689" TargetMode="External" /><Relationship Type="http://schemas.openxmlformats.org/officeDocument/2006/relationships/hyperlink" Id="rId76" Target="https://github.com/facebookresearch/faiss" TargetMode="External" /><Relationship Type="http://schemas.openxmlformats.org/officeDocument/2006/relationships/hyperlink" Id="rId72" Target="https://help.salesforce.com/s/articleView?id=service.bots_service_action_knowledge.htm&amp;language=en_US&amp;type=5" TargetMode="External" /><Relationship Type="http://schemas.openxmlformats.org/officeDocument/2006/relationships/hyperlink" Id="rId71" Target="https://help.salesforce.com/s/articleView?id=service.knowledge_setup_users_lex.htm&amp;language=en_US&amp;type=5" TargetMode="External" /><Relationship Type="http://schemas.openxmlformats.org/officeDocument/2006/relationships/hyperlink" Id="rId86" Target="https://jena.apache.org/" TargetMode="External" /><Relationship Type="http://schemas.openxmlformats.org/officeDocument/2006/relationships/hyperlink" Id="rId30" Target="https://learn.microsoft.com/en-us/copilot/microsoft-365/microsoft-365-copilot-architecture" TargetMode="External" /><Relationship Type="http://schemas.openxmlformats.org/officeDocument/2006/relationships/hyperlink" Id="rId22" Target="https://learn.microsoft.com/en-us/copilot/microsoft-365/microsoft-365-copilot-privacy" TargetMode="External" /><Relationship Type="http://schemas.openxmlformats.org/officeDocument/2006/relationships/hyperlink" Id="rId52" Target="https://learn.microsoft.com/en-us/sharepoint/restricted-sharepoint-search" TargetMode="External" /><Relationship Type="http://schemas.openxmlformats.org/officeDocument/2006/relationships/hyperlink" Id="rId79" Target="https://levelup.coveo.com/learn/courses/relevance-generative-answering/lessons/why-use-relevance-generative-answering" TargetMode="External" /><Relationship Type="http://schemas.openxmlformats.org/officeDocument/2006/relationships/hyperlink" Id="rId37" Target="https://netman.aiops.org/~peidan/ANM2018/6.AnomalyLocalization/ReadingLists/Gama-2014-A%20survey%20on%20concept%20drift%20adaptation.pdf.pdf" TargetMode="External" /><Relationship Type="http://schemas.openxmlformats.org/officeDocument/2006/relationships/hyperlink" Id="rId34" Target="https://nlp.stanford.edu/IR-book/pdf/irbookonlinereading.pdf" TargetMode="External" /><Relationship Type="http://schemas.openxmlformats.org/officeDocument/2006/relationships/hyperlink" Id="rId39" Target="https://nvlpubs.nist.gov/nistpubs/ai/nist.ai.100-1.pdf" TargetMode="External" /><Relationship Type="http://schemas.openxmlformats.org/officeDocument/2006/relationships/hyperlink" Id="rId65" Target="https://open-metadata.org/" TargetMode="External" /><Relationship Type="http://schemas.openxmlformats.org/officeDocument/2006/relationships/hyperlink" Id="rId84" Target="https://opensearch.org/" TargetMode="External" /><Relationship Type="http://schemas.openxmlformats.org/officeDocument/2006/relationships/hyperlink" Id="rId85" Target="https://solr.apache.org/" TargetMode="External" /><Relationship Type="http://schemas.openxmlformats.org/officeDocument/2006/relationships/hyperlink" Id="rId35" Target="https://tomgruber.org/writing/definition-of-ontology.pdf" TargetMode="External" /><Relationship Type="http://schemas.openxmlformats.org/officeDocument/2006/relationships/hyperlink" Id="rId55" Target="https://www.apqc.org/resource-library/resource-listing/apqcs-levels-knowledge-management-maturity" TargetMode="External" /><Relationship Type="http://schemas.openxmlformats.org/officeDocument/2006/relationships/hyperlink" Id="rId33" Target="https://www.avannistelrooij.nl/wp/wp-content/uploads/2017/11/Argyris-1977-Double-Loop-Learning-in-Organisations-HBR.pdf" TargetMode="External" /><Relationship Type="http://schemas.openxmlformats.org/officeDocument/2006/relationships/hyperlink" Id="rId48" Target="https://www.bio-itworld.com/docs/librariesprovider76/whitepapers/the-sinequa-espresso-guide-to-intelligent-search-whitepaper.pdf" TargetMode="External" /><Relationship Type="http://schemas.openxmlformats.org/officeDocument/2006/relationships/hyperlink" Id="rId56" Target="https://www.chapsvision.com/en-us/platform/sinequa/" TargetMode="External" /><Relationship Type="http://schemas.openxmlformats.org/officeDocument/2006/relationships/hyperlink" Id="rId38" Target="https://www.coveo.com/en/platform" TargetMode="External" /><Relationship Type="http://schemas.openxmlformats.org/officeDocument/2006/relationships/hyperlink" Id="rId80" Target="https://www.coveo.com/en/platform/generative-ai" TargetMode="External" /><Relationship Type="http://schemas.openxmlformats.org/officeDocument/2006/relationships/hyperlink" Id="rId75" Target="https://www.elastic.co/docs/deploy-manage/manage-connectors" TargetMode="External" /><Relationship Type="http://schemas.openxmlformats.org/officeDocument/2006/relationships/hyperlink" Id="rId73" Target="https://www.elastic.co/docs/reference/search-connectors" TargetMode="External" /><Relationship Type="http://schemas.openxmlformats.org/officeDocument/2006/relationships/hyperlink" Id="rId74" Target="https://www.elastic.co/docs/solutions/search/semantic-search" TargetMode="External" /><Relationship Type="http://schemas.openxmlformats.org/officeDocument/2006/relationships/hyperlink" Id="rId57" Target="https://www.forrester.com/policies/tei/" TargetMode="External" /><Relationship Type="http://schemas.openxmlformats.org/officeDocument/2006/relationships/hyperlink" Id="rId66" Target="https://www.glean.com/" TargetMode="External" /><Relationship Type="http://schemas.openxmlformats.org/officeDocument/2006/relationships/hyperlink" Id="rId78" Target="https://www.glean.com/blog/secure-generative-ai-for-the-enterprise-requires-the-right-permissions-structure" TargetMode="External" /><Relationship Type="http://schemas.openxmlformats.org/officeDocument/2006/relationships/hyperlink" Id="rId77" Target="https://www.glean.com/connectors/shortcut" TargetMode="External" /><Relationship Type="http://schemas.openxmlformats.org/officeDocument/2006/relationships/hyperlink" Id="rId58" Target="https://www.hbs.edu/ris/Publication%20Files/04-045_d62528d4-7931-4ea1-a205-d9683c639d6e.pdf" TargetMode="External" /><Relationship Type="http://schemas.openxmlformats.org/officeDocument/2006/relationships/hyperlink" Id="rId41" Target="https://www.iso.org/standard/53657.html" TargetMode="External" /><Relationship Type="http://schemas.openxmlformats.org/officeDocument/2006/relationships/hyperlink" Id="rId21" Target="https://www.iso.org/standard/68683.html" TargetMode="External" /><Relationship Type="http://schemas.openxmlformats.org/officeDocument/2006/relationships/hyperlink" Id="rId46" Target="https://www.serviceinnovation.org/included/docs/KCS_v6_Practices_Guide_2023_06_08.pdf" TargetMode="External" /><Relationship Type="http://schemas.openxmlformats.org/officeDocument/2006/relationships/hyperlink" Id="rId31" Target="https://www.servicenow.com/docs/r/servicenow-platform/knowledge-management/r_KnowledgeWorkflows.html?contentId=O5iAHBMs9jE4qm0u5mu4kQ" TargetMode="External" /><Relationship Type="http://schemas.openxmlformats.org/officeDocument/2006/relationships/hyperlink" Id="rId47" Target="https://www.servicenow.com/docs/r/servicenow-platform/now-assist-in-knowledge-management/now-assist-knowledge-management.html" TargetMode="External" /><Relationship Type="http://schemas.openxmlformats.org/officeDocument/2006/relationships/hyperlink" Id="rId64" Target="https://www.sinequa.com/product/" TargetMode="External" /><Relationship Type="http://schemas.openxmlformats.org/officeDocument/2006/relationships/hyperlink" Id="rId26" Target="https://www.w3.org/TR/rdf11-concepts/" TargetMode="External" /></Relationships>
</file>

<file path=word/_rels/footnotes.xml.rels><?xml version="1.0" encoding="UTF-8"?><Relationships xmlns="http://schemas.openxmlformats.org/package/2006/relationships"><Relationship Type="http://schemas.openxmlformats.org/officeDocument/2006/relationships/hyperlink" Id="rId42" Target="https://aidanhogan.com/docs/knowledge-graphs-computing-surveys.pdf" TargetMode="External" /><Relationship Type="http://schemas.openxmlformats.org/officeDocument/2006/relationships/hyperlink" Id="rId82" Target="https://airflow.apache.org/" TargetMode="External" /><Relationship Type="http://schemas.openxmlformats.org/officeDocument/2006/relationships/hyperlink" Id="rId32" Target="https://archive.org/details/tacitdimension0000pola" TargetMode="External" /><Relationship Type="http://schemas.openxmlformats.org/officeDocument/2006/relationships/hyperlink" Id="rId36" Target="https://arxiv.org/abs/1706.03762" TargetMode="External" /><Relationship Type="http://schemas.openxmlformats.org/officeDocument/2006/relationships/hyperlink" Id="rId43" Target="https://arxiv.org/abs/2005.11401" TargetMode="External" /><Relationship Type="http://schemas.openxmlformats.org/officeDocument/2006/relationships/hyperlink" Id="rId23" Target="https://arxiv.org/abs/2404.17723" TargetMode="External" /><Relationship Type="http://schemas.openxmlformats.org/officeDocument/2006/relationships/hyperlink" Id="rId27" Target="https://arxiv.org/pdf/1301.3781" TargetMode="External" /><Relationship Type="http://schemas.openxmlformats.org/officeDocument/2006/relationships/hyperlink" Id="rId69" Target="https://aws.amazon.com/q/business/connectors/" TargetMode="External" /><Relationship Type="http://schemas.openxmlformats.org/officeDocument/2006/relationships/hyperlink" Id="rId49" Target="https://cdn.featuredcustomers.com/CustomerCaseStudy.document/Trouba_Finserv_Anon_Case_Study_Coveo.pdf" TargetMode="External" /><Relationship Type="http://schemas.openxmlformats.org/officeDocument/2006/relationships/hyperlink" Id="rId70" Target="https://d1.awsstatic.com/onedam/marketing-channels/website/aws/en_US/solutions/approved/documents/architecture-diagrams/application-and-data-connectors-for-amazon-q-business.pdf" TargetMode="External" /><Relationship Type="http://schemas.openxmlformats.org/officeDocument/2006/relationships/hyperlink" Id="rId67" Target="https://docs.aws.amazon.com/amazonq/latest/qbusiness-ug/connectors-list.html" TargetMode="External" /><Relationship Type="http://schemas.openxmlformats.org/officeDocument/2006/relationships/hyperlink" Id="rId68" Target="https://docs.aws.amazon.com/amazonq/latest/qbusiness-ug/supported-connectors.html" TargetMode="External" /><Relationship Type="http://schemas.openxmlformats.org/officeDocument/2006/relationships/hyperlink" Id="rId81" Target="https://docs.coveo.com/en/n9de0370/" TargetMode="External" /><Relationship Type="http://schemas.openxmlformats.org/officeDocument/2006/relationships/hyperlink" Id="rId87" Target="https://docs.langchain.com/oss/python/langchain/rag" TargetMode="External" /><Relationship Type="http://schemas.openxmlformats.org/officeDocument/2006/relationships/hyperlink" Id="rId25" Target="https://enterprise-knowledge.com/solutions/knowledge-intelligence/" TargetMode="External" /><Relationship Type="http://schemas.openxmlformats.org/officeDocument/2006/relationships/hyperlink" Id="rId62" Target="https://enterprise.gov.ie/en/what-we-do/innovation-research-development/artificial-intelligence/eu-ai-act/" TargetMode="External" /><Relationship Type="http://schemas.openxmlformats.org/officeDocument/2006/relationships/hyperlink" Id="rId28" Target="https://eur-lex.europa.eu/eli/reg/2016/679/oj" TargetMode="External" /><Relationship Type="http://schemas.openxmlformats.org/officeDocument/2006/relationships/hyperlink" Id="rId61" Target="https://eur-lex.europa.eu/legal-content/EN/TXT/PDF/?uri=OJ%3AL_202401689" TargetMode="External" /><Relationship Type="http://schemas.openxmlformats.org/officeDocument/2006/relationships/hyperlink" Id="rId76" Target="https://github.com/facebookresearch/faiss" TargetMode="External" /><Relationship Type="http://schemas.openxmlformats.org/officeDocument/2006/relationships/hyperlink" Id="rId72" Target="https://help.salesforce.com/s/articleView?id=service.bots_service_action_knowledge.htm&amp;language=en_US&amp;type=5" TargetMode="External" /><Relationship Type="http://schemas.openxmlformats.org/officeDocument/2006/relationships/hyperlink" Id="rId71" Target="https://help.salesforce.com/s/articleView?id=service.knowledge_setup_users_lex.htm&amp;language=en_US&amp;type=5" TargetMode="External" /><Relationship Type="http://schemas.openxmlformats.org/officeDocument/2006/relationships/hyperlink" Id="rId86" Target="https://jena.apache.org/" TargetMode="External" /><Relationship Type="http://schemas.openxmlformats.org/officeDocument/2006/relationships/hyperlink" Id="rId30" Target="https://learn.microsoft.com/en-us/copilot/microsoft-365/microsoft-365-copilot-architecture" TargetMode="External" /><Relationship Type="http://schemas.openxmlformats.org/officeDocument/2006/relationships/hyperlink" Id="rId22" Target="https://learn.microsoft.com/en-us/copilot/microsoft-365/microsoft-365-copilot-privacy" TargetMode="External" /><Relationship Type="http://schemas.openxmlformats.org/officeDocument/2006/relationships/hyperlink" Id="rId52" Target="https://learn.microsoft.com/en-us/sharepoint/restricted-sharepoint-search" TargetMode="External" /><Relationship Type="http://schemas.openxmlformats.org/officeDocument/2006/relationships/hyperlink" Id="rId79" Target="https://levelup.coveo.com/learn/courses/relevance-generative-answering/lessons/why-use-relevance-generative-answering" TargetMode="External" /><Relationship Type="http://schemas.openxmlformats.org/officeDocument/2006/relationships/hyperlink" Id="rId37" Target="https://netman.aiops.org/~peidan/ANM2018/6.AnomalyLocalization/ReadingLists/Gama-2014-A%20survey%20on%20concept%20drift%20adaptation.pdf.pdf" TargetMode="External" /><Relationship Type="http://schemas.openxmlformats.org/officeDocument/2006/relationships/hyperlink" Id="rId34" Target="https://nlp.stanford.edu/IR-book/pdf/irbookonlinereading.pdf" TargetMode="External" /><Relationship Type="http://schemas.openxmlformats.org/officeDocument/2006/relationships/hyperlink" Id="rId39" Target="https://nvlpubs.nist.gov/nistpubs/ai/nist.ai.100-1.pdf" TargetMode="External" /><Relationship Type="http://schemas.openxmlformats.org/officeDocument/2006/relationships/hyperlink" Id="rId65" Target="https://open-metadata.org/" TargetMode="External" /><Relationship Type="http://schemas.openxmlformats.org/officeDocument/2006/relationships/hyperlink" Id="rId84" Target="https://opensearch.org/" TargetMode="External" /><Relationship Type="http://schemas.openxmlformats.org/officeDocument/2006/relationships/hyperlink" Id="rId85" Target="https://solr.apache.org/" TargetMode="External" /><Relationship Type="http://schemas.openxmlformats.org/officeDocument/2006/relationships/hyperlink" Id="rId35" Target="https://tomgruber.org/writing/definition-of-ontology.pdf" TargetMode="External" /><Relationship Type="http://schemas.openxmlformats.org/officeDocument/2006/relationships/hyperlink" Id="rId55" Target="https://www.apqc.org/resource-library/resource-listing/apqcs-levels-knowledge-management-maturity" TargetMode="External" /><Relationship Type="http://schemas.openxmlformats.org/officeDocument/2006/relationships/hyperlink" Id="rId33" Target="https://www.avannistelrooij.nl/wp/wp-content/uploads/2017/11/Argyris-1977-Double-Loop-Learning-in-Organisations-HBR.pdf" TargetMode="External" /><Relationship Type="http://schemas.openxmlformats.org/officeDocument/2006/relationships/hyperlink" Id="rId48" Target="https://www.bio-itworld.com/docs/librariesprovider76/whitepapers/the-sinequa-espresso-guide-to-intelligent-search-whitepaper.pdf" TargetMode="External" /><Relationship Type="http://schemas.openxmlformats.org/officeDocument/2006/relationships/hyperlink" Id="rId56" Target="https://www.chapsvision.com/en-us/platform/sinequa/" TargetMode="External" /><Relationship Type="http://schemas.openxmlformats.org/officeDocument/2006/relationships/hyperlink" Id="rId38" Target="https://www.coveo.com/en/platform" TargetMode="External" /><Relationship Type="http://schemas.openxmlformats.org/officeDocument/2006/relationships/hyperlink" Id="rId80" Target="https://www.coveo.com/en/platform/generative-ai" TargetMode="External" /><Relationship Type="http://schemas.openxmlformats.org/officeDocument/2006/relationships/hyperlink" Id="rId75" Target="https://www.elastic.co/docs/deploy-manage/manage-connectors" TargetMode="External" /><Relationship Type="http://schemas.openxmlformats.org/officeDocument/2006/relationships/hyperlink" Id="rId73" Target="https://www.elastic.co/docs/reference/search-connectors" TargetMode="External" /><Relationship Type="http://schemas.openxmlformats.org/officeDocument/2006/relationships/hyperlink" Id="rId74" Target="https://www.elastic.co/docs/solutions/search/semantic-search" TargetMode="External" /><Relationship Type="http://schemas.openxmlformats.org/officeDocument/2006/relationships/hyperlink" Id="rId57" Target="https://www.forrester.com/policies/tei/" TargetMode="External" /><Relationship Type="http://schemas.openxmlformats.org/officeDocument/2006/relationships/hyperlink" Id="rId66" Target="https://www.glean.com/" TargetMode="External" /><Relationship Type="http://schemas.openxmlformats.org/officeDocument/2006/relationships/hyperlink" Id="rId78" Target="https://www.glean.com/blog/secure-generative-ai-for-the-enterprise-requires-the-right-permissions-structure" TargetMode="External" /><Relationship Type="http://schemas.openxmlformats.org/officeDocument/2006/relationships/hyperlink" Id="rId77" Target="https://www.glean.com/connectors/shortcut" TargetMode="External" /><Relationship Type="http://schemas.openxmlformats.org/officeDocument/2006/relationships/hyperlink" Id="rId58" Target="https://www.hbs.edu/ris/Publication%20Files/04-045_d62528d4-7931-4ea1-a205-d9683c639d6e.pdf" TargetMode="External" /><Relationship Type="http://schemas.openxmlformats.org/officeDocument/2006/relationships/hyperlink" Id="rId41" Target="https://www.iso.org/standard/53657.html" TargetMode="External" /><Relationship Type="http://schemas.openxmlformats.org/officeDocument/2006/relationships/hyperlink" Id="rId21" Target="https://www.iso.org/standard/68683.html" TargetMode="External" /><Relationship Type="http://schemas.openxmlformats.org/officeDocument/2006/relationships/hyperlink" Id="rId46" Target="https://www.serviceinnovation.org/included/docs/KCS_v6_Practices_Guide_2023_06_08.pdf" TargetMode="External" /><Relationship Type="http://schemas.openxmlformats.org/officeDocument/2006/relationships/hyperlink" Id="rId31" Target="https://www.servicenow.com/docs/r/servicenow-platform/knowledge-management/r_KnowledgeWorkflows.html?contentId=O5iAHBMs9jE4qm0u5mu4kQ" TargetMode="External" /><Relationship Type="http://schemas.openxmlformats.org/officeDocument/2006/relationships/hyperlink" Id="rId47" Target="https://www.servicenow.com/docs/r/servicenow-platform/now-assist-in-knowledge-management/now-assist-knowledge-management.html" TargetMode="External" /><Relationship Type="http://schemas.openxmlformats.org/officeDocument/2006/relationships/hyperlink" Id="rId64" Target="https://www.sinequa.com/product/" TargetMode="External" /><Relationship Type="http://schemas.openxmlformats.org/officeDocument/2006/relationships/hyperlink" Id="rId26" Target="https://www.w3.org/TR/rdf11-conce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2026-02-26T04:20:35Z</dcterms:created>
  <dcterms:modified xsi:type="dcterms:W3CDTF">2026-02-26T04:20:35Z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