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t xml:space="preserve"/>
      </w:r>
    </w:p>
    <w:p>
      <w:pPr>
        <w:spacing w:after="80"/>
      </w:pPr>
      <w:r>
        <w:rPr>
          <w:rFonts w:ascii="Arial" w:cs="Arial" w:eastAsia="Arial" w:hAnsi="Arial"/>
          <w:b/>
          <w:bCs/>
          <w:color w:val="C8A84A"/>
          <w:spacing w:val="200"/>
          <w:sz w:val="20"/>
          <w:szCs w:val="20"/>
        </w:rPr>
        <w:t xml:space="preserve">A FOUNDING STATEMENT</w:t>
      </w:r>
    </w:p>
    <w:p>
      <w:pPr>
        <w:spacing w:after="200"/>
      </w:pPr>
      <w:r>
        <w:rPr>
          <w:rFonts w:ascii="Arial" w:cs="Arial" w:eastAsia="Arial" w:hAnsi="Arial"/>
          <w:b/>
          <w:bCs/>
          <w:color w:val="1A1A2E"/>
          <w:sz w:val="64"/>
          <w:szCs w:val="64"/>
        </w:rPr>
        <w:t xml:space="preserve">Knowledge Intelligence</w:t>
      </w:r>
    </w:p>
    <w:p>
      <w:pPr>
        <w:spacing w:after="480"/>
      </w:pPr>
      <w:r>
        <w:rPr>
          <w:rFonts w:ascii="Arial" w:cs="Arial" w:eastAsia="Arial" w:hAnsi="Arial"/>
          <w:color w:val="4A4A6A"/>
          <w:sz w:val="24"/>
          <w:szCs w:val="24"/>
        </w:rPr>
        <w:t xml:space="preserve">Making the case for a new strategic capability — and what it takes to finally see, measure, and govern everything an organisation knows.</w:t>
      </w:r>
    </w:p>
    <w:p>
      <w:pPr>
        <w:pBdr>
          <w:bottom w:val="single" w:color="DDDDDD" w:sz="2" w:space="1"/>
        </w:pBdr>
        <w:spacing w:before="280" w:after="280"/>
      </w:pPr>
      <w:r>
        <w:t xml:space="preserve"/>
      </w:r>
    </w:p>
    <w:p>
      <w:pPr>
        <w:spacing w:before="240" w:after="80"/>
      </w:pPr>
      <w:r>
        <w:rPr>
          <w:rFonts w:ascii="Arial" w:cs="Arial" w:eastAsia="Arial" w:hAnsi="Arial"/>
          <w:color w:val="888888"/>
          <w:sz w:val="20"/>
          <w:szCs w:val="20"/>
        </w:rPr>
        <w:t xml:space="preserve">Category  </w:t>
      </w:r>
      <w:r>
        <w:rPr>
          <w:rFonts w:ascii="Arial" w:cs="Arial" w:eastAsia="Arial" w:hAnsi="Arial"/>
          <w:b/>
          <w:bCs/>
          <w:color w:val="1A1A2E"/>
          <w:sz w:val="20"/>
          <w:szCs w:val="20"/>
        </w:rPr>
        <w:t xml:space="preserve">Founding Definition</w:t>
      </w:r>
    </w:p>
    <w:p>
      <w:pPr>
        <w:spacing w:after="80"/>
      </w:pPr>
      <w:r>
        <w:rPr>
          <w:rFonts w:ascii="Arial" w:cs="Arial" w:eastAsia="Arial" w:hAnsi="Arial"/>
          <w:color w:val="888888"/>
          <w:sz w:val="20"/>
          <w:szCs w:val="20"/>
        </w:rPr>
        <w:t xml:space="preserve">Audience  </w:t>
      </w:r>
      <w:r>
        <w:rPr>
          <w:rFonts w:ascii="Arial" w:cs="Arial" w:eastAsia="Arial" w:hAnsi="Arial"/>
          <w:b/>
          <w:bCs/>
          <w:color w:val="1A1A2E"/>
          <w:sz w:val="20"/>
          <w:szCs w:val="20"/>
        </w:rPr>
        <w:t xml:space="preserve">Executive / C-Suite</w:t>
      </w:r>
    </w:p>
    <w:p>
      <w:pPr>
        <w:spacing w:after="80"/>
      </w:pPr>
      <w:r>
        <w:rPr>
          <w:rFonts w:ascii="Arial" w:cs="Arial" w:eastAsia="Arial" w:hAnsi="Arial"/>
          <w:color w:val="888888"/>
          <w:sz w:val="20"/>
          <w:szCs w:val="20"/>
        </w:rPr>
        <w:t xml:space="preserve">Author      </w:t>
      </w:r>
      <w:r>
        <w:rPr>
          <w:rFonts w:ascii="Arial" w:cs="Arial" w:eastAsia="Arial" w:hAnsi="Arial"/>
          <w:b/>
          <w:bCs/>
          <w:color w:val="1A1A2E"/>
          <w:sz w:val="20"/>
          <w:szCs w:val="20"/>
        </w:rPr>
        <w:t xml:space="preserve">Tommy Lowe</w:t>
      </w:r>
    </w:p>
    <w:p>
      <w:pPr>
        <w:pageBreakBefore/>
      </w:pPr>
      <w:r>
        <w:t xml:space="preserve"/>
      </w:r>
    </w:p>
    <w:p>
      <w:pPr>
        <w:spacing w:before="480" w:after="80"/>
      </w:pPr>
      <w:r>
        <w:rPr>
          <w:rFonts w:ascii="Arial" w:cs="Arial" w:eastAsia="Arial" w:hAnsi="Arial"/>
          <w:b/>
          <w:bCs/>
          <w:color w:val="C8A84A"/>
          <w:spacing w:val="120"/>
          <w:sz w:val="18"/>
          <w:szCs w:val="18"/>
        </w:rPr>
        <w:t xml:space="preserve">OPENING STATEMENT</w:t>
      </w:r>
    </w:p>
    <w:p>
      <w:pPr>
        <w:pStyle w:val="Heading1"/>
        <w:spacing w:before="480" w:after="160"/>
      </w:pPr>
      <w:r>
        <w:rPr>
          <w:rFonts w:ascii="Arial" w:cs="Arial" w:eastAsia="Arial" w:hAnsi="Arial"/>
          <w:b/>
          <w:bCs/>
          <w:color w:val="1A1A2E"/>
          <w:sz w:val="36"/>
          <w:szCs w:val="36"/>
        </w:rPr>
        <w:t xml:space="preserve">Organisations have never been able to see everything they know.</w:t>
      </w:r>
    </w:p>
    <w:p>
      <w:pPr>
        <w:spacing w:before="80" w:after="160" w:line="360"/>
      </w:pPr>
      <w:r>
        <w:rPr>
          <w:rFonts w:ascii="Arial" w:cs="Arial" w:eastAsia="Arial" w:hAnsi="Arial"/>
          <w:b w:val="false"/>
          <w:bCs w:val="false"/>
          <w:i w:val="false"/>
          <w:iCs w:val="false"/>
          <w:color w:val="2A2A2A"/>
          <w:sz w:val="22"/>
          <w:szCs w:val="22"/>
        </w:rPr>
        <w:t xml:space="preserve">Every organisation runs on knowledge. The decisions that shape its direction, the expertise that defines its capability, the memory that holds its history together — all of it is knowledge. And yet no organisation can tell you what it knows, how much of it is reliable, where it is concentrated, or how fast it is disappearing.</w:t>
      </w:r>
    </w:p>
    <w:p>
      <w:pPr>
        <w:spacing w:before="80" w:after="160" w:line="360"/>
      </w:pPr>
      <w:r>
        <w:rPr>
          <w:rFonts w:ascii="Arial" w:cs="Arial" w:eastAsia="Arial" w:hAnsi="Arial"/>
          <w:b w:val="false"/>
          <w:bCs w:val="false"/>
          <w:i w:val="false"/>
          <w:iCs w:val="false"/>
          <w:color w:val="2A2A2A"/>
          <w:sz w:val="22"/>
          <w:szCs w:val="22"/>
        </w:rPr>
        <w:t xml:space="preserve">This is not a technology failure. It is a conceptual one. Knowledge is not one thing — it is an enormous, varied universe: documents and data, yes, but also the judgement accumulated over decades of practice, the institutional memory that lives only in people's heads, the relationships that determine how decisions really get made, the patterns only visible to those who have seen enough to recognise them. No existing framework accounts for all of this. Most don't try.</w:t>
      </w:r>
    </w:p>
    <w:p>
      <w:pPr>
        <w:spacing w:before="80" w:after="160" w:line="360"/>
      </w:pPr>
      <w:r>
        <w:rPr>
          <w:rFonts w:ascii="Arial" w:cs="Arial" w:eastAsia="Arial" w:hAnsi="Arial"/>
          <w:b w:val="false"/>
          <w:bCs w:val="false"/>
          <w:i w:val="false"/>
          <w:iCs w:val="false"/>
          <w:color w:val="2A2A2A"/>
          <w:sz w:val="22"/>
          <w:szCs w:val="22"/>
        </w:rPr>
        <w:t xml:space="preserve">I believe this gap is not incidental. It is the central unsolved problem of the knowledge economy — and the reason organisations continue to lose what they know, act on what they merely assume, and make decisions without understanding the quality of the knowledge beneath them.</w:t>
      </w:r>
    </w:p>
    <w:p>
      <w:pPr>
        <w:spacing w:before="80" w:after="160" w:line="360"/>
      </w:pPr>
      <w:r>
        <w:rPr>
          <w:rFonts w:ascii="Arial" w:cs="Arial" w:eastAsia="Arial" w:hAnsi="Arial"/>
          <w:b w:val="false"/>
          <w:bCs w:val="false"/>
          <w:i w:val="false"/>
          <w:iCs w:val="false"/>
          <w:color w:val="2A2A2A"/>
          <w:sz w:val="22"/>
          <w:szCs w:val="22"/>
        </w:rPr>
        <w:t xml:space="preserve">The capability that closes this gap is Knowledge Intelligence: the ability to treat everything an organisation knows — in all its forms — as a governed, measurable, and decision-relevant asset. It has no established category, no recognised framework, and no dominant platform. This paper is its founding statement.</w:t>
      </w:r>
    </w:p>
    <w:p>
      <w:pPr>
        <w:spacing w:before="80" w:after="160" w:line="360"/>
      </w:pPr>
      <w:r>
        <w:rPr>
          <w:rFonts w:ascii="Arial" w:cs="Arial" w:eastAsia="Arial" w:hAnsi="Arial"/>
          <w:b w:val="false"/>
          <w:bCs w:val="false"/>
          <w:i w:val="false"/>
          <w:iCs w:val="false"/>
          <w:color w:val="2A2A2A"/>
          <w:sz w:val="22"/>
          <w:szCs w:val="22"/>
        </w:rPr>
        <w:t xml:space="preserve">At the heart of Knowledge Intelligence is a framework for classifying, measuring, and governing knowledge across its full range — not just what has been written down, but everything the organisation knows. This paper defines what that framework looks like, and why building this capability is now both necessary and possible.</w:t>
      </w:r>
    </w:p>
    <w:p>
      <w:pPr>
        <w:pageBreakBefore/>
      </w:pPr>
      <w:r>
        <w:t xml:space="preserve"/>
      </w:r>
    </w:p>
    <w:p>
      <w:pPr>
        <w:spacing w:before="480" w:after="80"/>
      </w:pPr>
      <w:r>
        <w:rPr>
          <w:rFonts w:ascii="Arial" w:cs="Arial" w:eastAsia="Arial" w:hAnsi="Arial"/>
          <w:b/>
          <w:bCs/>
          <w:color w:val="C8A84A"/>
          <w:spacing w:val="120"/>
          <w:sz w:val="18"/>
          <w:szCs w:val="18"/>
        </w:rPr>
        <w:t xml:space="preserve">1 — WHAT KNOWLEDGE ACTUALLY IS</w:t>
      </w:r>
    </w:p>
    <w:p>
      <w:pPr>
        <w:pStyle w:val="Heading1"/>
        <w:spacing w:before="480" w:after="160"/>
      </w:pPr>
      <w:r>
        <w:rPr>
          <w:rFonts w:ascii="Arial" w:cs="Arial" w:eastAsia="Arial" w:hAnsi="Arial"/>
          <w:b/>
          <w:bCs/>
          <w:color w:val="1A1A2E"/>
          <w:sz w:val="36"/>
          <w:szCs w:val="36"/>
        </w:rPr>
        <w:t xml:space="preserve">Knowledge is not a thing. It is everything an organisation knows — in every form it takes.</w:t>
      </w:r>
    </w:p>
    <w:p>
      <w:pPr>
        <w:spacing w:before="80" w:after="160" w:line="360"/>
      </w:pPr>
      <w:r>
        <w:rPr>
          <w:rFonts w:ascii="Arial" w:cs="Arial" w:eastAsia="Arial" w:hAnsi="Arial"/>
          <w:b w:val="false"/>
          <w:bCs w:val="false"/>
          <w:i w:val="false"/>
          <w:iCs w:val="false"/>
          <w:color w:val="2A2A2A"/>
          <w:sz w:val="22"/>
          <w:szCs w:val="22"/>
        </w:rPr>
        <w:t xml:space="preserve">Before any intelligence framework can be built, there has to be clarity about what knowledge actually is. Not knowledge as a vague concept, but knowledge as a practical reality — the full range of what an organisation knows, holds, and depends on.</w:t>
      </w:r>
    </w:p>
    <w:p>
      <w:pPr>
        <w:spacing w:before="80" w:after="160" w:line="360"/>
      </w:pPr>
      <w:r>
        <w:rPr>
          <w:rFonts w:ascii="Arial" w:cs="Arial" w:eastAsia="Arial" w:hAnsi="Arial"/>
          <w:b w:val="false"/>
          <w:bCs w:val="false"/>
          <w:i w:val="false"/>
          <w:iCs w:val="false"/>
          <w:color w:val="2A2A2A"/>
          <w:sz w:val="22"/>
          <w:szCs w:val="22"/>
        </w:rPr>
        <w:t xml:space="preserve">That range is vast. It spans the highly visible and the entirely invisible. And critically, the most visible part — the documents, reports, and records that fill enterprise systems — is also the smallest part.</w:t>
      </w:r>
    </w:p>
    <w:p>
      <w:pPr>
        <w:pBdr>
          <w:left w:val="single" w:color="C8A84A" w:sz="6" w:space="1"/>
        </w:pBdr>
        <w:spacing w:before="320" w:after="320"/>
        <w:ind w:left="480"/>
      </w:pPr>
      <w:r>
        <w:rPr>
          <w:rFonts w:ascii="Arial" w:cs="Arial" w:eastAsia="Arial" w:hAnsi="Arial"/>
          <w:b/>
          <w:bCs/>
          <w:i/>
          <w:iCs/>
          <w:color w:val="1A1A2E"/>
          <w:sz w:val="26"/>
          <w:szCs w:val="26"/>
        </w:rPr>
        <w:t xml:space="preserve">Knowledge expressed in words and numbers represents only the tip of the iceberg. The larger part is tacit: highly personal, hard to formalise, and deeply rooted in action, experience, and individual values.</w:t>
      </w:r>
      <w:r>
        <w:rPr>
          <w:rFonts w:ascii="Arial" w:cs="Arial" w:eastAsia="Arial" w:hAnsi="Arial"/>
          <w:color w:val="888888"/>
          <w:sz w:val="18"/>
          <w:szCs w:val="18"/>
        </w:rPr>
        <w:br/>
        <w:t xml:space="preserve">
— Nonaka &amp; Takeuchi, The Knowledge-Creating Company, 1995</w:t>
      </w:r>
    </w:p>
    <w:p>
      <w:pPr>
        <w:pStyle w:val="Heading3"/>
        <w:spacing w:before="280" w:after="80"/>
      </w:pPr>
      <w:r>
        <w:rPr>
          <w:rFonts w:ascii="Arial" w:cs="Arial" w:eastAsia="Arial" w:hAnsi="Arial"/>
          <w:b/>
          <w:bCs/>
          <w:color w:val="1A1A2E"/>
          <w:sz w:val="24"/>
          <w:szCs w:val="24"/>
        </w:rPr>
        <w:t xml:space="preserve">What organisations know but cannot easily say</w:t>
      </w:r>
    </w:p>
    <w:p>
      <w:pPr>
        <w:spacing w:before="80" w:after="160" w:line="360"/>
      </w:pPr>
      <w:r>
        <w:rPr>
          <w:rFonts w:ascii="Arial" w:cs="Arial" w:eastAsia="Arial" w:hAnsi="Arial"/>
          <w:b w:val="false"/>
          <w:bCs w:val="false"/>
          <w:i w:val="false"/>
          <w:iCs w:val="false"/>
          <w:color w:val="2A2A2A"/>
          <w:sz w:val="22"/>
          <w:szCs w:val="22"/>
        </w:rPr>
        <w:t xml:space="preserve">Tacit knowledge is the largest and least visible part of the knowledge universe. It cannot be extracted, stored, or transferred the way a document can. It lives in people, relationships, culture, and practice — and it accounts for approximately 80% of everything an organisation truly knows. It is also the part most at risk of disappearing unnoticed.</w:t>
      </w:r>
    </w:p>
    <w:p>
      <w:pPr>
        <w:spacing w:before="40" w:after="40"/>
      </w:pPr>
      <w:r>
        <w:rPr>
          <w:rFonts w:ascii="Arial" w:cs="Arial" w:eastAsia="Arial" w:hAnsi="Arial"/>
          <w:i/>
          <w:iCs/>
          <w:color w:val="888888"/>
          <w:sz w:val="17"/>
          <w:szCs w:val="17"/>
        </w:rPr>
        <w:t xml:space="preserve">Source: Nonaka &amp; Takeuchi, 1995</w:t>
      </w:r>
    </w:p>
    <w:p>
      <w:pPr>
        <w:pStyle w:val="Heading3"/>
        <w:spacing w:before="280" w:after="80"/>
      </w:pPr>
      <w:r>
        <w:rPr>
          <w:rFonts w:ascii="Arial" w:cs="Arial" w:eastAsia="Arial" w:hAnsi="Arial"/>
          <w:b/>
          <w:bCs/>
          <w:color w:val="1A1A2E"/>
          <w:sz w:val="24"/>
          <w:szCs w:val="24"/>
        </w:rPr>
        <w:t xml:space="preserve">What organisations know and have expressed</w:t>
      </w:r>
    </w:p>
    <w:p>
      <w:pPr>
        <w:spacing w:before="80" w:after="160" w:line="360"/>
      </w:pPr>
      <w:r>
        <w:rPr>
          <w:rFonts w:ascii="Arial" w:cs="Arial" w:eastAsia="Arial" w:hAnsi="Arial"/>
          <w:b w:val="false"/>
          <w:bCs w:val="false"/>
          <w:i w:val="false"/>
          <w:iCs w:val="false"/>
          <w:color w:val="2A2A2A"/>
          <w:sz w:val="22"/>
          <w:szCs w:val="22"/>
        </w:rPr>
        <w:t xml:space="preserve">Explicit knowledge is what has been written down and captured — in documents, data, and structured form. It is the part most enterprise systems are built to manage. But it represents only a fraction of the full knowledge universe, and even this visible layer presents significant governance challenges at scale.</w:t>
      </w:r>
    </w:p>
    <w:p>
      <w:pPr>
        <w:pBdr>
          <w:left w:val="single" w:color="C8A84A" w:sz="6" w:space="1"/>
        </w:pBdr>
        <w:spacing w:before="320" w:after="320"/>
        <w:ind w:left="480"/>
      </w:pPr>
      <w:r>
        <w:rPr>
          <w:rFonts w:ascii="Arial" w:cs="Arial" w:eastAsia="Arial" w:hAnsi="Arial"/>
          <w:b/>
          <w:bCs/>
          <w:i/>
          <w:iCs/>
          <w:color w:val="1A1A2E"/>
          <w:sz w:val="26"/>
          <w:szCs w:val="26"/>
        </w:rPr>
        <w:t xml:space="preserve">Enterprise systems manage the fraction of knowledge that has been written down. Knowledge Intelligence governs the universe it sits within.</w:t>
      </w:r>
    </w:p>
    <w:p>
      <w:pPr>
        <w:pageBreakBefore/>
      </w:pPr>
      <w:r>
        <w:t xml:space="preserve"/>
      </w:r>
    </w:p>
    <w:p>
      <w:pPr>
        <w:spacing w:before="480" w:after="80"/>
      </w:pPr>
      <w:r>
        <w:rPr>
          <w:rFonts w:ascii="Arial" w:cs="Arial" w:eastAsia="Arial" w:hAnsi="Arial"/>
          <w:b/>
          <w:bCs/>
          <w:color w:val="C8A84A"/>
          <w:spacing w:val="120"/>
          <w:sz w:val="18"/>
          <w:szCs w:val="18"/>
        </w:rPr>
        <w:t xml:space="preserve">2 — THE MEASUREMENT PROBLEM</w:t>
      </w:r>
    </w:p>
    <w:p>
      <w:pPr>
        <w:pStyle w:val="Heading1"/>
        <w:spacing w:before="480" w:after="160"/>
      </w:pPr>
      <w:r>
        <w:rPr>
          <w:rFonts w:ascii="Arial" w:cs="Arial" w:eastAsia="Arial" w:hAnsi="Arial"/>
          <w:b/>
          <w:bCs/>
          <w:color w:val="1A1A2E"/>
          <w:sz w:val="36"/>
          <w:szCs w:val="36"/>
        </w:rPr>
        <w:t xml:space="preserve">Why knowledge has resisted being governed until now.</w:t>
      </w:r>
    </w:p>
    <w:p>
      <w:pPr>
        <w:spacing w:before="80" w:after="160" w:line="360"/>
      </w:pPr>
      <w:r>
        <w:rPr>
          <w:rFonts w:ascii="Arial" w:cs="Arial" w:eastAsia="Arial" w:hAnsi="Arial"/>
          <w:b w:val="false"/>
          <w:bCs w:val="false"/>
          <w:i w:val="false"/>
          <w:iCs w:val="false"/>
          <w:color w:val="2A2A2A"/>
          <w:sz w:val="22"/>
          <w:szCs w:val="22"/>
        </w:rPr>
        <w:t xml:space="preserve">If knowledge is so clearly valuable, why has no framework for measuring and governing it yet emerged? Not for lack of interest. Knowledge presents genuinely hard problems that no existing system has been designed to solve. The cost of that gap is well documented, even if the solutions remain absent.</w:t>
      </w:r>
    </w:p>
    <w:p>
      <w:pPr>
        <w:pStyle w:val="Heading3"/>
        <w:spacing w:before="280" w:after="80"/>
      </w:pPr>
      <w:r>
        <w:rPr>
          <w:rFonts w:ascii="Arial" w:cs="Arial" w:eastAsia="Arial" w:hAnsi="Arial"/>
          <w:b/>
          <w:bCs/>
          <w:color w:val="1A1A2E"/>
          <w:sz w:val="24"/>
          <w:szCs w:val="24"/>
        </w:rPr>
        <w:t xml:space="preserve">01  Knowledge has no agreed unit of measure</w:t>
      </w:r>
    </w:p>
    <w:p>
      <w:pPr>
        <w:spacing w:before="80" w:after="160" w:line="360"/>
      </w:pPr>
      <w:r>
        <w:rPr>
          <w:rFonts w:ascii="Arial" w:cs="Arial" w:eastAsia="Arial" w:hAnsi="Arial"/>
          <w:b w:val="false"/>
          <w:bCs w:val="false"/>
          <w:i w:val="false"/>
          <w:iCs w:val="false"/>
          <w:color w:val="2A2A2A"/>
          <w:sz w:val="22"/>
          <w:szCs w:val="22"/>
        </w:rPr>
        <w:t xml:space="preserve">A decade of domain expertise, a library of validated research, and a set of informal but critical relationships — how do you compare these? How do you decide which to invest in, which to protect, which is at risk? Without a shared way of measuring knowledge, these decisions remain matters of instinct rather than evidence. Governance without measurement is just guesswork.</w:t>
      </w:r>
    </w:p>
    <w:p>
      <w:pPr>
        <w:pStyle w:val="Heading3"/>
        <w:spacing w:before="280" w:after="80"/>
      </w:pPr>
      <w:r>
        <w:rPr>
          <w:rFonts w:ascii="Arial" w:cs="Arial" w:eastAsia="Arial" w:hAnsi="Arial"/>
          <w:b/>
          <w:bCs/>
          <w:color w:val="1A1A2E"/>
          <w:sz w:val="24"/>
          <w:szCs w:val="24"/>
        </w:rPr>
        <w:t xml:space="preserve">02  Tacit knowledge is invisible to existing systems</w:t>
      </w:r>
    </w:p>
    <w:p>
      <w:pPr>
        <w:spacing w:before="80" w:after="160" w:line="360"/>
      </w:pPr>
      <w:r>
        <w:rPr>
          <w:rFonts w:ascii="Arial" w:cs="Arial" w:eastAsia="Arial" w:hAnsi="Arial"/>
          <w:b w:val="false"/>
          <w:bCs w:val="false"/>
          <w:i w:val="false"/>
          <w:iCs w:val="false"/>
          <w:color w:val="2A2A2A"/>
          <w:sz w:val="22"/>
          <w:szCs w:val="22"/>
        </w:rPr>
        <w:t xml:space="preserve">The enterprise content stack can only work with what has been written down and captured. The expertise in people's heads, the institutional memory embedded in practice, the relationships that determine how decisions really get made: none of these show up in any current platform. APQC's 2024 research identified tacit knowledge capture as the most urgent priority for knowledge management teams precisely because the gap is now widely felt, even if it is not yet closed.</w:t>
      </w:r>
    </w:p>
    <w:p>
      <w:pPr>
        <w:spacing w:before="40" w:after="40"/>
      </w:pPr>
      <w:r>
        <w:rPr>
          <w:rFonts w:ascii="Arial" w:cs="Arial" w:eastAsia="Arial" w:hAnsi="Arial"/>
          <w:i/>
          <w:iCs/>
          <w:color w:val="888888"/>
          <w:sz w:val="17"/>
          <w:szCs w:val="17"/>
        </w:rPr>
        <w:t xml:space="preserve">Source: APQC, 2024</w:t>
      </w:r>
    </w:p>
    <w:p>
      <w:pPr>
        <w:pStyle w:val="Heading3"/>
        <w:spacing w:before="280" w:after="80"/>
      </w:pPr>
      <w:r>
        <w:rPr>
          <w:rFonts w:ascii="Arial" w:cs="Arial" w:eastAsia="Arial" w:hAnsi="Arial"/>
          <w:b/>
          <w:bCs/>
          <w:color w:val="1A1A2E"/>
          <w:sz w:val="24"/>
          <w:szCs w:val="24"/>
        </w:rPr>
        <w:t xml:space="preserve">03  Knowledge value is context-dependent</w:t>
      </w:r>
    </w:p>
    <w:p>
      <w:pPr>
        <w:spacing w:before="80" w:after="160" w:line="360"/>
      </w:pPr>
      <w:r>
        <w:rPr>
          <w:rFonts w:ascii="Arial" w:cs="Arial" w:eastAsia="Arial" w:hAnsi="Arial"/>
          <w:b w:val="false"/>
          <w:bCs w:val="false"/>
          <w:i w:val="false"/>
          <w:iCs w:val="false"/>
          <w:color w:val="2A2A2A"/>
          <w:sz w:val="22"/>
          <w:szCs w:val="22"/>
        </w:rPr>
        <w:t xml:space="preserve">A piece of knowledge can be highly valuable in one context and irrelevant in another. Its value is also dynamic. It depreciates as conditions change, and appreciates as it becomes more applicable. Static asset valuation frameworks are not designed for assets whose value shifts continuously in response to context.</w:t>
      </w:r>
    </w:p>
    <w:p>
      <w:pPr>
        <w:pStyle w:val="Heading3"/>
        <w:spacing w:before="280" w:after="80"/>
      </w:pPr>
      <w:r>
        <w:rPr>
          <w:rFonts w:ascii="Arial" w:cs="Arial" w:eastAsia="Arial" w:hAnsi="Arial"/>
          <w:b/>
          <w:bCs/>
          <w:color w:val="1A1A2E"/>
          <w:sz w:val="24"/>
          <w:szCs w:val="24"/>
        </w:rPr>
        <w:t xml:space="preserve">04  Confidence is absent from all current frameworks</w:t>
      </w:r>
    </w:p>
    <w:p>
      <w:pPr>
        <w:spacing w:before="80" w:after="160" w:line="360"/>
      </w:pPr>
      <w:r>
        <w:rPr>
          <w:rFonts w:ascii="Arial" w:cs="Arial" w:eastAsia="Arial" w:hAnsi="Arial"/>
          <w:b w:val="false"/>
          <w:bCs w:val="false"/>
          <w:i w:val="false"/>
          <w:iCs w:val="false"/>
          <w:color w:val="2A2A2A"/>
          <w:sz w:val="22"/>
          <w:szCs w:val="22"/>
        </w:rPr>
        <w:t xml:space="preserve">Even where knowledge has been captured, no current framework distinguishes between what an organisation knows with high confidence and what it merely believes, assumes, or has recorded without validation. In 2024, 47% of enterprise AI users reported making at least one major decision based on content that was later found to be inaccurate or hallucinated. All explicit knowledge is treated as equally credible, which means none of it is truly governed.</w:t>
      </w:r>
    </w:p>
    <w:p>
      <w:pPr>
        <w:spacing w:before="40" w:after="40"/>
      </w:pPr>
      <w:r>
        <w:rPr>
          <w:rFonts w:ascii="Arial" w:cs="Arial" w:eastAsia="Arial" w:hAnsi="Arial"/>
          <w:i/>
          <w:iCs/>
          <w:color w:val="888888"/>
          <w:sz w:val="17"/>
          <w:szCs w:val="17"/>
        </w:rPr>
        <w:t xml:space="preserve">Source: Enterprise AI survey, Fullview.io, 2024</w:t>
      </w:r>
    </w:p>
    <w:p>
      <w:pPr>
        <w:spacing w:before="200" w:after="0"/>
      </w:pPr>
      <w:r>
        <w:t xml:space="preserve"/>
      </w:r>
    </w:p>
    <w:p>
      <w:pPr>
        <w:pBdr>
          <w:left w:val="single" w:color="C8A84A" w:sz="6" w:space="1"/>
        </w:pBdr>
        <w:spacing w:before="160" w:after="160"/>
        <w:ind w:left="360"/>
      </w:pPr>
      <w:r>
        <w:rPr>
          <w:rFonts w:ascii="Arial" w:cs="Arial" w:eastAsia="Arial" w:hAnsi="Arial"/>
          <w:b/>
          <w:bCs/>
          <w:i/>
          <w:iCs/>
          <w:color w:val="1A1A2E"/>
          <w:sz w:val="28"/>
          <w:szCs w:val="28"/>
        </w:rPr>
        <w:t xml:space="preserve">The most valuable thing an organisation knows is the thing it doesn't know it knows.</w:t>
      </w:r>
    </w:p>
    <w:p>
      <w:pPr>
        <w:spacing w:after="200"/>
        <w:ind w:left="360"/>
      </w:pPr>
      <w:r>
        <w:rPr>
          <w:rFonts w:ascii="Arial" w:cs="Arial" w:eastAsia="Arial" w:hAnsi="Arial"/>
          <w:color w:val="888888"/>
          <w:sz w:val="19"/>
          <w:szCs w:val="19"/>
        </w:rPr>
        <w:t xml:space="preserve">— Tommy Lowe</w:t>
      </w:r>
    </w:p>
    <w:p>
      <w:pPr>
        <w:pStyle w:val="Heading3"/>
        <w:spacing w:before="280" w:after="80"/>
      </w:pPr>
      <w:r>
        <w:rPr>
          <w:rFonts w:ascii="Arial" w:cs="Arial" w:eastAsia="Arial" w:hAnsi="Arial"/>
          <w:b/>
          <w:bCs/>
          <w:color w:val="1A1A2E"/>
          <w:sz w:val="24"/>
          <w:szCs w:val="24"/>
        </w:rPr>
        <w:t xml:space="preserve">The scale of the problem</w:t>
      </w:r>
    </w:p>
    <w:p>
      <w:pPr>
        <w:spacing w:before="160" w:after="80" w:line="320"/>
        <w:ind w:left="720" w:hanging="360"/>
      </w:pPr>
      <w:r>
        <w:rPr>
          <w:rFonts w:ascii="Arial" w:cs="Arial" w:eastAsia="Arial" w:hAnsi="Arial"/>
          <w:b/>
          <w:bCs/>
          <w:color w:val="C8A84A"/>
          <w:sz w:val="22"/>
          <w:szCs w:val="22"/>
        </w:rPr>
        <w:t xml:space="preserve">01  </w:t>
      </w:r>
      <w:r>
        <w:rPr>
          <w:rFonts w:ascii="Arial" w:cs="Arial" w:eastAsia="Arial" w:hAnsi="Arial"/>
          <w:color w:val="2A2A2A"/>
          <w:sz w:val="22"/>
          <w:szCs w:val="22"/>
        </w:rPr>
        <w:t xml:space="preserve">57% of organisational knowledge is lost when an employee leaves without adequate knowledge transfer in place.</w:t>
      </w:r>
    </w:p>
    <w:p>
      <w:pPr>
        <w:spacing w:before="40" w:after="40"/>
      </w:pPr>
      <w:r>
        <w:rPr>
          <w:rFonts w:ascii="Arial" w:cs="Arial" w:eastAsia="Arial" w:hAnsi="Arial"/>
          <w:i/>
          <w:iCs/>
          <w:color w:val="888888"/>
          <w:sz w:val="17"/>
          <w:szCs w:val="17"/>
        </w:rPr>
        <w:t xml:space="preserve">    McKinsey Global Institute, 2012</w:t>
      </w:r>
    </w:p>
    <w:p>
      <w:pPr>
        <w:spacing w:before="160" w:after="80" w:line="320"/>
        <w:ind w:left="720" w:hanging="360"/>
      </w:pPr>
      <w:r>
        <w:rPr>
          <w:rFonts w:ascii="Arial" w:cs="Arial" w:eastAsia="Arial" w:hAnsi="Arial"/>
          <w:b/>
          <w:bCs/>
          <w:color w:val="C8A84A"/>
          <w:sz w:val="22"/>
          <w:szCs w:val="22"/>
        </w:rPr>
        <w:t xml:space="preserve">02  </w:t>
      </w:r>
      <w:r>
        <w:rPr>
          <w:rFonts w:ascii="Arial" w:cs="Arial" w:eastAsia="Arial" w:hAnsi="Arial"/>
          <w:color w:val="2A2A2A"/>
          <w:sz w:val="22"/>
          <w:szCs w:val="22"/>
        </w:rPr>
        <w:t xml:space="preserve">48% of executives report that critical knowledge about procedures and strategy leaves with departing employees.</w:t>
      </w:r>
    </w:p>
    <w:p>
      <w:pPr>
        <w:spacing w:before="40" w:after="40"/>
      </w:pPr>
      <w:r>
        <w:rPr>
          <w:rFonts w:ascii="Arial" w:cs="Arial" w:eastAsia="Arial" w:hAnsi="Arial"/>
          <w:i/>
          <w:iCs/>
          <w:color w:val="888888"/>
          <w:sz w:val="17"/>
          <w:szCs w:val="17"/>
        </w:rPr>
        <w:t xml:space="preserve">    KMWorld Survey Report, 2024</w:t>
      </w:r>
    </w:p>
    <w:p>
      <w:pPr>
        <w:spacing w:before="160" w:after="80" w:line="320"/>
        <w:ind w:left="720" w:hanging="360"/>
      </w:pPr>
      <w:r>
        <w:rPr>
          <w:rFonts w:ascii="Arial" w:cs="Arial" w:eastAsia="Arial" w:hAnsi="Arial"/>
          <w:b/>
          <w:bCs/>
          <w:color w:val="C8A84A"/>
          <w:sz w:val="22"/>
          <w:szCs w:val="22"/>
        </w:rPr>
        <w:t xml:space="preserve">03  </w:t>
      </w:r>
      <w:r>
        <w:rPr>
          <w:rFonts w:ascii="Arial" w:cs="Arial" w:eastAsia="Arial" w:hAnsi="Arial"/>
          <w:color w:val="2A2A2A"/>
          <w:sz w:val="22"/>
          <w:szCs w:val="22"/>
        </w:rPr>
        <w:t xml:space="preserve">75% of leaders say they do not trust their own data enough to use it confidently for decision-making.</w:t>
      </w:r>
    </w:p>
    <w:p>
      <w:pPr>
        <w:spacing w:before="40" w:after="40"/>
      </w:pPr>
      <w:r>
        <w:rPr>
          <w:rFonts w:ascii="Arial" w:cs="Arial" w:eastAsia="Arial" w:hAnsi="Arial"/>
          <w:i/>
          <w:iCs/>
          <w:color w:val="888888"/>
          <w:sz w:val="17"/>
          <w:szCs w:val="17"/>
        </w:rPr>
        <w:t xml:space="preserve">    Dataversity / Gartner, 2025</w:t>
      </w:r>
    </w:p>
    <w:p>
      <w:pPr>
        <w:pageBreakBefore/>
      </w:pPr>
      <w:r>
        <w:t xml:space="preserve"/>
      </w:r>
    </w:p>
    <w:p>
      <w:pPr>
        <w:spacing w:before="480" w:after="80"/>
      </w:pPr>
      <w:r>
        <w:rPr>
          <w:rFonts w:ascii="Arial" w:cs="Arial" w:eastAsia="Arial" w:hAnsi="Arial"/>
          <w:b/>
          <w:bCs/>
          <w:color w:val="C8A84A"/>
          <w:spacing w:val="120"/>
          <w:sz w:val="18"/>
          <w:szCs w:val="18"/>
        </w:rPr>
        <w:t xml:space="preserve">3 — WHY NOW</w:t>
      </w:r>
    </w:p>
    <w:p>
      <w:pPr>
        <w:pStyle w:val="Heading1"/>
        <w:spacing w:before="480" w:after="160"/>
      </w:pPr>
      <w:r>
        <w:rPr>
          <w:rFonts w:ascii="Arial" w:cs="Arial" w:eastAsia="Arial" w:hAnsi="Arial"/>
          <w:b/>
          <w:bCs/>
          <w:color w:val="1A1A2E"/>
          <w:sz w:val="36"/>
          <w:szCs w:val="36"/>
        </w:rPr>
        <w:t xml:space="preserve">Three conditions that have converged to make this possible.</w:t>
      </w:r>
    </w:p>
    <w:p>
      <w:pPr>
        <w:spacing w:before="80" w:after="160" w:line="360"/>
      </w:pPr>
      <w:r>
        <w:rPr>
          <w:rFonts w:ascii="Arial" w:cs="Arial" w:eastAsia="Arial" w:hAnsi="Arial"/>
          <w:b w:val="false"/>
          <w:bCs w:val="false"/>
          <w:i w:val="false"/>
          <w:iCs w:val="false"/>
          <w:color w:val="2A2A2A"/>
          <w:sz w:val="22"/>
          <w:szCs w:val="22"/>
        </w:rPr>
        <w:t xml:space="preserve">New categories don't emerge arbitrarily. They emerge when the need is clear, the infrastructure is ready, and the capability to act on it exists. All three are now in place for Knowledge Intelligence.</w:t>
      </w:r>
    </w:p>
    <w:p>
      <w:pPr>
        <w:pStyle w:val="Heading3"/>
        <w:spacing w:before="280" w:after="80"/>
      </w:pPr>
      <w:r>
        <w:rPr>
          <w:rFonts w:ascii="Arial" w:cs="Arial" w:eastAsia="Arial" w:hAnsi="Arial"/>
          <w:b/>
          <w:bCs/>
          <w:color w:val="1A1A2E"/>
          <w:sz w:val="24"/>
          <w:szCs w:val="24"/>
        </w:rPr>
        <w:t xml:space="preserve">Condition 01 — Content estates have reached meaningful scale</w:t>
      </w:r>
    </w:p>
    <w:p>
      <w:pPr>
        <w:spacing w:before="80" w:after="160" w:line="360"/>
      </w:pPr>
      <w:r>
        <w:rPr>
          <w:rFonts w:ascii="Arial" w:cs="Arial" w:eastAsia="Arial" w:hAnsi="Arial"/>
          <w:b w:val="false"/>
          <w:bCs w:val="false"/>
          <w:i w:val="false"/>
          <w:iCs w:val="false"/>
          <w:color w:val="2A2A2A"/>
          <w:sz w:val="22"/>
          <w:szCs w:val="22"/>
        </w:rPr>
        <w:t xml:space="preserve">Large organisations now hold content estates of sufficient volume and variety that patterns within them are genuinely significant. The signal-to-noise challenge is no longer a niche concern. It is a primary operational and strategic condition, and the estate is large enough that intelligence extracted from it carries real strategic weight.</w:t>
      </w:r>
    </w:p>
    <w:p>
      <w:pPr>
        <w:pStyle w:val="Heading3"/>
        <w:spacing w:before="280" w:after="80"/>
      </w:pPr>
      <w:r>
        <w:rPr>
          <w:rFonts w:ascii="Arial" w:cs="Arial" w:eastAsia="Arial" w:hAnsi="Arial"/>
          <w:b/>
          <w:bCs/>
          <w:color w:val="1A1A2E"/>
          <w:sz w:val="24"/>
          <w:szCs w:val="24"/>
        </w:rPr>
        <w:t xml:space="preserve">Condition 02 — AI has made meaning extraction possible at scale</w:t>
      </w:r>
    </w:p>
    <w:p>
      <w:pPr>
        <w:spacing w:before="80" w:after="160" w:line="360"/>
      </w:pPr>
      <w:r>
        <w:rPr>
          <w:rFonts w:ascii="Arial" w:cs="Arial" w:eastAsia="Arial" w:hAnsi="Arial"/>
          <w:b w:val="false"/>
          <w:bCs w:val="false"/>
          <w:i w:val="false"/>
          <w:iCs w:val="false"/>
          <w:color w:val="2A2A2A"/>
          <w:sz w:val="22"/>
          <w:szCs w:val="22"/>
        </w:rPr>
        <w:t xml:space="preserve">For most of the history of content management, extracting meaning from large, varied content estates required an enormous amount of manual effort. That constraint has lifted. 78% of organisations now use AI in at least one business function, yet nearly two-thirds have not yet begun scaling it across the enterprise. The technology exists. What is missing is the governing intelligence layer that makes AI outputs trustworthy enough to act on.</w:t>
      </w:r>
    </w:p>
    <w:p>
      <w:pPr>
        <w:spacing w:before="40" w:after="40"/>
      </w:pPr>
      <w:r>
        <w:rPr>
          <w:rFonts w:ascii="Arial" w:cs="Arial" w:eastAsia="Arial" w:hAnsi="Arial"/>
          <w:i/>
          <w:iCs/>
          <w:color w:val="888888"/>
          <w:sz w:val="17"/>
          <w:szCs w:val="17"/>
        </w:rPr>
        <w:t xml:space="preserve">Source: McKinsey, 2025</w:t>
      </w:r>
    </w:p>
    <w:p>
      <w:pPr>
        <w:pStyle w:val="Heading3"/>
        <w:spacing w:before="280" w:after="80"/>
      </w:pPr>
      <w:r>
        <w:rPr>
          <w:rFonts w:ascii="Arial" w:cs="Arial" w:eastAsia="Arial" w:hAnsi="Arial"/>
          <w:b/>
          <w:bCs/>
          <w:color w:val="1A1A2E"/>
          <w:sz w:val="24"/>
          <w:szCs w:val="24"/>
        </w:rPr>
        <w:t xml:space="preserve">Condition 03 — Decision stakes have raised the bar for confidence</w:t>
      </w:r>
    </w:p>
    <w:p>
      <w:pPr>
        <w:spacing w:before="80" w:after="160" w:line="360"/>
      </w:pPr>
      <w:r>
        <w:rPr>
          <w:rFonts w:ascii="Arial" w:cs="Arial" w:eastAsia="Arial" w:hAnsi="Arial"/>
          <w:b w:val="false"/>
          <w:bCs w:val="false"/>
          <w:i w:val="false"/>
          <w:iCs w:val="false"/>
          <w:color w:val="2A2A2A"/>
          <w:sz w:val="22"/>
          <w:szCs w:val="22"/>
        </w:rPr>
        <w:t xml:space="preserve">In an environment of accelerating change, the cost of acting on poorly understood or misaligned knowledge has increased significantly. 74% of organisations report struggling to achieve and scale AI value despite widespread adoption, and the root cause is consistently the same: inadequate data and knowledge foundations, not inadequate technology. Leaders increasingly need not just information, but justified confidence: an evidenced basis for action that can be traced, challenged, and defended.</w:t>
      </w:r>
    </w:p>
    <w:p>
      <w:pPr>
        <w:spacing w:before="40" w:after="40"/>
      </w:pPr>
      <w:r>
        <w:rPr>
          <w:rFonts w:ascii="Arial" w:cs="Arial" w:eastAsia="Arial" w:hAnsi="Arial"/>
          <w:i/>
          <w:iCs/>
          <w:color w:val="888888"/>
          <w:sz w:val="17"/>
          <w:szCs w:val="17"/>
        </w:rPr>
        <w:t xml:space="preserve">Source: BCG, 2024</w:t>
      </w:r>
    </w:p>
    <w:p>
      <w:pPr>
        <w:pBdr>
          <w:left w:val="single" w:color="C8A84A" w:sz="4" w:space="1"/>
        </w:pBdr>
        <w:spacing w:before="160" w:after="160"/>
        <w:ind w:left="360"/>
      </w:pPr>
      <w:r>
        <w:rPr>
          <w:rFonts w:ascii="Arial" w:cs="Arial" w:eastAsia="Arial" w:hAnsi="Arial"/>
          <w:i/>
          <w:iCs/>
          <w:color w:val="4A4A6A"/>
          <w:sz w:val="20"/>
          <w:szCs w:val="20"/>
        </w:rPr>
        <w:t xml:space="preserve">All three conditions have converged. The moment for Knowledge Intelligence is now.</w:t>
      </w:r>
    </w:p>
    <w:p>
      <w:pPr>
        <w:pageBreakBefore/>
      </w:pPr>
      <w:r>
        <w:t xml:space="preserve"/>
      </w:r>
    </w:p>
    <w:p>
      <w:pPr>
        <w:spacing w:before="480" w:after="80"/>
      </w:pPr>
      <w:r>
        <w:rPr>
          <w:rFonts w:ascii="Arial" w:cs="Arial" w:eastAsia="Arial" w:hAnsi="Arial"/>
          <w:b/>
          <w:bCs/>
          <w:color w:val="C8A84A"/>
          <w:spacing w:val="120"/>
          <w:sz w:val="18"/>
          <w:szCs w:val="18"/>
        </w:rPr>
        <w:t xml:space="preserve">4 — CONTENT INTELLIGENCE</w:t>
      </w:r>
    </w:p>
    <w:p>
      <w:pPr>
        <w:pStyle w:val="Heading1"/>
        <w:spacing w:before="480" w:after="160"/>
      </w:pPr>
      <w:r>
        <w:rPr>
          <w:rFonts w:ascii="Arial" w:cs="Arial" w:eastAsia="Arial" w:hAnsi="Arial"/>
          <w:b/>
          <w:bCs/>
          <w:color w:val="1A1A2E"/>
          <w:sz w:val="36"/>
          <w:szCs w:val="36"/>
        </w:rPr>
        <w:t xml:space="preserve">The first layer we can act on — and the foundation for what follows.</w:t>
      </w:r>
    </w:p>
    <w:p>
      <w:pPr>
        <w:spacing w:before="80" w:after="160" w:line="360"/>
      </w:pPr>
      <w:r>
        <w:rPr>
          <w:rFonts w:ascii="Arial" w:cs="Arial" w:eastAsia="Arial" w:hAnsi="Arial"/>
          <w:b w:val="false"/>
          <w:bCs w:val="false"/>
          <w:i w:val="false"/>
          <w:iCs w:val="false"/>
          <w:color w:val="2A2A2A"/>
          <w:sz w:val="22"/>
          <w:szCs w:val="22"/>
        </w:rPr>
        <w:t xml:space="preserve">Given the challenges above, any practical path toward Knowledge Intelligence has to start with what we can act on right now: the explicit layer. Content Intelligence is the discipline of extracting meaning from an organisation's content estate at scale, assessing signal strength, evaluating reliability, and producing insight that can justify decisions rather than merely inform them.</w:t>
      </w:r>
    </w:p>
    <w:p>
      <w:pPr>
        <w:spacing w:before="80" w:after="160" w:line="360"/>
      </w:pPr>
      <w:r>
        <w:rPr>
          <w:rFonts w:ascii="Arial" w:cs="Arial" w:eastAsia="Arial" w:hAnsi="Arial"/>
          <w:b w:val="false"/>
          <w:bCs w:val="false"/>
          <w:i w:val="false"/>
          <w:iCs w:val="false"/>
          <w:color w:val="2A2A2A"/>
          <w:sz w:val="22"/>
          <w:szCs w:val="22"/>
        </w:rPr>
        <w:t xml:space="preserve">It is not the whole answer. But it is the necessary first layer, and it represents a fundamentally different way of thinking about the platforms that currently manage explicit knowledge.</w:t>
      </w:r>
    </w:p>
    <w:p>
      <w:pPr>
        <w:pStyle w:val="Heading3"/>
        <w:spacing w:before="280" w:after="80"/>
      </w:pPr>
      <w:r>
        <w:rPr>
          <w:rFonts w:ascii="Arial" w:cs="Arial" w:eastAsia="Arial" w:hAnsi="Arial"/>
          <w:b/>
          <w:bCs/>
          <w:color w:val="1A1A2E"/>
          <w:sz w:val="24"/>
          <w:szCs w:val="24"/>
        </w:rPr>
        <w:t xml:space="preserve">What Content Intelligence asks differently</w:t>
      </w:r>
    </w:p>
    <w:p>
      <w:pPr>
        <w:spacing w:before="80" w:after="160" w:line="360"/>
      </w:pPr>
      <w:r>
        <w:rPr>
          <w:rFonts w:ascii="Arial" w:cs="Arial" w:eastAsia="Arial" w:hAnsi="Arial"/>
          <w:b w:val="false"/>
          <w:bCs w:val="false"/>
          <w:i w:val="false"/>
          <w:iCs w:val="false"/>
          <w:color w:val="2A2A2A"/>
          <w:sz w:val="22"/>
          <w:szCs w:val="22"/>
        </w:rPr>
        <w:t xml:space="preserve">Where existing systems ask 'How should content be organised and found?', Content Intelligence asks 'What does this content collectively indicate?' Where existing platforms ask 'Is it accessible and compliant?', Content Intelligence asks 'How confident should we be in it?' This is not an incremental improvement — it is a different question entirely.</w:t>
      </w:r>
    </w:p>
    <w:p>
      <w:pPr>
        <w:pStyle w:val="Heading3"/>
        <w:spacing w:before="280" w:after="80"/>
      </w:pPr>
      <w:r>
        <w:rPr>
          <w:rFonts w:ascii="Arial" w:cs="Arial" w:eastAsia="Arial" w:hAnsi="Arial"/>
          <w:b/>
          <w:bCs/>
          <w:color w:val="1A1A2E"/>
          <w:sz w:val="24"/>
          <w:szCs w:val="24"/>
        </w:rPr>
        <w:t xml:space="preserve">The Content Intelligence pipeline</w:t>
      </w:r>
    </w:p>
    <w:p>
      <w:pPr>
        <w:spacing w:before="80" w:after="160" w:line="360"/>
      </w:pPr>
      <w:r>
        <w:rPr>
          <w:rFonts w:ascii="Arial" w:cs="Arial" w:eastAsia="Arial" w:hAnsi="Arial"/>
          <w:b w:val="false"/>
          <w:bCs w:val="false"/>
          <w:i w:val="false"/>
          <w:iCs w:val="false"/>
          <w:color w:val="2A2A2A"/>
          <w:sz w:val="22"/>
          <w:szCs w:val="22"/>
        </w:rPr>
        <w:t xml:space="preserve">Content Intelligence is a pipeline, not a feature. Raw content enters, passes through layers of processing, and emerges as a confidence-weighted insight ready to support a decision.</w:t>
      </w:r>
    </w:p>
    <w:p>
      <w:pPr>
        <w:spacing w:before="160" w:after="80" w:line="320"/>
        <w:ind w:left="720" w:hanging="360"/>
      </w:pPr>
      <w:r>
        <w:rPr>
          <w:rFonts w:ascii="Arial" w:cs="Arial" w:eastAsia="Arial" w:hAnsi="Arial"/>
          <w:b/>
          <w:bCs/>
          <w:color w:val="C8A84A"/>
          <w:sz w:val="22"/>
          <w:szCs w:val="22"/>
        </w:rPr>
        <w:t xml:space="preserve">01  </w:t>
      </w:r>
      <w:r>
        <w:rPr>
          <w:rFonts w:ascii="Arial" w:cs="Arial" w:eastAsia="Arial" w:hAnsi="Arial"/>
          <w:color w:val="2A2A2A"/>
          <w:sz w:val="22"/>
          <w:szCs w:val="22"/>
        </w:rPr>
        <w:t xml:space="preserve">Raw Content — documents, data, records enter as the unprocessed content estate</w:t>
      </w:r>
    </w:p>
    <w:p>
      <w:pPr>
        <w:spacing w:before="160" w:after="80" w:line="320"/>
        <w:ind w:left="720" w:hanging="360"/>
      </w:pPr>
      <w:r>
        <w:rPr>
          <w:rFonts w:ascii="Arial" w:cs="Arial" w:eastAsia="Arial" w:hAnsi="Arial"/>
          <w:b/>
          <w:bCs/>
          <w:color w:val="C8A84A"/>
          <w:sz w:val="22"/>
          <w:szCs w:val="22"/>
        </w:rPr>
        <w:t xml:space="preserve">02  </w:t>
      </w:r>
      <w:r>
        <w:rPr>
          <w:rFonts w:ascii="Arial" w:cs="Arial" w:eastAsia="Arial" w:hAnsi="Arial"/>
          <w:color w:val="2A2A2A"/>
          <w:sz w:val="22"/>
          <w:szCs w:val="22"/>
        </w:rPr>
        <w:t xml:space="preserve">Meaning Extraction — AI reads and interprets content at scale: concepts, entities, claims</w:t>
      </w:r>
    </w:p>
    <w:p>
      <w:pPr>
        <w:spacing w:before="160" w:after="80" w:line="320"/>
        <w:ind w:left="720" w:hanging="360"/>
      </w:pPr>
      <w:r>
        <w:rPr>
          <w:rFonts w:ascii="Arial" w:cs="Arial" w:eastAsia="Arial" w:hAnsi="Arial"/>
          <w:b/>
          <w:bCs/>
          <w:color w:val="C8A84A"/>
          <w:sz w:val="22"/>
          <w:szCs w:val="22"/>
        </w:rPr>
        <w:t xml:space="preserve">03  </w:t>
      </w:r>
      <w:r>
        <w:rPr>
          <w:rFonts w:ascii="Arial" w:cs="Arial" w:eastAsia="Arial" w:hAnsi="Arial"/>
          <w:color w:val="2A2A2A"/>
          <w:sz w:val="22"/>
          <w:szCs w:val="22"/>
        </w:rPr>
        <w:t xml:space="preserve">Confidence Weighting — each insight is assigned a confidence level based on source quality and corroboration</w:t>
      </w:r>
    </w:p>
    <w:p>
      <w:pPr>
        <w:spacing w:before="160" w:after="80" w:line="320"/>
        <w:ind w:left="720" w:hanging="360"/>
      </w:pPr>
      <w:r>
        <w:rPr>
          <w:rFonts w:ascii="Arial" w:cs="Arial" w:eastAsia="Arial" w:hAnsi="Arial"/>
          <w:b/>
          <w:bCs/>
          <w:color w:val="C8A84A"/>
          <w:sz w:val="22"/>
          <w:szCs w:val="22"/>
        </w:rPr>
        <w:t xml:space="preserve">04  </w:t>
      </w:r>
      <w:r>
        <w:rPr>
          <w:rFonts w:ascii="Arial" w:cs="Arial" w:eastAsia="Arial" w:hAnsi="Arial"/>
          <w:color w:val="2A2A2A"/>
          <w:sz w:val="22"/>
          <w:szCs w:val="22"/>
        </w:rPr>
        <w:t xml:space="preserve">Governed Insight — trusted, traceable, ready to inform a decision — or withheld if confidence is insufficient</w:t>
      </w:r>
    </w:p>
    <w:p>
      <w:pPr>
        <w:pStyle w:val="Heading3"/>
        <w:spacing w:before="280" w:after="80"/>
      </w:pPr>
      <w:r>
        <w:rPr>
          <w:rFonts w:ascii="Arial" w:cs="Arial" w:eastAsia="Arial" w:hAnsi="Arial"/>
          <w:b/>
          <w:bCs/>
          <w:color w:val="1A1A2E"/>
          <w:sz w:val="24"/>
          <w:szCs w:val="24"/>
        </w:rPr>
        <w:t xml:space="preserve">Confidence thresholds — illustrative framework</w:t>
      </w:r>
    </w:p>
    <w:p>
      <w:pPr>
        <w:spacing w:before="80" w:after="160" w:line="360"/>
      </w:pPr>
      <w:r>
        <w:rPr>
          <w:rFonts w:ascii="Arial" w:cs="Arial" w:eastAsia="Arial" w:hAnsi="Arial"/>
          <w:b w:val="false"/>
          <w:bCs w:val="false"/>
          <w:i w:val="false"/>
          <w:iCs w:val="false"/>
          <w:color w:val="2A2A2A"/>
          <w:sz w:val="22"/>
          <w:szCs w:val="22"/>
        </w:rPr>
        <w:t xml:space="preserve">A defining property of Content Intelligence is that every insight carries a weight. The system distinguishes between signal types and governs what each is permitted to influence.</w:t>
      </w:r>
    </w:p>
    <w:p>
      <w:pPr>
        <w:spacing w:before="160" w:after="80" w:line="320"/>
        <w:ind w:left="720" w:hanging="360"/>
      </w:pPr>
      <w:r>
        <w:rPr>
          <w:rFonts w:ascii="Arial" w:cs="Arial" w:eastAsia="Arial" w:hAnsi="Arial"/>
          <w:b/>
          <w:bCs/>
          <w:color w:val="C8A84A"/>
          <w:sz w:val="22"/>
          <w:szCs w:val="22"/>
        </w:rPr>
        <w:t xml:space="preserve">01  </w:t>
      </w:r>
      <w:r>
        <w:rPr>
          <w:rFonts w:ascii="Arial" w:cs="Arial" w:eastAsia="Arial" w:hAnsi="Arial"/>
          <w:color w:val="2A2A2A"/>
          <w:sz w:val="22"/>
          <w:szCs w:val="22"/>
        </w:rPr>
        <w:t xml:space="preserve">0.95 and above — Auto-validated: trusted to inform decisions without human review</w:t>
      </w:r>
    </w:p>
    <w:p>
      <w:pPr>
        <w:spacing w:before="160" w:after="80" w:line="320"/>
        <w:ind w:left="720" w:hanging="360"/>
      </w:pPr>
      <w:r>
        <w:rPr>
          <w:rFonts w:ascii="Arial" w:cs="Arial" w:eastAsia="Arial" w:hAnsi="Arial"/>
          <w:b/>
          <w:bCs/>
          <w:color w:val="C8A84A"/>
          <w:sz w:val="22"/>
          <w:szCs w:val="22"/>
        </w:rPr>
        <w:t xml:space="preserve">02  </w:t>
      </w:r>
      <w:r>
        <w:rPr>
          <w:rFonts w:ascii="Arial" w:cs="Arial" w:eastAsia="Arial" w:hAnsi="Arial"/>
          <w:color w:val="2A2A2A"/>
          <w:sz w:val="22"/>
          <w:szCs w:val="22"/>
        </w:rPr>
        <w:t xml:space="preserve">0.60 to 0.94 — Human review required: flagged for expert validation before influencing decisions</w:t>
      </w:r>
    </w:p>
    <w:p>
      <w:pPr>
        <w:spacing w:before="160" w:after="80" w:line="320"/>
        <w:ind w:left="720" w:hanging="360"/>
      </w:pPr>
      <w:r>
        <w:rPr>
          <w:rFonts w:ascii="Arial" w:cs="Arial" w:eastAsia="Arial" w:hAnsi="Arial"/>
          <w:b/>
          <w:bCs/>
          <w:color w:val="C8A84A"/>
          <w:sz w:val="22"/>
          <w:szCs w:val="22"/>
        </w:rPr>
        <w:t xml:space="preserve">03  </w:t>
      </w:r>
      <w:r>
        <w:rPr>
          <w:rFonts w:ascii="Arial" w:cs="Arial" w:eastAsia="Arial" w:hAnsi="Arial"/>
          <w:color w:val="2A2A2A"/>
          <w:sz w:val="22"/>
          <w:szCs w:val="22"/>
        </w:rPr>
        <w:t xml:space="preserve">Below 0.60 — Logged and withheld: recorded but not permitted to influence any decision</w:t>
      </w:r>
    </w:p>
    <w:p>
      <w:pPr>
        <w:pBdr>
          <w:left w:val="single" w:color="C8A84A" w:sz="4" w:space="1"/>
        </w:pBdr>
        <w:spacing w:before="160" w:after="160"/>
        <w:ind w:left="360"/>
      </w:pPr>
      <w:r>
        <w:rPr>
          <w:rFonts w:ascii="Arial" w:cs="Arial" w:eastAsia="Arial" w:hAnsi="Arial"/>
          <w:i/>
          <w:iCs/>
          <w:color w:val="4A4A6A"/>
          <w:sz w:val="20"/>
          <w:szCs w:val="20"/>
        </w:rPr>
        <w:t xml:space="preserve">Confidence thresholds are illustrative of the framework architecture, not empirically derived benchmarks.</w:t>
      </w:r>
    </w:p>
    <w:p>
      <w:pPr>
        <w:pageBreakBefore/>
      </w:pPr>
      <w:r>
        <w:t xml:space="preserve"/>
      </w:r>
    </w:p>
    <w:p>
      <w:pPr>
        <w:spacing w:before="480" w:after="80"/>
      </w:pPr>
      <w:r>
        <w:rPr>
          <w:rFonts w:ascii="Arial" w:cs="Arial" w:eastAsia="Arial" w:hAnsi="Arial"/>
          <w:b/>
          <w:bCs/>
          <w:color w:val="C8A84A"/>
          <w:spacing w:val="120"/>
          <w:sz w:val="18"/>
          <w:szCs w:val="18"/>
        </w:rPr>
        <w:t xml:space="preserve">5 — KNOWLEDGE INTELLIGENCE</w:t>
      </w:r>
    </w:p>
    <w:p>
      <w:pPr>
        <w:pStyle w:val="Heading1"/>
        <w:spacing w:before="480" w:after="160"/>
      </w:pPr>
      <w:r>
        <w:rPr>
          <w:rFonts w:ascii="Arial" w:cs="Arial" w:eastAsia="Arial" w:hAnsi="Arial"/>
          <w:b/>
          <w:bCs/>
          <w:color w:val="1A1A2E"/>
          <w:sz w:val="36"/>
          <w:szCs w:val="36"/>
        </w:rPr>
        <w:t xml:space="preserve">The capability that governs what an organisation knows — in full.</w:t>
      </w:r>
    </w:p>
    <w:p>
      <w:pPr>
        <w:spacing w:before="80" w:after="160" w:line="360"/>
      </w:pPr>
      <w:r>
        <w:rPr>
          <w:rFonts w:ascii="Arial" w:cs="Arial" w:eastAsia="Arial" w:hAnsi="Arial"/>
          <w:b w:val="false"/>
          <w:bCs w:val="false"/>
          <w:i w:val="false"/>
          <w:iCs w:val="false"/>
          <w:color w:val="2A2A2A"/>
          <w:sz w:val="22"/>
          <w:szCs w:val="22"/>
        </w:rPr>
        <w:t xml:space="preserve">Content Intelligence operates on what has been written down. Knowledge Intelligence goes further. It treats the complete knowledge estate — tacit and explicit together — as a single governed system, applying intelligence not just to documents and data but to expertise, relationships, institutional memory, and the accumulated understanding held by people across the organisation.</w:t>
      </w:r>
    </w:p>
    <w:p>
      <w:pPr>
        <w:spacing w:before="80" w:after="160" w:line="360"/>
      </w:pPr>
      <w:r>
        <w:rPr>
          <w:rFonts w:ascii="Arial" w:cs="Arial" w:eastAsia="Arial" w:hAnsi="Arial"/>
          <w:b w:val="false"/>
          <w:bCs w:val="false"/>
          <w:i w:val="false"/>
          <w:iCs w:val="false"/>
          <w:color w:val="2A2A2A"/>
          <w:sz w:val="22"/>
          <w:szCs w:val="22"/>
        </w:rPr>
        <w:t xml:space="preserve">The result is an intelligence layer that can answer questions no current platform can. Not just 'where is the document?' but 'how much should we trust it?' Not just 'who is the expert?' but 'what happens to that expertise when they leave?' Not just 'what do we know?' but 'how confident are we, and where are the gaps?'</w:t>
      </w:r>
    </w:p>
    <w:p>
      <w:pPr>
        <w:pStyle w:val="Heading3"/>
        <w:spacing w:before="280" w:after="80"/>
      </w:pPr>
      <w:r>
        <w:rPr>
          <w:rFonts w:ascii="Arial" w:cs="Arial" w:eastAsia="Arial" w:hAnsi="Arial"/>
          <w:b/>
          <w:bCs/>
          <w:color w:val="1A1A2E"/>
          <w:sz w:val="24"/>
          <w:szCs w:val="24"/>
        </w:rPr>
        <w:t xml:space="preserve">Bringing tacit knowledge into the framework</w:t>
      </w:r>
    </w:p>
    <w:p>
      <w:pPr>
        <w:spacing w:before="80" w:after="160" w:line="360"/>
      </w:pPr>
      <w:r>
        <w:rPr>
          <w:rFonts w:ascii="Arial" w:cs="Arial" w:eastAsia="Arial" w:hAnsi="Arial"/>
          <w:b w:val="false"/>
          <w:bCs w:val="false"/>
          <w:i w:val="false"/>
          <w:iCs w:val="false"/>
          <w:color w:val="2A2A2A"/>
          <w:sz w:val="22"/>
          <w:szCs w:val="22"/>
        </w:rPr>
        <w:t xml:space="preserve">The most challenging — and most important — part of Knowledge Intelligence is accounting for what has never been written down. Tacit knowledge cannot be extracted directly, but it can be approached systematically. This happens through structured elicitation: capturing expertise through deliberate conversation and documentation before it walks out of the door. Through social network mapping: understanding who holds knowledge, who connects to whom, and where critical expertise is concentrated or at risk. Through practice communities: creating conditions in which knowledge circulates rather than accumulates in silos. And through exit and transition processes that treat knowledge transfer as a governance obligation rather than an afterthought.</w:t>
      </w:r>
    </w:p>
    <w:p>
      <w:pPr>
        <w:spacing w:before="80" w:after="160" w:line="360"/>
      </w:pPr>
      <w:r>
        <w:rPr>
          <w:rFonts w:ascii="Arial" w:cs="Arial" w:eastAsia="Arial" w:hAnsi="Arial"/>
          <w:b w:val="false"/>
          <w:bCs w:val="false"/>
          <w:i w:val="false"/>
          <w:iCs w:val="false"/>
          <w:color w:val="2A2A2A"/>
          <w:sz w:val="22"/>
          <w:szCs w:val="22"/>
        </w:rPr>
        <w:t xml:space="preserve">None of these fully capture tacit knowledge — that is not the goal. The goal is to make the tacit estate visible enough to be managed, assessed for risk, and progressively reduced through deliberate capture over time.</w:t>
      </w:r>
    </w:p>
    <w:p>
      <w:pPr>
        <w:pStyle w:val="Heading3"/>
        <w:spacing w:before="280" w:after="80"/>
      </w:pPr>
      <w:r>
        <w:rPr>
          <w:rFonts w:ascii="Arial" w:cs="Arial" w:eastAsia="Arial" w:hAnsi="Arial"/>
          <w:b/>
          <w:bCs/>
          <w:color w:val="1A1A2E"/>
          <w:sz w:val="24"/>
          <w:szCs w:val="24"/>
        </w:rPr>
        <w:t xml:space="preserve">The Knowledge Health Score</w:t>
      </w:r>
    </w:p>
    <w:p>
      <w:pPr>
        <w:spacing w:before="80" w:after="160" w:line="360"/>
      </w:pPr>
      <w:r>
        <w:rPr>
          <w:rFonts w:ascii="Arial" w:cs="Arial" w:eastAsia="Arial" w:hAnsi="Arial"/>
          <w:b w:val="false"/>
          <w:bCs w:val="false"/>
          <w:i w:val="false"/>
          <w:iCs w:val="false"/>
          <w:color w:val="2A2A2A"/>
          <w:sz w:val="22"/>
          <w:szCs w:val="22"/>
        </w:rPr>
        <w:t xml:space="preserve">Every knowledge asset within a KI framework produces a single composite indicator — the Knowledge Health Score — combining five dimensions into one signal that tells the organisation whether to trust, review, or retire what it knows.</w:t>
      </w:r>
    </w:p>
    <w:p>
      <w:pPr>
        <w:spacing w:before="160" w:after="80" w:line="320"/>
        <w:ind w:left="720" w:hanging="360"/>
      </w:pPr>
      <w:r>
        <w:rPr>
          <w:rFonts w:ascii="Arial" w:cs="Arial" w:eastAsia="Arial" w:hAnsi="Arial"/>
          <w:b/>
          <w:bCs/>
          <w:color w:val="C8A84A"/>
          <w:sz w:val="22"/>
          <w:szCs w:val="22"/>
        </w:rPr>
        <w:t xml:space="preserve">01  </w:t>
      </w:r>
      <w:r>
        <w:rPr>
          <w:rFonts w:ascii="Arial" w:cs="Arial" w:eastAsia="Arial" w:hAnsi="Arial"/>
          <w:color w:val="2A2A2A"/>
          <w:sz w:val="22"/>
          <w:szCs w:val="22"/>
        </w:rPr>
        <w:t xml:space="preserve">Confidence — how well-evidenced and validated the knowledge is, distinguishing justified understanding from assumption</w:t>
      </w:r>
    </w:p>
    <w:p>
      <w:pPr>
        <w:spacing w:before="160" w:after="80" w:line="320"/>
        <w:ind w:left="720" w:hanging="360"/>
      </w:pPr>
      <w:r>
        <w:rPr>
          <w:rFonts w:ascii="Arial" w:cs="Arial" w:eastAsia="Arial" w:hAnsi="Arial"/>
          <w:b/>
          <w:bCs/>
          <w:color w:val="C8A84A"/>
          <w:sz w:val="22"/>
          <w:szCs w:val="22"/>
        </w:rPr>
        <w:t xml:space="preserve">02  </w:t>
      </w:r>
      <w:r>
        <w:rPr>
          <w:rFonts w:ascii="Arial" w:cs="Arial" w:eastAsia="Arial" w:hAnsi="Arial"/>
          <w:color w:val="2A2A2A"/>
          <w:sz w:val="22"/>
          <w:szCs w:val="22"/>
        </w:rPr>
        <w:t xml:space="preserve">Currency — how recently the knowledge was validated relative to the rate of change in its domain</w:t>
      </w:r>
    </w:p>
    <w:p>
      <w:pPr>
        <w:spacing w:before="160" w:after="80" w:line="320"/>
        <w:ind w:left="720" w:hanging="360"/>
      </w:pPr>
      <w:r>
        <w:rPr>
          <w:rFonts w:ascii="Arial" w:cs="Arial" w:eastAsia="Arial" w:hAnsi="Arial"/>
          <w:b/>
          <w:bCs/>
          <w:color w:val="C8A84A"/>
          <w:sz w:val="22"/>
          <w:szCs w:val="22"/>
        </w:rPr>
        <w:t xml:space="preserve">03  </w:t>
      </w:r>
      <w:r>
        <w:rPr>
          <w:rFonts w:ascii="Arial" w:cs="Arial" w:eastAsia="Arial" w:hAnsi="Arial"/>
          <w:color w:val="2A2A2A"/>
          <w:sz w:val="22"/>
          <w:szCs w:val="22"/>
        </w:rPr>
        <w:t xml:space="preserve">Usage — whether the knowledge is actively informing decisions, or sitting unused in the estate</w:t>
      </w:r>
    </w:p>
    <w:p>
      <w:pPr>
        <w:spacing w:before="160" w:after="80" w:line="320"/>
        <w:ind w:left="720" w:hanging="360"/>
      </w:pPr>
      <w:r>
        <w:rPr>
          <w:rFonts w:ascii="Arial" w:cs="Arial" w:eastAsia="Arial" w:hAnsi="Arial"/>
          <w:b/>
          <w:bCs/>
          <w:color w:val="C8A84A"/>
          <w:sz w:val="22"/>
          <w:szCs w:val="22"/>
        </w:rPr>
        <w:t xml:space="preserve">04  </w:t>
      </w:r>
      <w:r>
        <w:rPr>
          <w:rFonts w:ascii="Arial" w:cs="Arial" w:eastAsia="Arial" w:hAnsi="Arial"/>
          <w:color w:val="2A2A2A"/>
          <w:sz w:val="22"/>
          <w:szCs w:val="22"/>
        </w:rPr>
        <w:t xml:space="preserve">Concentration — whether critical knowledge is held by too few people or stored in too few places, a governance risk</w:t>
      </w:r>
    </w:p>
    <w:p>
      <w:pPr>
        <w:spacing w:before="160" w:after="80" w:line="320"/>
        <w:ind w:left="720" w:hanging="360"/>
      </w:pPr>
      <w:r>
        <w:rPr>
          <w:rFonts w:ascii="Arial" w:cs="Arial" w:eastAsia="Arial" w:hAnsi="Arial"/>
          <w:b/>
          <w:bCs/>
          <w:color w:val="C8A84A"/>
          <w:sz w:val="22"/>
          <w:szCs w:val="22"/>
        </w:rPr>
        <w:t xml:space="preserve">05  </w:t>
      </w:r>
      <w:r>
        <w:rPr>
          <w:rFonts w:ascii="Arial" w:cs="Arial" w:eastAsia="Arial" w:hAnsi="Arial"/>
          <w:color w:val="2A2A2A"/>
          <w:sz w:val="22"/>
          <w:szCs w:val="22"/>
        </w:rPr>
        <w:t xml:space="preserve">Alignment — whether the knowledge remains relevant to the organisation's current priorities and direction</w:t>
      </w:r>
    </w:p>
    <w:p>
      <w:pPr>
        <w:pBdr>
          <w:left w:val="single" w:color="C8A84A" w:sz="4" w:space="1"/>
        </w:pBdr>
        <w:spacing w:before="160" w:after="160"/>
        <w:ind w:left="360"/>
      </w:pPr>
      <w:r>
        <w:rPr>
          <w:rFonts w:ascii="Arial" w:cs="Arial" w:eastAsia="Arial" w:hAnsi="Arial"/>
          <w:i/>
          <w:iCs/>
          <w:color w:val="4A4A6A"/>
          <w:sz w:val="20"/>
          <w:szCs w:val="20"/>
        </w:rPr>
        <w:t xml:space="preserve">Output signal: Trust, Review, or Retire — a continuously updated indicator governing whether a knowledge asset is fit for use, requires attention, or should be superseded.</w:t>
      </w:r>
    </w:p>
    <w:p>
      <w:pPr>
        <w:pageBreakBefore/>
      </w:pPr>
      <w:r>
        <w:t xml:space="preserve"/>
      </w:r>
    </w:p>
    <w:p>
      <w:pPr>
        <w:spacing w:before="480" w:after="80"/>
      </w:pPr>
      <w:r>
        <w:rPr>
          <w:rFonts w:ascii="Arial" w:cs="Arial" w:eastAsia="Arial" w:hAnsi="Arial"/>
          <w:b/>
          <w:bCs/>
          <w:color w:val="C8A84A"/>
          <w:spacing w:val="120"/>
          <w:sz w:val="18"/>
          <w:szCs w:val="18"/>
        </w:rPr>
        <w:t xml:space="preserve">6 — THE KNOWLEDGE INTELLIGENCE FRAMEWORK</w:t>
      </w:r>
    </w:p>
    <w:p>
      <w:pPr>
        <w:pStyle w:val="Heading1"/>
        <w:spacing w:before="480" w:after="160"/>
      </w:pPr>
      <w:r>
        <w:rPr>
          <w:rFonts w:ascii="Arial" w:cs="Arial" w:eastAsia="Arial" w:hAnsi="Arial"/>
          <w:b/>
          <w:bCs/>
          <w:color w:val="1A1A2E"/>
          <w:sz w:val="36"/>
          <w:szCs w:val="36"/>
        </w:rPr>
        <w:t xml:space="preserve">How Knowledge Intelligence actually works.</w:t>
      </w:r>
    </w:p>
    <w:p>
      <w:pPr>
        <w:spacing w:before="80" w:after="160" w:line="360"/>
      </w:pPr>
      <w:r>
        <w:rPr>
          <w:rFonts w:ascii="Arial" w:cs="Arial" w:eastAsia="Arial" w:hAnsi="Arial"/>
          <w:b w:val="false"/>
          <w:bCs w:val="false"/>
          <w:i w:val="false"/>
          <w:iCs w:val="false"/>
          <w:color w:val="2A2A2A"/>
          <w:sz w:val="22"/>
          <w:szCs w:val="22"/>
        </w:rPr>
        <w:t xml:space="preserve">Knowledge Intelligence is not a philosophy — it is a capability with a defined architecture. At its core is a deceptively simple idea: every piece of knowledge an organisation holds should exist as a governed asset with a known identity, a measurable quality, and a traceable history. Not just documents. Not just data. Everything the organisation knows, in whatever form it takes.</w:t>
      </w:r>
    </w:p>
    <w:p>
      <w:pPr>
        <w:spacing w:before="80" w:after="160" w:line="360"/>
      </w:pPr>
      <w:r>
        <w:rPr>
          <w:rFonts w:ascii="Arial" w:cs="Arial" w:eastAsia="Arial" w:hAnsi="Arial"/>
          <w:b w:val="false"/>
          <w:bCs w:val="false"/>
          <w:i w:val="false"/>
          <w:iCs w:val="false"/>
          <w:color w:val="2A2A2A"/>
          <w:sz w:val="22"/>
          <w:szCs w:val="22"/>
        </w:rPr>
        <w:t xml:space="preserve">This is what a Common Knowledge Asset is. A structured record that travels with every piece of knowledge through its entire lifecycle — from the moment it enters the system to the moment it is superseded, retired, or lost. It captures not just what the knowledge is, but where it came from, how reliable it is, who has used it, what it has influenced, and how its value is changing over time.</w:t>
      </w:r>
    </w:p>
    <w:p>
      <w:pPr>
        <w:spacing w:before="80" w:after="160" w:line="360"/>
      </w:pPr>
      <w:r>
        <w:rPr>
          <w:rFonts w:ascii="Arial" w:cs="Arial" w:eastAsia="Arial" w:hAnsi="Arial"/>
          <w:b w:val="false"/>
          <w:bCs w:val="false"/>
          <w:i w:val="false"/>
          <w:iCs w:val="false"/>
          <w:color w:val="2A2A2A"/>
          <w:sz w:val="22"/>
          <w:szCs w:val="22"/>
        </w:rPr>
        <w:t xml:space="preserve">The global knowledge management market is valued at approximately $885 billion today and is projected to reach $2.5 trillion by 2030. Yet the vast majority of that investment produces systems that store and retrieve knowledge — not systems that understand and govern it. The Common Knowledge Asset is what changes that.</w:t>
      </w:r>
    </w:p>
    <w:p>
      <w:pPr>
        <w:spacing w:before="40" w:after="40"/>
      </w:pPr>
      <w:r>
        <w:rPr>
          <w:rFonts w:ascii="Arial" w:cs="Arial" w:eastAsia="Arial" w:hAnsi="Arial"/>
          <w:i/>
          <w:iCs/>
          <w:color w:val="888888"/>
          <w:sz w:val="17"/>
          <w:szCs w:val="17"/>
        </w:rPr>
        <w:t xml:space="preserve">Source: Research and Markets, 2024</w:t>
      </w:r>
    </w:p>
    <w:p>
      <w:pPr>
        <w:pStyle w:val="Heading3"/>
        <w:spacing w:before="280" w:after="80"/>
      </w:pPr>
      <w:r>
        <w:rPr>
          <w:rFonts w:ascii="Arial" w:cs="Arial" w:eastAsia="Arial" w:hAnsi="Arial"/>
          <w:b/>
          <w:bCs/>
          <w:color w:val="1A1A2E"/>
          <w:sz w:val="24"/>
          <w:szCs w:val="24"/>
        </w:rPr>
        <w:t xml:space="preserve">The Common Knowledge Asset — three dimensions</w:t>
      </w:r>
    </w:p>
    <w:p>
      <w:pPr>
        <w:spacing w:before="80" w:after="160" w:line="360"/>
      </w:pPr>
      <w:r>
        <w:rPr>
          <w:rFonts w:ascii="Arial" w:cs="Arial" w:eastAsia="Arial" w:hAnsi="Arial"/>
          <w:b w:val="false"/>
          <w:bCs w:val="false"/>
          <w:i w:val="false"/>
          <w:iCs w:val="false"/>
          <w:color w:val="2A2A2A"/>
          <w:sz w:val="22"/>
          <w:szCs w:val="22"/>
        </w:rPr>
        <w:t xml:space="preserve">Every knowledge asset within a KI framework carries a structured record across three dimensions:</w:t>
      </w:r>
    </w:p>
    <w:p>
      <w:pPr>
        <w:spacing w:before="160" w:after="80" w:line="320"/>
        <w:ind w:left="720" w:hanging="360"/>
      </w:pPr>
      <w:r>
        <w:rPr>
          <w:rFonts w:ascii="Arial" w:cs="Arial" w:eastAsia="Arial" w:hAnsi="Arial"/>
          <w:b/>
          <w:bCs/>
          <w:color w:val="C8A84A"/>
          <w:sz w:val="22"/>
          <w:szCs w:val="22"/>
        </w:rPr>
        <w:t xml:space="preserve">01  </w:t>
      </w:r>
      <w:r>
        <w:rPr>
          <w:rFonts w:ascii="Arial" w:cs="Arial" w:eastAsia="Arial" w:hAnsi="Arial"/>
          <w:color w:val="2A2A2A"/>
          <w:sz w:val="22"/>
          <w:szCs w:val="22"/>
        </w:rPr>
        <w:t xml:space="preserve">Classification — asset type (tacit or explicit; personal, relational, or institutional), domain, knowledge form, transferability, and reach</w:t>
      </w:r>
    </w:p>
    <w:p>
      <w:pPr>
        <w:spacing w:before="160" w:after="80" w:line="320"/>
        <w:ind w:left="720" w:hanging="360"/>
      </w:pPr>
      <w:r>
        <w:rPr>
          <w:rFonts w:ascii="Arial" w:cs="Arial" w:eastAsia="Arial" w:hAnsi="Arial"/>
          <w:b/>
          <w:bCs/>
          <w:color w:val="C8A84A"/>
          <w:sz w:val="22"/>
          <w:szCs w:val="22"/>
        </w:rPr>
        <w:t xml:space="preserve">02  </w:t>
      </w:r>
      <w:r>
        <w:rPr>
          <w:rFonts w:ascii="Arial" w:cs="Arial" w:eastAsia="Arial" w:hAnsi="Arial"/>
          <w:color w:val="2A2A2A"/>
          <w:sz w:val="22"/>
          <w:szCs w:val="22"/>
        </w:rPr>
        <w:t xml:space="preserve">Quality — confidence score, currency index, usage frequency, concentration risk, and alignment with current strategy</w:t>
      </w:r>
    </w:p>
    <w:p>
      <w:pPr>
        <w:spacing w:before="160" w:after="80" w:line="320"/>
        <w:ind w:left="720" w:hanging="360"/>
      </w:pPr>
      <w:r>
        <w:rPr>
          <w:rFonts w:ascii="Arial" w:cs="Arial" w:eastAsia="Arial" w:hAnsi="Arial"/>
          <w:b/>
          <w:bCs/>
          <w:color w:val="C8A84A"/>
          <w:sz w:val="22"/>
          <w:szCs w:val="22"/>
        </w:rPr>
        <w:t xml:space="preserve">03  </w:t>
      </w:r>
      <w:r>
        <w:rPr>
          <w:rFonts w:ascii="Arial" w:cs="Arial" w:eastAsia="Arial" w:hAnsi="Arial"/>
          <w:color w:val="2A2A2A"/>
          <w:sz w:val="22"/>
          <w:szCs w:val="22"/>
        </w:rPr>
        <w:t xml:space="preserve">Governance — owner, lineage, citation history, conflict flags, validation record, and deprecation status</w:t>
      </w:r>
    </w:p>
    <w:p>
      <w:pPr>
        <w:pStyle w:val="Heading3"/>
        <w:spacing w:before="280" w:after="80"/>
      </w:pPr>
      <w:r>
        <w:rPr>
          <w:rFonts w:ascii="Arial" w:cs="Arial" w:eastAsia="Arial" w:hAnsi="Arial"/>
          <w:b/>
          <w:bCs/>
          <w:color w:val="1A1A2E"/>
          <w:sz w:val="24"/>
          <w:szCs w:val="24"/>
        </w:rPr>
        <w:t xml:space="preserve">The Living Taxonomy</w:t>
      </w:r>
    </w:p>
    <w:p>
      <w:pPr>
        <w:spacing w:before="80" w:after="160" w:line="360"/>
      </w:pPr>
      <w:r>
        <w:rPr>
          <w:rFonts w:ascii="Arial" w:cs="Arial" w:eastAsia="Arial" w:hAnsi="Arial"/>
          <w:b w:val="false"/>
          <w:bCs w:val="false"/>
          <w:i w:val="false"/>
          <w:iCs w:val="false"/>
          <w:color w:val="2A2A2A"/>
          <w:sz w:val="22"/>
          <w:szCs w:val="22"/>
        </w:rPr>
        <w:t xml:space="preserve">Every knowledge management system ever built has the same structural failure: a taxonomy that someone designed, published, and then watched decay. As the organisation changed, the classification didn't. Knowledge accumulated in categories that no longer fit, under concepts that had been superseded, in structures built for a version of the business that no longer existed. Maintaining it required manual effort that no one had time for. So it was left. And the estate quietly became ungovernable again.</w:t>
      </w:r>
    </w:p>
    <w:p>
      <w:pPr>
        <w:spacing w:before="80" w:after="160" w:line="360"/>
      </w:pPr>
      <w:r>
        <w:rPr>
          <w:rFonts w:ascii="Arial" w:cs="Arial" w:eastAsia="Arial" w:hAnsi="Arial"/>
          <w:b w:val="false"/>
          <w:bCs w:val="false"/>
          <w:i w:val="false"/>
          <w:iCs w:val="false"/>
          <w:color w:val="2A2A2A"/>
          <w:sz w:val="22"/>
          <w:szCs w:val="22"/>
        </w:rPr>
        <w:t xml:space="preserve">A Knowledge Intelligence framework breaks this cycle through a fundamentally different model. Classification is not designed once and imposed on the estate — it emerges continuously from the estate itself. The intelligence engines that process incoming knowledge do not just assign assets to pre-existing categories. They read patterns across the full estate, identify where concepts are converging or diverging, detect when new themes are forming before they have been named, and update the taxonomy accordingly. The result is a classification system that evolves in step with the organisation — not months or years behind it.</w:t>
      </w:r>
    </w:p>
    <w:p>
      <w:pPr>
        <w:spacing w:before="80" w:after="160" w:line="360"/>
      </w:pPr>
      <w:r>
        <w:rPr>
          <w:rFonts w:ascii="Arial" w:cs="Arial" w:eastAsia="Arial" w:hAnsi="Arial"/>
          <w:b w:val="false"/>
          <w:bCs w:val="false"/>
          <w:i w:val="false"/>
          <w:iCs w:val="false"/>
          <w:color w:val="2A2A2A"/>
          <w:sz w:val="22"/>
          <w:szCs w:val="22"/>
        </w:rPr>
        <w:t xml:space="preserve">This has clear governance implications. Humans set the parameters, review proposed changes, and retain authority over the taxonomy's direction. But the intelligence layer does the continuous work of observation and proposal. The taxonomy becomes a living model — not a published artefact that someone has to remember to update.</w:t>
      </w:r>
    </w:p>
    <w:p>
      <w:pPr>
        <w:pBdr>
          <w:left w:val="single" w:color="C8A84A" w:sz="4" w:space="1"/>
        </w:pBdr>
        <w:spacing w:before="160" w:after="160"/>
        <w:ind w:left="360"/>
      </w:pPr>
      <w:r>
        <w:rPr>
          <w:rFonts w:ascii="Arial" w:cs="Arial" w:eastAsia="Arial" w:hAnsi="Arial"/>
          <w:i/>
          <w:iCs/>
          <w:color w:val="4A4A6A"/>
          <w:sz w:val="20"/>
          <w:szCs w:val="20"/>
        </w:rPr>
        <w:t xml:space="preserve">The Living Taxonomy cycle: Knowledge Ingested → Patterns Detected → Taxonomy Updated → Assets Reclassified → ↺ Continuously</w:t>
      </w:r>
    </w:p>
    <w:p>
      <w:pPr>
        <w:pStyle w:val="Heading3"/>
        <w:spacing w:before="280" w:after="80"/>
      </w:pPr>
      <w:r>
        <w:rPr>
          <w:rFonts w:ascii="Arial" w:cs="Arial" w:eastAsia="Arial" w:hAnsi="Arial"/>
          <w:b/>
          <w:bCs/>
          <w:color w:val="1A1A2E"/>
          <w:sz w:val="24"/>
          <w:szCs w:val="24"/>
        </w:rPr>
        <w:t xml:space="preserve">The knowledge lifecycle</w:t>
      </w:r>
    </w:p>
    <w:p>
      <w:pPr>
        <w:spacing w:before="80" w:after="160" w:line="360"/>
      </w:pPr>
      <w:r>
        <w:rPr>
          <w:rFonts w:ascii="Arial" w:cs="Arial" w:eastAsia="Arial" w:hAnsi="Arial"/>
          <w:b w:val="false"/>
          <w:bCs w:val="false"/>
          <w:i w:val="false"/>
          <w:iCs w:val="false"/>
          <w:color w:val="2A2A2A"/>
          <w:sz w:val="22"/>
          <w:szCs w:val="22"/>
        </w:rPr>
        <w:t xml:space="preserve">The Common Knowledge Asset travels through five stages, carrying its full history at each point:</w:t>
      </w:r>
    </w:p>
    <w:p>
      <w:pPr>
        <w:spacing w:before="160" w:after="80" w:line="320"/>
        <w:ind w:left="720" w:hanging="360"/>
      </w:pPr>
      <w:r>
        <w:rPr>
          <w:rFonts w:ascii="Arial" w:cs="Arial" w:eastAsia="Arial" w:hAnsi="Arial"/>
          <w:b/>
          <w:bCs/>
          <w:color w:val="C8A84A"/>
          <w:sz w:val="22"/>
          <w:szCs w:val="22"/>
        </w:rPr>
        <w:t xml:space="preserve">01  </w:t>
      </w:r>
      <w:r>
        <w:rPr>
          <w:rFonts w:ascii="Arial" w:cs="Arial" w:eastAsia="Arial" w:hAnsi="Arial"/>
          <w:color w:val="2A2A2A"/>
          <w:sz w:val="22"/>
          <w:szCs w:val="22"/>
        </w:rPr>
        <w:t xml:space="preserve">Captured — knowledge enters the system; identity, type, and provenance are recorded</w:t>
      </w:r>
    </w:p>
    <w:p>
      <w:pPr>
        <w:spacing w:before="160" w:after="80" w:line="320"/>
        <w:ind w:left="720" w:hanging="360"/>
      </w:pPr>
      <w:r>
        <w:rPr>
          <w:rFonts w:ascii="Arial" w:cs="Arial" w:eastAsia="Arial" w:hAnsi="Arial"/>
          <w:b/>
          <w:bCs/>
          <w:color w:val="C8A84A"/>
          <w:sz w:val="22"/>
          <w:szCs w:val="22"/>
        </w:rPr>
        <w:t xml:space="preserve">02  </w:t>
      </w:r>
      <w:r>
        <w:rPr>
          <w:rFonts w:ascii="Arial" w:cs="Arial" w:eastAsia="Arial" w:hAnsi="Arial"/>
          <w:color w:val="2A2A2A"/>
          <w:sz w:val="22"/>
          <w:szCs w:val="22"/>
        </w:rPr>
        <w:t xml:space="preserve">Classified — domain, reach, and transferability are assessed; initial confidence score assigned</w:t>
      </w:r>
    </w:p>
    <w:p>
      <w:pPr>
        <w:spacing w:before="160" w:after="80" w:line="320"/>
        <w:ind w:left="720" w:hanging="360"/>
      </w:pPr>
      <w:r>
        <w:rPr>
          <w:rFonts w:ascii="Arial" w:cs="Arial" w:eastAsia="Arial" w:hAnsi="Arial"/>
          <w:b/>
          <w:bCs/>
          <w:color w:val="C8A84A"/>
          <w:sz w:val="22"/>
          <w:szCs w:val="22"/>
        </w:rPr>
        <w:t xml:space="preserve">03  </w:t>
      </w:r>
      <w:r>
        <w:rPr>
          <w:rFonts w:ascii="Arial" w:cs="Arial" w:eastAsia="Arial" w:hAnsi="Arial"/>
          <w:color w:val="2A2A2A"/>
          <w:sz w:val="22"/>
          <w:szCs w:val="22"/>
        </w:rPr>
        <w:t xml:space="preserve">Governed — cited, challenged, and validated in practice; health score updates continuously</w:t>
      </w:r>
    </w:p>
    <w:p>
      <w:pPr>
        <w:spacing w:before="160" w:after="80" w:line="320"/>
        <w:ind w:left="720" w:hanging="360"/>
      </w:pPr>
      <w:r>
        <w:rPr>
          <w:rFonts w:ascii="Arial" w:cs="Arial" w:eastAsia="Arial" w:hAnsi="Arial"/>
          <w:b/>
          <w:bCs/>
          <w:color w:val="C8A84A"/>
          <w:sz w:val="22"/>
          <w:szCs w:val="22"/>
        </w:rPr>
        <w:t xml:space="preserve">04  </w:t>
      </w:r>
      <w:r>
        <w:rPr>
          <w:rFonts w:ascii="Arial" w:cs="Arial" w:eastAsia="Arial" w:hAnsi="Arial"/>
          <w:color w:val="2A2A2A"/>
          <w:sz w:val="22"/>
          <w:szCs w:val="22"/>
        </w:rPr>
        <w:t xml:space="preserve">Reviewed — currency drops below threshold; owner alerted; revalidation or deprecation required</w:t>
      </w:r>
    </w:p>
    <w:p>
      <w:pPr>
        <w:spacing w:before="160" w:after="80" w:line="320"/>
        <w:ind w:left="720" w:hanging="360"/>
      </w:pPr>
      <w:r>
        <w:rPr>
          <w:rFonts w:ascii="Arial" w:cs="Arial" w:eastAsia="Arial" w:hAnsi="Arial"/>
          <w:b/>
          <w:bCs/>
          <w:color w:val="C8A84A"/>
          <w:sz w:val="22"/>
          <w:szCs w:val="22"/>
        </w:rPr>
        <w:t xml:space="preserve">05  </w:t>
      </w:r>
      <w:r>
        <w:rPr>
          <w:rFonts w:ascii="Arial" w:cs="Arial" w:eastAsia="Arial" w:hAnsi="Arial"/>
          <w:color w:val="2A2A2A"/>
          <w:sz w:val="22"/>
          <w:szCs w:val="22"/>
        </w:rPr>
        <w:t xml:space="preserve">Retired or Renewed — asset superseded, archived, or refreshed; lineage preserved for future reference</w:t>
      </w:r>
    </w:p>
    <w:p>
      <w:pPr>
        <w:pStyle w:val="Heading3"/>
        <w:spacing w:before="280" w:after="80"/>
      </w:pPr>
      <w:r>
        <w:rPr>
          <w:rFonts w:ascii="Arial" w:cs="Arial" w:eastAsia="Arial" w:hAnsi="Arial"/>
          <w:b/>
          <w:bCs/>
          <w:color w:val="1A1A2E"/>
          <w:sz w:val="24"/>
          <w:szCs w:val="24"/>
        </w:rPr>
        <w:t xml:space="preserve">The capability stack</w:t>
      </w:r>
    </w:p>
    <w:p>
      <w:pPr>
        <w:spacing w:before="80" w:after="160" w:line="360"/>
      </w:pPr>
      <w:r>
        <w:rPr>
          <w:rFonts w:ascii="Arial" w:cs="Arial" w:eastAsia="Arial" w:hAnsi="Arial"/>
          <w:b w:val="false"/>
          <w:bCs w:val="false"/>
          <w:i w:val="false"/>
          <w:iCs w:val="false"/>
          <w:color w:val="2A2A2A"/>
          <w:sz w:val="22"/>
          <w:szCs w:val="22"/>
        </w:rPr>
        <w:t xml:space="preserve">Knowledge Intelligence sits at the apex of a five-level capability stack:</w:t>
      </w:r>
    </w:p>
    <w:p>
      <w:pPr>
        <w:spacing w:before="160" w:after="80" w:line="320"/>
        <w:ind w:left="720" w:hanging="360"/>
      </w:pPr>
      <w:r>
        <w:rPr>
          <w:rFonts w:ascii="Arial" w:cs="Arial" w:eastAsia="Arial" w:hAnsi="Arial"/>
          <w:b/>
          <w:bCs/>
          <w:color w:val="C8A84A"/>
          <w:sz w:val="22"/>
          <w:szCs w:val="22"/>
        </w:rPr>
        <w:t xml:space="preserve">01  </w:t>
      </w:r>
      <w:r>
        <w:rPr>
          <w:rFonts w:ascii="Arial" w:cs="Arial" w:eastAsia="Arial" w:hAnsi="Arial"/>
          <w:color w:val="2A2A2A"/>
          <w:sz w:val="22"/>
          <w:szCs w:val="22"/>
        </w:rPr>
        <w:t xml:space="preserve">Level 1 — Content Repositories: storage, versioning, access control, and collaboration infrastructure</w:t>
      </w:r>
    </w:p>
    <w:p>
      <w:pPr>
        <w:spacing w:before="160" w:after="80" w:line="320"/>
        <w:ind w:left="720" w:hanging="360"/>
      </w:pPr>
      <w:r>
        <w:rPr>
          <w:rFonts w:ascii="Arial" w:cs="Arial" w:eastAsia="Arial" w:hAnsi="Arial"/>
          <w:b/>
          <w:bCs/>
          <w:color w:val="C8A84A"/>
          <w:sz w:val="22"/>
          <w:szCs w:val="22"/>
        </w:rPr>
        <w:t xml:space="preserve">02  </w:t>
      </w:r>
      <w:r>
        <w:rPr>
          <w:rFonts w:ascii="Arial" w:cs="Arial" w:eastAsia="Arial" w:hAnsi="Arial"/>
          <w:color w:val="2A2A2A"/>
          <w:sz w:val="22"/>
          <w:szCs w:val="22"/>
        </w:rPr>
        <w:t xml:space="preserve">Level 2 — Taxonomy, KM and Intranets: controlled vocabularies, classification hierarchies, and contribution platforms</w:t>
      </w:r>
    </w:p>
    <w:p>
      <w:pPr>
        <w:spacing w:before="160" w:after="80" w:line="320"/>
        <w:ind w:left="720" w:hanging="360"/>
      </w:pPr>
      <w:r>
        <w:rPr>
          <w:rFonts w:ascii="Arial" w:cs="Arial" w:eastAsia="Arial" w:hAnsi="Arial"/>
          <w:b/>
          <w:bCs/>
          <w:color w:val="C8A84A"/>
          <w:sz w:val="22"/>
          <w:szCs w:val="22"/>
        </w:rPr>
        <w:t xml:space="preserve">03  </w:t>
      </w:r>
      <w:r>
        <w:rPr>
          <w:rFonts w:ascii="Arial" w:cs="Arial" w:eastAsia="Arial" w:hAnsi="Arial"/>
          <w:color w:val="2A2A2A"/>
          <w:sz w:val="22"/>
          <w:szCs w:val="22"/>
        </w:rPr>
        <w:t xml:space="preserve">Level 3 — Search and Analytics: retrieval efficiency, usage dashboards, and pattern reporting</w:t>
      </w:r>
    </w:p>
    <w:p>
      <w:pPr>
        <w:spacing w:before="160" w:after="80" w:line="320"/>
        <w:ind w:left="720" w:hanging="360"/>
      </w:pPr>
      <w:r>
        <w:rPr>
          <w:rFonts w:ascii="Arial" w:cs="Arial" w:eastAsia="Arial" w:hAnsi="Arial"/>
          <w:b/>
          <w:bCs/>
          <w:color w:val="C8A84A"/>
          <w:sz w:val="22"/>
          <w:szCs w:val="22"/>
        </w:rPr>
        <w:t xml:space="preserve">04  </w:t>
      </w:r>
      <w:r>
        <w:rPr>
          <w:rFonts w:ascii="Arial" w:cs="Arial" w:eastAsia="Arial" w:hAnsi="Arial"/>
          <w:color w:val="2A2A2A"/>
          <w:sz w:val="22"/>
          <w:szCs w:val="22"/>
        </w:rPr>
        <w:t xml:space="preserve">Level 4 — Content Intelligence: meaning extraction, confidence scoring, and evidenced insight from the explicit estate</w:t>
      </w:r>
    </w:p>
    <w:p>
      <w:pPr>
        <w:spacing w:before="160" w:after="80" w:line="320"/>
        <w:ind w:left="720" w:hanging="360"/>
      </w:pPr>
      <w:r>
        <w:rPr>
          <w:rFonts w:ascii="Arial" w:cs="Arial" w:eastAsia="Arial" w:hAnsi="Arial"/>
          <w:b/>
          <w:bCs/>
          <w:color w:val="C8A84A"/>
          <w:sz w:val="22"/>
          <w:szCs w:val="22"/>
        </w:rPr>
        <w:t xml:space="preserve">05  </w:t>
      </w:r>
      <w:r>
        <w:rPr>
          <w:rFonts w:ascii="Arial" w:cs="Arial" w:eastAsia="Arial" w:hAnsi="Arial"/>
          <w:color w:val="2A2A2A"/>
          <w:sz w:val="22"/>
          <w:szCs w:val="22"/>
        </w:rPr>
        <w:t xml:space="preserve">Level 5 — Knowledge Intelligence: organisational understanding, tacit and explicit, as a governed, measurable, and evolving strategic asset</w:t>
      </w:r>
    </w:p>
    <w:p>
      <w:pPr>
        <w:pBdr>
          <w:left w:val="single" w:color="C8A84A" w:sz="6" w:space="1"/>
        </w:pBdr>
        <w:spacing w:before="320" w:after="320"/>
        <w:ind w:left="480"/>
      </w:pPr>
      <w:r>
        <w:rPr>
          <w:rFonts w:ascii="Arial" w:cs="Arial" w:eastAsia="Arial" w:hAnsi="Arial"/>
          <w:b/>
          <w:bCs/>
          <w:i/>
          <w:iCs/>
          <w:color w:val="1A1A2E"/>
          <w:sz w:val="26"/>
          <w:szCs w:val="26"/>
        </w:rPr>
        <w:t xml:space="preserve">You cannot solve knowledge problems with information tools alone.</w:t>
      </w:r>
      <w:r>
        <w:rPr>
          <w:rFonts w:ascii="Arial" w:cs="Arial" w:eastAsia="Arial" w:hAnsi="Arial"/>
          <w:color w:val="888888"/>
          <w:sz w:val="18"/>
          <w:szCs w:val="18"/>
        </w:rPr>
        <w:br/>
        <w:t xml:space="preserve">
— Nick Milton, Knowledge Management Consultant, Knoco Ltd</w:t>
      </w:r>
    </w:p>
    <w:p>
      <w:pPr>
        <w:pageBreakBefore/>
      </w:pPr>
      <w:r>
        <w:t xml:space="preserve"/>
      </w:r>
    </w:p>
    <w:p>
      <w:pPr>
        <w:spacing w:before="480" w:after="80"/>
      </w:pPr>
      <w:r>
        <w:rPr>
          <w:rFonts w:ascii="Arial" w:cs="Arial" w:eastAsia="Arial" w:hAnsi="Arial"/>
          <w:b/>
          <w:bCs/>
          <w:color w:val="C8A84A"/>
          <w:spacing w:val="120"/>
          <w:sz w:val="18"/>
          <w:szCs w:val="18"/>
        </w:rPr>
        <w:t xml:space="preserve">7 — DECISION CASES</w:t>
      </w:r>
    </w:p>
    <w:p>
      <w:pPr>
        <w:pStyle w:val="Heading1"/>
        <w:spacing w:before="480" w:after="160"/>
      </w:pPr>
      <w:r>
        <w:rPr>
          <w:rFonts w:ascii="Arial" w:cs="Arial" w:eastAsia="Arial" w:hAnsi="Arial"/>
          <w:b/>
          <w:bCs/>
          <w:color w:val="1A1A2E"/>
          <w:sz w:val="36"/>
          <w:szCs w:val="36"/>
        </w:rPr>
        <w:t xml:space="preserve">Five decisions that Knowledge Intelligence makes newly possible.</w:t>
      </w:r>
    </w:p>
    <w:p>
      <w:pPr>
        <w:spacing w:before="80" w:after="160" w:line="360"/>
      </w:pPr>
      <w:r>
        <w:rPr>
          <w:rFonts w:ascii="Arial" w:cs="Arial" w:eastAsia="Arial" w:hAnsi="Arial"/>
          <w:b w:val="false"/>
          <w:bCs w:val="false"/>
          <w:i w:val="false"/>
          <w:iCs w:val="false"/>
          <w:color w:val="2A2A2A"/>
          <w:sz w:val="22"/>
          <w:szCs w:val="22"/>
        </w:rPr>
        <w:t xml:space="preserve">The value of Knowledge Intelligence becomes concrete when anchored to decisions that were previously unavailable, or available only through costly, one-off, and unreliable manual effort.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400"/>
        <w:gridCol w:w="7960"/>
      </w:tblGrid>
      <w:tr>
        <w:tc>
          <w:tcPr>
            <w:tcW w:type="dxa" w:w="1400"/>
            <w:tcBorders>
              <w:top w:val="single" w:color="DDDDDD" w:sz="1"/>
              <w:left w:val="single" w:color="DDDDDD" w:sz="1"/>
              <w:bottom w:val="single" w:color="DDDDDD" w:sz="1"/>
              <w:right w:val="single" w:color="DDDDDD" w:sz="1"/>
            </w:tcBorders>
            <w:shd w:fill="F8F8F8" w:val="clear"/>
            <w:tcMar>
              <w:top w:type="dxa" w:w="240"/>
              <w:left w:type="dxa" w:w="200"/>
              <w:bottom w:type="dxa" w:w="240"/>
              <w:right w:type="dxa" w:w="200"/>
            </w:tcMar>
          </w:tcPr>
          <w:p>
            <w:r>
              <w:rPr>
                <w:rFonts w:ascii="Arial" w:cs="Arial" w:eastAsia="Arial" w:hAnsi="Arial"/>
                <w:b/>
                <w:bCs/>
                <w:color w:val="CCCCCC"/>
                <w:sz w:val="32"/>
                <w:szCs w:val="32"/>
              </w:rPr>
              <w:t xml:space="preserve">01</w:t>
            </w:r>
          </w:p>
          <w:p>
            <w:pPr>
              <w:spacing w:before="80"/>
            </w:pPr>
            <w:r>
              <w:rPr>
                <w:rFonts w:ascii="Arial" w:cs="Arial" w:eastAsia="Arial" w:hAnsi="Arial"/>
                <w:b/>
                <w:bCs/>
                <w:color w:val="C8A84A"/>
                <w:spacing w:val="60"/>
                <w:sz w:val="16"/>
                <w:szCs w:val="16"/>
              </w:rPr>
              <w:t xml:space="preserve">STRATEGIC TIMING</w:t>
            </w:r>
          </w:p>
        </w:tc>
        <w:tc>
          <w:tcPr>
            <w:tcW w:type="dxa" w:w="7960"/>
            <w:tcBorders>
              <w:top w:val="single" w:color="DDDDDD" w:sz="1"/>
              <w:left w:val="single" w:color="DDDDDD" w:sz="1"/>
              <w:bottom w:val="single" w:color="DDDDDD" w:sz="1"/>
              <w:right w:val="single" w:color="DDDDDD" w:sz="1"/>
            </w:tcBorders>
            <w:tcMar>
              <w:top w:type="dxa" w:w="240"/>
              <w:left w:type="dxa" w:w="280"/>
              <w:bottom w:type="dxa" w:w="240"/>
              <w:right w:type="dxa" w:w="200"/>
            </w:tcMar>
          </w:tcPr>
          <w:p>
            <w:pPr>
              <w:spacing w:after="80"/>
            </w:pPr>
            <w:r>
              <w:rPr>
                <w:rFonts w:ascii="Arial" w:cs="Arial" w:eastAsia="Arial" w:hAnsi="Arial"/>
                <w:b/>
                <w:bCs/>
                <w:color w:val="1A1A2E"/>
                <w:sz w:val="24"/>
                <w:szCs w:val="24"/>
              </w:rPr>
              <w:t xml:space="preserve">Detecting emerging themes before they are named</w:t>
            </w:r>
          </w:p>
          <w:p>
            <w:pPr>
              <w:spacing w:after="120"/>
            </w:pPr>
            <w:r>
              <w:rPr>
                <w:rFonts w:ascii="Arial" w:cs="Arial" w:eastAsia="Arial" w:hAnsi="Arial"/>
                <w:color w:val="2A2A2A"/>
                <w:sz w:val="21"/>
                <w:szCs w:val="21"/>
              </w:rPr>
              <w:t xml:space="preserve">Themes are typically only recognised once someone names them. Knowledge Intelligence enables early visibility of persistent, converging signals across both the documented content estate and tacit knowledge networks, allowing leaders to see change forming before it becomes obvious — without being asked to react to noise.</w:t>
            </w:r>
          </w:p>
          <w:p>
            <w:r>
              <w:rPr>
                <w:rFonts w:ascii="Arial" w:cs="Arial" w:eastAsia="Arial" w:hAnsi="Arial"/>
                <w:i/>
                <w:iCs/>
                <w:color w:val="4A4A6A"/>
                <w:sz w:val="20"/>
                <w:szCs w:val="20"/>
              </w:rPr>
              <w:t xml:space="preserve">Earlier, better-timed strategic awareness without overreaction.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400"/>
        <w:gridCol w:w="7960"/>
      </w:tblGrid>
      <w:tr>
        <w:tc>
          <w:tcPr>
            <w:tcW w:type="dxa" w:w="1400"/>
            <w:tcBorders>
              <w:top w:val="single" w:color="DDDDDD" w:sz="1"/>
              <w:left w:val="single" w:color="DDDDDD" w:sz="1"/>
              <w:bottom w:val="single" w:color="DDDDDD" w:sz="1"/>
              <w:right w:val="single" w:color="DDDDDD" w:sz="1"/>
            </w:tcBorders>
            <w:shd w:fill="F8F8F8" w:val="clear"/>
            <w:tcMar>
              <w:top w:type="dxa" w:w="240"/>
              <w:left w:type="dxa" w:w="200"/>
              <w:bottom w:type="dxa" w:w="240"/>
              <w:right w:type="dxa" w:w="200"/>
            </w:tcMar>
          </w:tcPr>
          <w:p>
            <w:r>
              <w:rPr>
                <w:rFonts w:ascii="Arial" w:cs="Arial" w:eastAsia="Arial" w:hAnsi="Arial"/>
                <w:b/>
                <w:bCs/>
                <w:color w:val="CCCCCC"/>
                <w:sz w:val="32"/>
                <w:szCs w:val="32"/>
              </w:rPr>
              <w:t xml:space="preserve">02</w:t>
            </w:r>
          </w:p>
          <w:p>
            <w:pPr>
              <w:spacing w:before="80"/>
            </w:pPr>
            <w:r>
              <w:rPr>
                <w:rFonts w:ascii="Arial" w:cs="Arial" w:eastAsia="Arial" w:hAnsi="Arial"/>
                <w:b/>
                <w:bCs/>
                <w:color w:val="C8A84A"/>
                <w:spacing w:val="60"/>
                <w:sz w:val="16"/>
                <w:szCs w:val="16"/>
              </w:rPr>
              <w:t xml:space="preserve">SUCCESSION RISK</w:t>
            </w:r>
          </w:p>
        </w:tc>
        <w:tc>
          <w:tcPr>
            <w:tcW w:type="dxa" w:w="7960"/>
            <w:tcBorders>
              <w:top w:val="single" w:color="DDDDDD" w:sz="1"/>
              <w:left w:val="single" w:color="DDDDDD" w:sz="1"/>
              <w:bottom w:val="single" w:color="DDDDDD" w:sz="1"/>
              <w:right w:val="single" w:color="DDDDDD" w:sz="1"/>
            </w:tcBorders>
            <w:tcMar>
              <w:top w:type="dxa" w:w="240"/>
              <w:left w:type="dxa" w:w="280"/>
              <w:bottom w:type="dxa" w:w="240"/>
              <w:right w:type="dxa" w:w="200"/>
            </w:tcMar>
          </w:tcPr>
          <w:p>
            <w:pPr>
              <w:spacing w:after="80"/>
            </w:pPr>
            <w:r>
              <w:rPr>
                <w:rFonts w:ascii="Arial" w:cs="Arial" w:eastAsia="Arial" w:hAnsi="Arial"/>
                <w:b/>
                <w:bCs/>
                <w:color w:val="1A1A2E"/>
                <w:sz w:val="24"/>
                <w:szCs w:val="24"/>
              </w:rPr>
              <w:t xml:space="preserve">Identifying where critical knowledge is concentrated</w:t>
            </w:r>
          </w:p>
          <w:p>
            <w:pPr>
              <w:spacing w:after="120"/>
            </w:pPr>
            <w:r>
              <w:rPr>
                <w:rFonts w:ascii="Arial" w:cs="Arial" w:eastAsia="Arial" w:hAnsi="Arial"/>
                <w:color w:val="2A2A2A"/>
                <w:sz w:val="21"/>
                <w:szCs w:val="21"/>
              </w:rPr>
              <w:t xml:space="preserve">No current system can identify that a critical decision-making process depends on the judgement of two people who are both approaching retirement. Knowledge Intelligence maps concentration risk across the full estate — tacit and explicit — enabling deliberate succession planning before the knowledge is lost rather than after.</w:t>
            </w:r>
          </w:p>
          <w:p>
            <w:r>
              <w:rPr>
                <w:rFonts w:ascii="Arial" w:cs="Arial" w:eastAsia="Arial" w:hAnsi="Arial"/>
                <w:i/>
                <w:iCs/>
                <w:color w:val="4A4A6A"/>
                <w:sz w:val="20"/>
                <w:szCs w:val="20"/>
              </w:rPr>
              <w:t xml:space="preserve">Succession planning based on knowledge risk, not org charts.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400"/>
        <w:gridCol w:w="7960"/>
      </w:tblGrid>
      <w:tr>
        <w:tc>
          <w:tcPr>
            <w:tcW w:type="dxa" w:w="1400"/>
            <w:tcBorders>
              <w:top w:val="single" w:color="DDDDDD" w:sz="1"/>
              <w:left w:val="single" w:color="DDDDDD" w:sz="1"/>
              <w:bottom w:val="single" w:color="DDDDDD" w:sz="1"/>
              <w:right w:val="single" w:color="DDDDDD" w:sz="1"/>
            </w:tcBorders>
            <w:shd w:fill="F8F8F8" w:val="clear"/>
            <w:tcMar>
              <w:top w:type="dxa" w:w="240"/>
              <w:left w:type="dxa" w:w="200"/>
              <w:bottom w:type="dxa" w:w="240"/>
              <w:right w:type="dxa" w:w="200"/>
            </w:tcMar>
          </w:tcPr>
          <w:p>
            <w:r>
              <w:rPr>
                <w:rFonts w:ascii="Arial" w:cs="Arial" w:eastAsia="Arial" w:hAnsi="Arial"/>
                <w:b/>
                <w:bCs/>
                <w:color w:val="CCCCCC"/>
                <w:sz w:val="32"/>
                <w:szCs w:val="32"/>
              </w:rPr>
              <w:t xml:space="preserve">03</w:t>
            </w:r>
          </w:p>
          <w:p>
            <w:pPr>
              <w:spacing w:before="80"/>
            </w:pPr>
            <w:r>
              <w:rPr>
                <w:rFonts w:ascii="Arial" w:cs="Arial" w:eastAsia="Arial" w:hAnsi="Arial"/>
                <w:b/>
                <w:bCs/>
                <w:color w:val="C8A84A"/>
                <w:spacing w:val="60"/>
                <w:sz w:val="16"/>
                <w:szCs w:val="16"/>
              </w:rPr>
              <w:t xml:space="preserve">CONCEPT HEALTH</w:t>
            </w:r>
          </w:p>
        </w:tc>
        <w:tc>
          <w:tcPr>
            <w:tcW w:type="dxa" w:w="7960"/>
            <w:tcBorders>
              <w:top w:val="single" w:color="DDDDDD" w:sz="1"/>
              <w:left w:val="single" w:color="DDDDDD" w:sz="1"/>
              <w:bottom w:val="single" w:color="DDDDDD" w:sz="1"/>
              <w:right w:val="single" w:color="DDDDDD" w:sz="1"/>
            </w:tcBorders>
            <w:tcMar>
              <w:top w:type="dxa" w:w="240"/>
              <w:left w:type="dxa" w:w="280"/>
              <w:bottom w:type="dxa" w:w="240"/>
              <w:right w:type="dxa" w:w="200"/>
            </w:tcMar>
          </w:tcPr>
          <w:p>
            <w:pPr>
              <w:spacing w:after="80"/>
            </w:pPr>
            <w:r>
              <w:rPr>
                <w:rFonts w:ascii="Arial" w:cs="Arial" w:eastAsia="Arial" w:hAnsi="Arial"/>
                <w:b/>
                <w:bCs/>
                <w:color w:val="1A1A2E"/>
                <w:sz w:val="24"/>
                <w:szCs w:val="24"/>
              </w:rPr>
              <w:t xml:space="preserve">Evidence-based evolution of strategic concepts</w:t>
            </w:r>
          </w:p>
          <w:p>
            <w:pPr>
              <w:spacing w:after="120"/>
            </w:pPr>
            <w:r>
              <w:rPr>
                <w:rFonts w:ascii="Arial" w:cs="Arial" w:eastAsia="Arial" w:hAnsi="Arial"/>
                <w:color w:val="2A2A2A"/>
                <w:sz w:val="21"/>
                <w:szCs w:val="21"/>
              </w:rPr>
              <w:t xml:space="preserve">Organisations accumulate frameworks and models that persist long after their usefulness declines. Knowledge Intelligence provides visibility into how concepts perform across the full knowledge estate, in documents, in practice, and in expert judgement, enabling deliberate and evidenced evolution rather than conceptual drift.</w:t>
            </w:r>
          </w:p>
          <w:p>
            <w:r>
              <w:rPr>
                <w:rFonts w:ascii="Arial" w:cs="Arial" w:eastAsia="Arial" w:hAnsi="Arial"/>
                <w:i/>
                <w:iCs/>
                <w:color w:val="4A4A6A"/>
                <w:sz w:val="20"/>
                <w:szCs w:val="20"/>
              </w:rPr>
              <w:t xml:space="preserve">Concepts change based on evidence, not politics or fatigue.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400"/>
        <w:gridCol w:w="7960"/>
      </w:tblGrid>
      <w:tr>
        <w:tc>
          <w:tcPr>
            <w:tcW w:type="dxa" w:w="1400"/>
            <w:tcBorders>
              <w:top w:val="single" w:color="DDDDDD" w:sz="1"/>
              <w:left w:val="single" w:color="DDDDDD" w:sz="1"/>
              <w:bottom w:val="single" w:color="DDDDDD" w:sz="1"/>
              <w:right w:val="single" w:color="DDDDDD" w:sz="1"/>
            </w:tcBorders>
            <w:shd w:fill="F8F8F8" w:val="clear"/>
            <w:tcMar>
              <w:top w:type="dxa" w:w="240"/>
              <w:left w:type="dxa" w:w="200"/>
              <w:bottom w:type="dxa" w:w="240"/>
              <w:right w:type="dxa" w:w="200"/>
            </w:tcMar>
          </w:tcPr>
          <w:p>
            <w:r>
              <w:rPr>
                <w:rFonts w:ascii="Arial" w:cs="Arial" w:eastAsia="Arial" w:hAnsi="Arial"/>
                <w:b/>
                <w:bCs/>
                <w:color w:val="CCCCCC"/>
                <w:sz w:val="32"/>
                <w:szCs w:val="32"/>
              </w:rPr>
              <w:t xml:space="preserve">04</w:t>
            </w:r>
          </w:p>
          <w:p>
            <w:pPr>
              <w:spacing w:before="80"/>
            </w:pPr>
            <w:r>
              <w:rPr>
                <w:rFonts w:ascii="Arial" w:cs="Arial" w:eastAsia="Arial" w:hAnsi="Arial"/>
                <w:b/>
                <w:bCs/>
                <w:color w:val="C8A84A"/>
                <w:spacing w:val="60"/>
                <w:sz w:val="16"/>
                <w:szCs w:val="16"/>
              </w:rPr>
              <w:t xml:space="preserve">CONFIDENCE</w:t>
            </w:r>
          </w:p>
        </w:tc>
        <w:tc>
          <w:tcPr>
            <w:tcW w:type="dxa" w:w="7960"/>
            <w:tcBorders>
              <w:top w:val="single" w:color="DDDDDD" w:sz="1"/>
              <w:left w:val="single" w:color="DDDDDD" w:sz="1"/>
              <w:bottom w:val="single" w:color="DDDDDD" w:sz="1"/>
              <w:right w:val="single" w:color="DDDDDD" w:sz="1"/>
            </w:tcBorders>
            <w:tcMar>
              <w:top w:type="dxa" w:w="240"/>
              <w:left w:type="dxa" w:w="280"/>
              <w:bottom w:type="dxa" w:w="240"/>
              <w:right w:type="dxa" w:w="200"/>
            </w:tcMar>
          </w:tcPr>
          <w:p>
            <w:pPr>
              <w:spacing w:after="80"/>
            </w:pPr>
            <w:r>
              <w:rPr>
                <w:rFonts w:ascii="Arial" w:cs="Arial" w:eastAsia="Arial" w:hAnsi="Arial"/>
                <w:b/>
                <w:bCs/>
                <w:color w:val="1A1A2E"/>
                <w:sz w:val="24"/>
                <w:szCs w:val="24"/>
              </w:rPr>
              <w:t xml:space="preserve">Governing confidence across the knowledge estate</w:t>
            </w:r>
          </w:p>
          <w:p>
            <w:pPr>
              <w:spacing w:after="120"/>
            </w:pPr>
            <w:r>
              <w:rPr>
                <w:rFonts w:ascii="Arial" w:cs="Arial" w:eastAsia="Arial" w:hAnsi="Arial"/>
                <w:color w:val="2A2A2A"/>
                <w:sz w:val="21"/>
                <w:szCs w:val="21"/>
              </w:rPr>
              <w:t xml:space="preserve">No current framework distinguishes between what an organisation knows with high confidence and what it merely assumes. In 2024, 47% of enterprise AI users reported making at least one major decision based on inaccurate or hallucinated content, and 75% of leaders say they do not trust their own data for decision-making. Knowledge Intelligence makes confidence a first-class governance dimension.</w:t>
            </w:r>
          </w:p>
          <w:p>
            <w:r>
              <w:rPr>
                <w:rFonts w:ascii="Arial" w:cs="Arial" w:eastAsia="Arial" w:hAnsi="Arial"/>
                <w:i/>
                <w:iCs/>
                <w:color w:val="4A4A6A"/>
                <w:sz w:val="20"/>
                <w:szCs w:val="20"/>
              </w:rPr>
              <w:t xml:space="preserve">Confidence becomes governable. Assumptions become visible.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400"/>
        <w:gridCol w:w="7960"/>
      </w:tblGrid>
      <w:tr>
        <w:tc>
          <w:tcPr>
            <w:tcW w:type="dxa" w:w="1400"/>
            <w:tcBorders>
              <w:top w:val="single" w:color="DDDDDD" w:sz="1"/>
              <w:left w:val="single" w:color="DDDDDD" w:sz="1"/>
              <w:bottom w:val="single" w:color="DDDDDD" w:sz="1"/>
              <w:right w:val="single" w:color="DDDDDD" w:sz="1"/>
            </w:tcBorders>
            <w:shd w:fill="F8F8F8" w:val="clear"/>
            <w:tcMar>
              <w:top w:type="dxa" w:w="240"/>
              <w:left w:type="dxa" w:w="200"/>
              <w:bottom w:type="dxa" w:w="240"/>
              <w:right w:type="dxa" w:w="200"/>
            </w:tcMar>
          </w:tcPr>
          <w:p>
            <w:r>
              <w:rPr>
                <w:rFonts w:ascii="Arial" w:cs="Arial" w:eastAsia="Arial" w:hAnsi="Arial"/>
                <w:b/>
                <w:bCs/>
                <w:color w:val="CCCCCC"/>
                <w:sz w:val="32"/>
                <w:szCs w:val="32"/>
              </w:rPr>
              <w:t xml:space="preserve">05</w:t>
            </w:r>
          </w:p>
          <w:p>
            <w:pPr>
              <w:spacing w:before="80"/>
            </w:pPr>
            <w:r>
              <w:rPr>
                <w:rFonts w:ascii="Arial" w:cs="Arial" w:eastAsia="Arial" w:hAnsi="Arial"/>
                <w:b/>
                <w:bCs/>
                <w:color w:val="C8A84A"/>
                <w:spacing w:val="60"/>
                <w:sz w:val="16"/>
                <w:szCs w:val="16"/>
              </w:rPr>
              <w:t xml:space="preserve">EXTERNAL ALIGNMENT</w:t>
            </w:r>
          </w:p>
        </w:tc>
        <w:tc>
          <w:tcPr>
            <w:tcW w:type="dxa" w:w="7960"/>
            <w:tcBorders>
              <w:top w:val="single" w:color="DDDDDD" w:sz="1"/>
              <w:left w:val="single" w:color="DDDDDD" w:sz="1"/>
              <w:bottom w:val="single" w:color="DDDDDD" w:sz="1"/>
              <w:right w:val="single" w:color="DDDDDD" w:sz="1"/>
            </w:tcBorders>
            <w:tcMar>
              <w:top w:type="dxa" w:w="240"/>
              <w:left w:type="dxa" w:w="280"/>
              <w:bottom w:type="dxa" w:w="240"/>
              <w:right w:type="dxa" w:w="200"/>
            </w:tcMar>
          </w:tcPr>
          <w:p>
            <w:pPr>
              <w:spacing w:after="80"/>
            </w:pPr>
            <w:r>
              <w:rPr>
                <w:rFonts w:ascii="Arial" w:cs="Arial" w:eastAsia="Arial" w:hAnsi="Arial"/>
                <w:b/>
                <w:bCs/>
                <w:color w:val="1A1A2E"/>
                <w:sz w:val="24"/>
                <w:szCs w:val="24"/>
              </w:rPr>
              <w:t xml:space="preserve">Deliberate alignment between internal knowledge and external context</w:t>
            </w:r>
          </w:p>
          <w:p>
            <w:pPr>
              <w:spacing w:after="120"/>
            </w:pPr>
            <w:r>
              <w:rPr>
                <w:rFonts w:ascii="Arial" w:cs="Arial" w:eastAsia="Arial" w:hAnsi="Arial"/>
                <w:color w:val="2A2A2A"/>
                <w:sz w:val="21"/>
                <w:szCs w:val="21"/>
              </w:rPr>
              <w:t xml:space="preserve">Internal knowledge drifts relative to external reality. Knowledge Intelligence treats external context as weighted evidence, allowing internal understanding to be reinforced, challenged, or updated deliberately rather than by crisis.</w:t>
            </w:r>
          </w:p>
          <w:p>
            <w:r>
              <w:rPr>
                <w:rFonts w:ascii="Arial" w:cs="Arial" w:eastAsia="Arial" w:hAnsi="Arial"/>
                <w:i/>
                <w:iCs/>
                <w:color w:val="4A4A6A"/>
                <w:sz w:val="20"/>
                <w:szCs w:val="20"/>
              </w:rPr>
              <w:t xml:space="preserve">Strategic choices grounded in real alignment, not assumption.</w:t>
            </w:r>
          </w:p>
        </w:tc>
      </w:tr>
    </w:tbl>
    <w:p>
      <w:pPr>
        <w:pageBreakBefore/>
      </w:pPr>
      <w:r>
        <w:t xml:space="preserve"/>
      </w:r>
    </w:p>
    <w:p>
      <w:pPr>
        <w:spacing w:before="480" w:after="80"/>
      </w:pPr>
      <w:r>
        <w:rPr>
          <w:rFonts w:ascii="Arial" w:cs="Arial" w:eastAsia="Arial" w:hAnsi="Arial"/>
          <w:b/>
          <w:bCs/>
          <w:color w:val="C8A84A"/>
          <w:spacing w:val="120"/>
          <w:sz w:val="18"/>
          <w:szCs w:val="18"/>
        </w:rPr>
        <w:t xml:space="preserve">8 — WHAT LEADERSHIP MUST DO</w:t>
      </w:r>
    </w:p>
    <w:p>
      <w:pPr>
        <w:pStyle w:val="Heading1"/>
        <w:spacing w:before="480" w:after="160"/>
      </w:pPr>
      <w:r>
        <w:rPr>
          <w:rFonts w:ascii="Arial" w:cs="Arial" w:eastAsia="Arial" w:hAnsi="Arial"/>
          <w:b/>
          <w:bCs/>
          <w:color w:val="1A1A2E"/>
          <w:sz w:val="36"/>
          <w:szCs w:val="36"/>
        </w:rPr>
        <w:t xml:space="preserve">Three shifts that cannot be delegated.</w:t>
      </w:r>
    </w:p>
    <w:p>
      <w:pPr>
        <w:spacing w:before="80" w:after="160" w:line="360"/>
      </w:pPr>
      <w:r>
        <w:rPr>
          <w:rFonts w:ascii="Arial" w:cs="Arial" w:eastAsia="Arial" w:hAnsi="Arial"/>
          <w:b w:val="false"/>
          <w:bCs w:val="false"/>
          <w:i w:val="false"/>
          <w:iCs w:val="false"/>
          <w:color w:val="2A2A2A"/>
          <w:sz w:val="22"/>
          <w:szCs w:val="22"/>
        </w:rPr>
        <w:t xml:space="preserve">Knowledge Intelligence is a strategic capability, which means it needs strategic ownership. Three shifts in thinking are necessary for it to take root and build value over time.</w:t>
      </w:r>
    </w:p>
    <w:p>
      <w:pPr>
        <w:pStyle w:val="Heading3"/>
        <w:spacing w:before="280" w:after="80"/>
      </w:pPr>
      <w:r>
        <w:rPr>
          <w:rFonts w:ascii="Arial" w:cs="Arial" w:eastAsia="Arial" w:hAnsi="Arial"/>
          <w:b/>
          <w:bCs/>
          <w:color w:val="1A1A2E"/>
          <w:sz w:val="24"/>
          <w:szCs w:val="24"/>
        </w:rPr>
        <w:t xml:space="preserve">From content as output → to knowledge as asset</w:t>
      </w:r>
    </w:p>
    <w:p>
      <w:pPr>
        <w:spacing w:before="80" w:after="160" w:line="360"/>
      </w:pPr>
      <w:r>
        <w:rPr>
          <w:rFonts w:ascii="Arial" w:cs="Arial" w:eastAsia="Arial" w:hAnsi="Arial"/>
          <w:b w:val="false"/>
          <w:bCs w:val="false"/>
          <w:i w:val="false"/>
          <w:iCs w:val="false"/>
          <w:color w:val="2A2A2A"/>
          <w:sz w:val="22"/>
          <w:szCs w:val="22"/>
        </w:rPr>
        <w:t xml:space="preserve">Organisations need to start treating knowledge — in all its forms, tacit and explicit — as something with a measurable state, a direction of travel, and a governance obligation. That means investing in the frameworks that make it possible to see and manage the full knowledge universe, not just the documented surface of it.</w:t>
      </w:r>
    </w:p>
    <w:p>
      <w:pPr>
        <w:pStyle w:val="Heading3"/>
        <w:spacing w:before="280" w:after="80"/>
      </w:pPr>
      <w:r>
        <w:rPr>
          <w:rFonts w:ascii="Arial" w:cs="Arial" w:eastAsia="Arial" w:hAnsi="Arial"/>
          <w:b/>
          <w:bCs/>
          <w:color w:val="1A1A2E"/>
          <w:sz w:val="24"/>
          <w:szCs w:val="24"/>
        </w:rPr>
        <w:t xml:space="preserve">From procedural compliance → to confidence governance</w:t>
      </w:r>
    </w:p>
    <w:p>
      <w:pPr>
        <w:spacing w:before="80" w:after="160" w:line="360"/>
      </w:pPr>
      <w:r>
        <w:rPr>
          <w:rFonts w:ascii="Arial" w:cs="Arial" w:eastAsia="Arial" w:hAnsi="Arial"/>
          <w:b w:val="false"/>
          <w:bCs w:val="false"/>
          <w:i w:val="false"/>
          <w:iCs w:val="false"/>
          <w:color w:val="2A2A2A"/>
          <w:sz w:val="22"/>
          <w:szCs w:val="22"/>
        </w:rPr>
        <w:t xml:space="preserve">Governance needs to go beyond compliance and cover the quality of understanding — whether the knowledge being relied upon is current, validated, and well-founded. Confidence must become a first-class concern with clear ownership and accountability at the executive level.</w:t>
      </w:r>
    </w:p>
    <w:p>
      <w:pPr>
        <w:pStyle w:val="Heading3"/>
        <w:spacing w:before="280" w:after="80"/>
      </w:pPr>
      <w:r>
        <w:rPr>
          <w:rFonts w:ascii="Arial" w:cs="Arial" w:eastAsia="Arial" w:hAnsi="Arial"/>
          <w:b/>
          <w:bCs/>
          <w:color w:val="1A1A2E"/>
          <w:sz w:val="24"/>
          <w:szCs w:val="24"/>
        </w:rPr>
        <w:t xml:space="preserve">From snapshots → to trajectories</w:t>
      </w:r>
    </w:p>
    <w:p>
      <w:pPr>
        <w:spacing w:before="80" w:after="160" w:line="360"/>
      </w:pPr>
      <w:r>
        <w:rPr>
          <w:rFonts w:ascii="Arial" w:cs="Arial" w:eastAsia="Arial" w:hAnsi="Arial"/>
          <w:b w:val="false"/>
          <w:bCs w:val="false"/>
          <w:i w:val="false"/>
          <w:iCs w:val="false"/>
          <w:color w:val="2A2A2A"/>
          <w:sz w:val="22"/>
          <w:szCs w:val="22"/>
        </w:rPr>
        <w:t xml:space="preserve">The most valuable intelligence is not what the current state is, but what has changed and why. Leaders need to invest in understanding over time — including the ability to see how the organisation's knowledge estate is evolving, where it is concentrating, and where it is at risk of being lost.</w:t>
      </w:r>
    </w:p>
    <w:p>
      <w:pPr>
        <w:pageBreakBefore/>
      </w:pPr>
      <w:r>
        <w:t xml:space="preserve"/>
      </w:r>
    </w:p>
    <w:p>
      <w:pPr>
        <w:spacing w:before="480" w:after="80"/>
      </w:pPr>
      <w:r>
        <w:rPr>
          <w:rFonts w:ascii="Arial" w:cs="Arial" w:eastAsia="Arial" w:hAnsi="Arial"/>
          <w:b/>
          <w:bCs/>
          <w:color w:val="C8A84A"/>
          <w:spacing w:val="120"/>
          <w:sz w:val="18"/>
          <w:szCs w:val="18"/>
        </w:rPr>
        <w:t xml:space="preserve">9 — WHAT MAKES THIS HARD</w:t>
      </w:r>
    </w:p>
    <w:p>
      <w:pPr>
        <w:pStyle w:val="Heading1"/>
        <w:spacing w:before="480" w:after="160"/>
      </w:pPr>
      <w:r>
        <w:rPr>
          <w:rFonts w:ascii="Arial" w:cs="Arial" w:eastAsia="Arial" w:hAnsi="Arial"/>
          <w:b/>
          <w:bCs/>
          <w:color w:val="1A1A2E"/>
          <w:sz w:val="36"/>
          <w:szCs w:val="36"/>
        </w:rPr>
        <w:t xml:space="preserve">The obstacles are real. They are not reasons to stop.</w:t>
      </w:r>
    </w:p>
    <w:p>
      <w:pPr>
        <w:spacing w:before="80" w:after="160" w:line="360"/>
      </w:pPr>
      <w:r>
        <w:rPr>
          <w:rFonts w:ascii="Arial" w:cs="Arial" w:eastAsia="Arial" w:hAnsi="Arial"/>
          <w:b w:val="false"/>
          <w:bCs w:val="false"/>
          <w:i w:val="false"/>
          <w:iCs w:val="false"/>
          <w:color w:val="2A2A2A"/>
          <w:sz w:val="22"/>
          <w:szCs w:val="22"/>
        </w:rPr>
        <w:t xml:space="preserve">A case this clear deserves an honest account of what stands in the way. Knowledge Intelligence is not a difficult idea to understand. It is a difficult capability to build — and organisations attempting it will encounter resistance that is predictable, significant, and worth naming directly.</w:t>
      </w:r>
    </w:p>
    <w:p>
      <w:pPr>
        <w:pStyle w:val="Heading3"/>
        <w:spacing w:before="280" w:after="80"/>
      </w:pPr>
      <w:r>
        <w:rPr>
          <w:rFonts w:ascii="Arial" w:cs="Arial" w:eastAsia="Arial" w:hAnsi="Arial"/>
          <w:b/>
          <w:bCs/>
          <w:color w:val="1A1A2E"/>
          <w:sz w:val="24"/>
          <w:szCs w:val="24"/>
        </w:rPr>
        <w:t xml:space="preserve">01  Culture — knowledge hoarding is rational behaviour</w:t>
      </w:r>
    </w:p>
    <w:p>
      <w:pPr>
        <w:spacing w:before="80" w:after="160" w:line="360"/>
      </w:pPr>
      <w:r>
        <w:rPr>
          <w:rFonts w:ascii="Arial" w:cs="Arial" w:eastAsia="Arial" w:hAnsi="Arial"/>
          <w:b w:val="false"/>
          <w:bCs w:val="false"/>
          <w:i w:val="false"/>
          <w:iCs w:val="false"/>
          <w:color w:val="2A2A2A"/>
          <w:sz w:val="22"/>
          <w:szCs w:val="22"/>
        </w:rPr>
        <w:t xml:space="preserve">In most organisations, knowledge is power. Expertise that is shared is expertise that is no longer exclusively yours. Until that incentive structure changes — until contributing knowledge is rewarded rather than merely encouraged — the tacit estate will continue to resist capture. This is not a technology problem. It is a cultural and leadership problem, and no platform solves it without deliberate organisational change alongside it.</w:t>
      </w:r>
    </w:p>
    <w:p>
      <w:pPr>
        <w:pBdr>
          <w:left w:val="single" w:color="C8A84A" w:sz="4" w:space="1"/>
        </w:pBdr>
        <w:spacing w:before="160" w:after="160"/>
        <w:ind w:left="360"/>
      </w:pPr>
      <w:r>
        <w:rPr>
          <w:rFonts w:ascii="Arial" w:cs="Arial" w:eastAsia="Arial" w:hAnsi="Arial"/>
          <w:i/>
          <w:iCs/>
          <w:color w:val="4A4A6A"/>
          <w:sz w:val="20"/>
          <w:szCs w:val="20"/>
        </w:rPr>
        <w:t xml:space="preserve">The technology is the easier part. The culture is the work.</w:t>
      </w:r>
    </w:p>
    <w:p>
      <w:pPr>
        <w:pStyle w:val="Heading3"/>
        <w:spacing w:before="280" w:after="80"/>
      </w:pPr>
      <w:r>
        <w:rPr>
          <w:rFonts w:ascii="Arial" w:cs="Arial" w:eastAsia="Arial" w:hAnsi="Arial"/>
          <w:b/>
          <w:bCs/>
          <w:color w:val="1A1A2E"/>
          <w:sz w:val="24"/>
          <w:szCs w:val="24"/>
        </w:rPr>
        <w:t xml:space="preserve">02  Complexity — knowledge estates are vast and varied</w:t>
      </w:r>
    </w:p>
    <w:p>
      <w:pPr>
        <w:spacing w:before="80" w:after="160" w:line="360"/>
      </w:pPr>
      <w:r>
        <w:rPr>
          <w:rFonts w:ascii="Arial" w:cs="Arial" w:eastAsia="Arial" w:hAnsi="Arial"/>
          <w:b w:val="false"/>
          <w:bCs w:val="false"/>
          <w:i w:val="false"/>
          <w:iCs w:val="false"/>
          <w:color w:val="2A2A2A"/>
          <w:sz w:val="22"/>
          <w:szCs w:val="22"/>
        </w:rPr>
        <w:t xml:space="preserve">The same heterogeneity that makes Knowledge Intelligence valuable also makes it hard to implement. Knowledge exists in hundreds of forms, across dozens of systems, held by people at every level of the organisation. There is no clean starting point, no tidy dataset to work from. The practical path is to begin with what is most legible — the explicit layer — and build governance habits there before extending into the tacit domain.</w:t>
      </w:r>
    </w:p>
    <w:p>
      <w:pPr>
        <w:pBdr>
          <w:left w:val="single" w:color="C8A84A" w:sz="4" w:space="1"/>
        </w:pBdr>
        <w:spacing w:before="160" w:after="160"/>
        <w:ind w:left="360"/>
      </w:pPr>
      <w:r>
        <w:rPr>
          <w:rFonts w:ascii="Arial" w:cs="Arial" w:eastAsia="Arial" w:hAnsi="Arial"/>
          <w:i/>
          <w:iCs/>
          <w:color w:val="4A4A6A"/>
          <w:sz w:val="20"/>
          <w:szCs w:val="20"/>
        </w:rPr>
        <w:t xml:space="preserve">Start with what you can see. Build toward what you cannot.</w:t>
      </w:r>
    </w:p>
    <w:p>
      <w:pPr>
        <w:pStyle w:val="Heading3"/>
        <w:spacing w:before="280" w:after="80"/>
      </w:pPr>
      <w:r>
        <w:rPr>
          <w:rFonts w:ascii="Arial" w:cs="Arial" w:eastAsia="Arial" w:hAnsi="Arial"/>
          <w:b/>
          <w:bCs/>
          <w:color w:val="1A1A2E"/>
          <w:sz w:val="24"/>
          <w:szCs w:val="24"/>
        </w:rPr>
        <w:t xml:space="preserve">03  Investment — the returns are real but not immediate</w:t>
      </w:r>
    </w:p>
    <w:p>
      <w:pPr>
        <w:spacing w:before="80" w:after="160" w:line="360"/>
      </w:pPr>
      <w:r>
        <w:rPr>
          <w:rFonts w:ascii="Arial" w:cs="Arial" w:eastAsia="Arial" w:hAnsi="Arial"/>
          <w:b w:val="false"/>
          <w:bCs w:val="false"/>
          <w:i w:val="false"/>
          <w:iCs w:val="false"/>
          <w:color w:val="2A2A2A"/>
          <w:sz w:val="22"/>
          <w:szCs w:val="22"/>
        </w:rPr>
        <w:t xml:space="preserve">Knowledge Intelligence is infrastructure. Like any infrastructure investment, its value accumulates over time rather than delivering immediate return. Organisations accustomed to measuring technology ROI in months will need a different frame — one that treats knowledge governance as a long-term strategic capability rather than a project with a defined end state. The cost of not investing, however, compounds silently and is rarely visible until it becomes a crisis.</w:t>
      </w:r>
    </w:p>
    <w:p>
      <w:pPr>
        <w:pBdr>
          <w:left w:val="single" w:color="C8A84A" w:sz="4" w:space="1"/>
        </w:pBdr>
        <w:spacing w:before="160" w:after="160"/>
        <w:ind w:left="360"/>
      </w:pPr>
      <w:r>
        <w:rPr>
          <w:rFonts w:ascii="Arial" w:cs="Arial" w:eastAsia="Arial" w:hAnsi="Arial"/>
          <w:i/>
          <w:iCs/>
          <w:color w:val="4A4A6A"/>
          <w:sz w:val="20"/>
          <w:szCs w:val="20"/>
        </w:rPr>
        <w:t xml:space="preserve">The cost of inaction is real. It is just harder to see.</w:t>
      </w:r>
    </w:p>
    <w:p>
      <w:pPr>
        <w:pStyle w:val="Heading3"/>
        <w:spacing w:before="280" w:after="80"/>
      </w:pPr>
      <w:r>
        <w:rPr>
          <w:rFonts w:ascii="Arial" w:cs="Arial" w:eastAsia="Arial" w:hAnsi="Arial"/>
          <w:b/>
          <w:bCs/>
          <w:color w:val="1A1A2E"/>
          <w:sz w:val="24"/>
          <w:szCs w:val="24"/>
        </w:rPr>
        <w:t xml:space="preserve">04  AI dependency — necessary but not sufficient</w:t>
      </w:r>
    </w:p>
    <w:p>
      <w:pPr>
        <w:spacing w:before="80" w:after="160" w:line="360"/>
      </w:pPr>
      <w:r>
        <w:rPr>
          <w:rFonts w:ascii="Arial" w:cs="Arial" w:eastAsia="Arial" w:hAnsi="Arial"/>
          <w:b w:val="false"/>
          <w:bCs w:val="false"/>
          <w:i w:val="false"/>
          <w:iCs w:val="false"/>
          <w:color w:val="2A2A2A"/>
          <w:sz w:val="22"/>
          <w:szCs w:val="22"/>
        </w:rPr>
        <w:t xml:space="preserve">Knowledge Intelligence depends on AI to extract meaning at scale — but AI alone does not deliver it. Without a governing framework, AI produces outputs that cannot be trusted, traced, or acted on with confidence. The organisations currently struggling to realise value from AI investment are, in most cases, struggling precisely because the knowledge foundations beneath their AI are ungoverned. More AI without better knowledge governance makes the problem larger, not smaller.</w:t>
      </w:r>
    </w:p>
    <w:p>
      <w:pPr>
        <w:pBdr>
          <w:left w:val="single" w:color="C8A84A" w:sz="4" w:space="1"/>
        </w:pBdr>
        <w:spacing w:before="160" w:after="160"/>
        <w:ind w:left="360"/>
      </w:pPr>
      <w:r>
        <w:rPr>
          <w:rFonts w:ascii="Arial" w:cs="Arial" w:eastAsia="Arial" w:hAnsi="Arial"/>
          <w:i/>
          <w:iCs/>
          <w:color w:val="4A4A6A"/>
          <w:sz w:val="20"/>
          <w:szCs w:val="20"/>
        </w:rPr>
        <w:t xml:space="preserve">AI amplifies what is already there — including the gaps.</w:t>
      </w:r>
    </w:p>
    <w:p>
      <w:pPr>
        <w:pageBreakBefore/>
      </w:pPr>
      <w:r>
        <w:t xml:space="preserve"/>
      </w:r>
    </w:p>
    <w:p>
      <w:pPr>
        <w:spacing w:before="480" w:after="80"/>
      </w:pPr>
      <w:r>
        <w:rPr>
          <w:rFonts w:ascii="Arial" w:cs="Arial" w:eastAsia="Arial" w:hAnsi="Arial"/>
          <w:b/>
          <w:bCs/>
          <w:color w:val="C8A84A"/>
          <w:spacing w:val="120"/>
          <w:sz w:val="18"/>
          <w:szCs w:val="18"/>
        </w:rPr>
        <w:t xml:space="preserve">CLOSING STATEMENT</w:t>
      </w:r>
    </w:p>
    <w:p>
      <w:pPr>
        <w:pStyle w:val="Heading1"/>
        <w:spacing w:before="480" w:after="160"/>
      </w:pPr>
      <w:r>
        <w:rPr>
          <w:rFonts w:ascii="Arial" w:cs="Arial" w:eastAsia="Arial" w:hAnsi="Arial"/>
          <w:b/>
          <w:bCs/>
          <w:color w:val="1A1A2E"/>
          <w:sz w:val="36"/>
          <w:szCs w:val="36"/>
        </w:rPr>
        <w:t xml:space="preserve">The capability is ready to be built. The moment is now.</w:t>
      </w:r>
    </w:p>
    <w:p>
      <w:pPr>
        <w:spacing w:before="80" w:after="160" w:line="360"/>
      </w:pPr>
      <w:r>
        <w:rPr>
          <w:rFonts w:ascii="Arial" w:cs="Arial" w:eastAsia="Arial" w:hAnsi="Arial"/>
          <w:b w:val="false"/>
          <w:bCs w:val="false"/>
          <w:i w:val="false"/>
          <w:iCs w:val="false"/>
          <w:color w:val="2A2A2A"/>
          <w:sz w:val="22"/>
          <w:szCs w:val="22"/>
        </w:rPr>
        <w:t xml:space="preserve">Organisations have spent decades building systems to manage what they've written down. Those systems are valuable and will remain so. But they address only the visible surface of what organisations actually know — leaving the vast majority of their knowledge unmeasured, unmonitored, and ungoverned.</w:t>
      </w:r>
    </w:p>
    <w:p>
      <w:pPr>
        <w:spacing w:before="80" w:after="160" w:line="360"/>
      </w:pPr>
      <w:r>
        <w:rPr>
          <w:rFonts w:ascii="Arial" w:cs="Arial" w:eastAsia="Arial" w:hAnsi="Arial"/>
          <w:b w:val="false"/>
          <w:bCs w:val="false"/>
          <w:i w:val="false"/>
          <w:iCs w:val="false"/>
          <w:color w:val="2A2A2A"/>
          <w:sz w:val="22"/>
          <w:szCs w:val="22"/>
        </w:rPr>
        <w:t xml:space="preserve">Knowledge Intelligence changes that. Not by adding another layer to the existing content stack, but by building a genuinely new capability — one that treats the full universe of what an organisation knows as something that can be classified, measured, and governed. That requires a different way of thinking about knowledge itself: not as a category of documents, but as everything an organisation knows, in every form it takes.</w:t>
      </w:r>
    </w:p>
    <w:p>
      <w:pPr>
        <w:spacing w:before="80" w:after="160" w:line="360"/>
      </w:pPr>
      <w:r>
        <w:rPr>
          <w:rFonts w:ascii="Arial" w:cs="Arial" w:eastAsia="Arial" w:hAnsi="Arial"/>
          <w:b w:val="false"/>
          <w:bCs w:val="false"/>
          <w:i w:val="false"/>
          <w:iCs w:val="false"/>
          <w:color w:val="2A2A2A"/>
          <w:sz w:val="22"/>
          <w:szCs w:val="22"/>
        </w:rPr>
        <w:t xml:space="preserve">This capability does not sit apart from the broader digital and AI agenda — it is its foundation. Every AI strategy depends on the quality of the knowledge it operates on. Every data governance programme leaves the largest part of the knowledge estate untouched. Every transformation initiative runs on assumptions that have never been tested. Knowledge Intelligence is what changes the foundation, not just the surface.</w:t>
      </w:r>
    </w:p>
    <w:p>
      <w:pPr>
        <w:spacing w:before="80" w:after="160" w:line="360"/>
      </w:pPr>
      <w:r>
        <w:rPr>
          <w:rFonts w:ascii="Arial" w:cs="Arial" w:eastAsia="Arial" w:hAnsi="Arial"/>
          <w:b w:val="false"/>
          <w:bCs w:val="false"/>
          <w:i w:val="false"/>
          <w:iCs w:val="false"/>
          <w:color w:val="2A2A2A"/>
          <w:sz w:val="22"/>
          <w:szCs w:val="22"/>
        </w:rPr>
        <w:t xml:space="preserve">The conditions have converged. The knowledge estates are large enough. The AI capability is sufficient. The decision stakes are high enough. The cost of ungoverned knowledge is no longer acceptable.</w:t>
      </w:r>
    </w:p>
    <w:p>
      <w:pPr>
        <w:spacing w:before="200" w:after="0"/>
      </w:pPr>
      <w:r>
        <w:t xml:space="preserve"/>
      </w:r>
    </w:p>
    <w:p>
      <w:pPr>
        <w:spacing w:before="160" w:after="240"/>
      </w:pPr>
      <w:r>
        <w:rPr>
          <w:rFonts w:ascii="Arial" w:cs="Arial" w:eastAsia="Arial" w:hAnsi="Arial"/>
          <w:i/>
          <w:iCs/>
          <w:color w:val="1A1A2E"/>
          <w:sz w:val="26"/>
          <w:szCs w:val="26"/>
        </w:rPr>
        <w:t xml:space="preserve">This paper is a founding statement, not a final answer. The work of building the capability and proving its value is what comes next — and it's work I intend to do.</w:t>
      </w:r>
    </w:p>
    <w:p>
      <w:pPr>
        <w:pBdr>
          <w:bottom w:val="single" w:color="DDDDDD" w:sz="2" w:space="1"/>
        </w:pBdr>
        <w:spacing w:before="280" w:after="280"/>
      </w:pPr>
      <w:r>
        <w:t xml:space="preserve"/>
      </w:r>
    </w:p>
    <w:p>
      <w:pPr>
        <w:spacing w:before="160" w:after="40"/>
      </w:pPr>
      <w:r>
        <w:rPr>
          <w:rFonts w:ascii="Arial" w:cs="Arial" w:eastAsia="Arial" w:hAnsi="Arial"/>
          <w:b/>
          <w:bCs/>
          <w:color w:val="1A1A2E"/>
          <w:sz w:val="22"/>
          <w:szCs w:val="22"/>
        </w:rPr>
        <w:t xml:space="preserve">Tommy Lowe</w:t>
      </w:r>
    </w:p>
    <w:p>
      <w:r>
        <w:rPr>
          <w:rFonts w:ascii="Arial" w:cs="Arial" w:eastAsia="Arial" w:hAnsi="Arial"/>
          <w:color w:val="888888"/>
          <w:sz w:val="20"/>
          <w:szCs w:val="20"/>
        </w:rPr>
        <w:t xml:space="preserve">Knowledge Intelligence  ·  A Founding Statement</w:t>
      </w:r>
    </w:p>
    <w:p>
      <w:pPr>
        <w:pageBreakBefore/>
      </w:pPr>
      <w:r>
        <w:t xml:space="preserve"/>
      </w:r>
    </w:p>
    <w:p>
      <w:pPr>
        <w:spacing w:before="480" w:after="80"/>
      </w:pPr>
      <w:r>
        <w:rPr>
          <w:rFonts w:ascii="Arial" w:cs="Arial" w:eastAsia="Arial" w:hAnsi="Arial"/>
          <w:b/>
          <w:bCs/>
          <w:color w:val="C8A84A"/>
          <w:spacing w:val="120"/>
          <w:sz w:val="18"/>
          <w:szCs w:val="18"/>
        </w:rPr>
        <w:t xml:space="preserve">SOURCES AND REFERENCES</w:t>
      </w:r>
    </w:p>
    <w:p>
      <w:pPr>
        <w:pStyle w:val="Heading2"/>
        <w:spacing w:before="360" w:after="120"/>
      </w:pPr>
      <w:r>
        <w:rPr>
          <w:rFonts w:ascii="Arial" w:cs="Arial" w:eastAsia="Arial" w:hAnsi="Arial"/>
          <w:b/>
          <w:bCs/>
          <w:color w:val="1A1A2E"/>
          <w:sz w:val="28"/>
          <w:szCs w:val="28"/>
        </w:rPr>
        <w:t xml:space="preserve">Citations</w:t>
      </w:r>
    </w:p>
    <w:p>
      <w:pPr>
        <w:spacing w:before="160" w:after="80" w:line="320"/>
        <w:ind w:left="720" w:hanging="360"/>
      </w:pPr>
      <w:r>
        <w:rPr>
          <w:rFonts w:ascii="Arial" w:cs="Arial" w:eastAsia="Arial" w:hAnsi="Arial"/>
          <w:b/>
          <w:bCs/>
          <w:color w:val="C8A84A"/>
          <w:sz w:val="22"/>
          <w:szCs w:val="22"/>
        </w:rPr>
        <w:t xml:space="preserve">01  </w:t>
      </w:r>
      <w:r>
        <w:rPr>
          <w:rFonts w:ascii="Arial" w:cs="Arial" w:eastAsia="Arial" w:hAnsi="Arial"/>
          <w:color w:val="2A2A2A"/>
          <w:sz w:val="22"/>
          <w:szCs w:val="22"/>
        </w:rPr>
        <w:t xml:space="preserve">Nonaka, I. and Takeuchi, H. — The Knowledge-Creating Company. Oxford University Press, 1995.</w:t>
      </w:r>
    </w:p>
    <w:p>
      <w:pPr>
        <w:spacing w:before="160" w:after="80" w:line="320"/>
        <w:ind w:left="720" w:hanging="360"/>
      </w:pPr>
      <w:r>
        <w:rPr>
          <w:rFonts w:ascii="Arial" w:cs="Arial" w:eastAsia="Arial" w:hAnsi="Arial"/>
          <w:b/>
          <w:bCs/>
          <w:color w:val="C8A84A"/>
          <w:sz w:val="22"/>
          <w:szCs w:val="22"/>
        </w:rPr>
        <w:t xml:space="preserve">02  </w:t>
      </w:r>
      <w:r>
        <w:rPr>
          <w:rFonts w:ascii="Arial" w:cs="Arial" w:eastAsia="Arial" w:hAnsi="Arial"/>
          <w:color w:val="2A2A2A"/>
          <w:sz w:val="22"/>
          <w:szCs w:val="22"/>
        </w:rPr>
        <w:t xml:space="preserve">McKinsey Global Institute — The Social Economy: Unlocking Value and Productivity Through Social Technologies. McKinsey, 2012.</w:t>
      </w:r>
    </w:p>
    <w:p>
      <w:pPr>
        <w:spacing w:before="160" w:after="80" w:line="320"/>
        <w:ind w:left="720" w:hanging="360"/>
      </w:pPr>
      <w:r>
        <w:rPr>
          <w:rFonts w:ascii="Arial" w:cs="Arial" w:eastAsia="Arial" w:hAnsi="Arial"/>
          <w:b/>
          <w:bCs/>
          <w:color w:val="C8A84A"/>
          <w:sz w:val="22"/>
          <w:szCs w:val="22"/>
        </w:rPr>
        <w:t xml:space="preserve">03  </w:t>
      </w:r>
      <w:r>
        <w:rPr>
          <w:rFonts w:ascii="Arial" w:cs="Arial" w:eastAsia="Arial" w:hAnsi="Arial"/>
          <w:color w:val="2A2A2A"/>
          <w:sz w:val="22"/>
          <w:szCs w:val="22"/>
        </w:rPr>
        <w:t xml:space="preserve">KMWorld — Toward Greater Visibility in Today's Knowledge World: 2024 Survey on Information Sharing and Transparency. KMWorld Research, 2024.</w:t>
      </w:r>
    </w:p>
    <w:p>
      <w:pPr>
        <w:spacing w:before="160" w:after="80" w:line="320"/>
        <w:ind w:left="720" w:hanging="360"/>
      </w:pPr>
      <w:r>
        <w:rPr>
          <w:rFonts w:ascii="Arial" w:cs="Arial" w:eastAsia="Arial" w:hAnsi="Arial"/>
          <w:b/>
          <w:bCs/>
          <w:color w:val="C8A84A"/>
          <w:sz w:val="22"/>
          <w:szCs w:val="22"/>
        </w:rPr>
        <w:t xml:space="preserve">04  </w:t>
      </w:r>
      <w:r>
        <w:rPr>
          <w:rFonts w:ascii="Arial" w:cs="Arial" w:eastAsia="Arial" w:hAnsi="Arial"/>
          <w:color w:val="2A2A2A"/>
          <w:sz w:val="22"/>
          <w:szCs w:val="22"/>
        </w:rPr>
        <w:t xml:space="preserve">Dataversity / Gartner — Data Management Trends 2025: Moving Beyond Awareness to Action. Dataversity, 2025.</w:t>
      </w:r>
    </w:p>
    <w:p>
      <w:pPr>
        <w:spacing w:before="160" w:after="80" w:line="320"/>
        <w:ind w:left="720" w:hanging="360"/>
      </w:pPr>
      <w:r>
        <w:rPr>
          <w:rFonts w:ascii="Arial" w:cs="Arial" w:eastAsia="Arial" w:hAnsi="Arial"/>
          <w:b/>
          <w:bCs/>
          <w:color w:val="C8A84A"/>
          <w:sz w:val="22"/>
          <w:szCs w:val="22"/>
        </w:rPr>
        <w:t xml:space="preserve">05  </w:t>
      </w:r>
      <w:r>
        <w:rPr>
          <w:rFonts w:ascii="Arial" w:cs="Arial" w:eastAsia="Arial" w:hAnsi="Arial"/>
          <w:color w:val="2A2A2A"/>
          <w:sz w:val="22"/>
          <w:szCs w:val="22"/>
        </w:rPr>
        <w:t xml:space="preserve">APQC — 2024 Knowledge Management Priorities and Predictions Survey Report. American Productivity and Quality Center, 2024.</w:t>
      </w:r>
    </w:p>
    <w:p>
      <w:pPr>
        <w:spacing w:before="160" w:after="80" w:line="320"/>
        <w:ind w:left="720" w:hanging="360"/>
      </w:pPr>
      <w:r>
        <w:rPr>
          <w:rFonts w:ascii="Arial" w:cs="Arial" w:eastAsia="Arial" w:hAnsi="Arial"/>
          <w:b/>
          <w:bCs/>
          <w:color w:val="C8A84A"/>
          <w:sz w:val="22"/>
          <w:szCs w:val="22"/>
        </w:rPr>
        <w:t xml:space="preserve">06  </w:t>
      </w:r>
      <w:r>
        <w:rPr>
          <w:rFonts w:ascii="Arial" w:cs="Arial" w:eastAsia="Arial" w:hAnsi="Arial"/>
          <w:color w:val="2A2A2A"/>
          <w:sz w:val="22"/>
          <w:szCs w:val="22"/>
        </w:rPr>
        <w:t xml:space="preserve">McKinsey and Company — The State of AI in 2025: Agents, Innovation, and Transformation. McKinsey Global Survey, 2025.</w:t>
      </w:r>
    </w:p>
    <w:p>
      <w:pPr>
        <w:spacing w:before="160" w:after="80" w:line="320"/>
        <w:ind w:left="720" w:hanging="360"/>
      </w:pPr>
      <w:r>
        <w:rPr>
          <w:rFonts w:ascii="Arial" w:cs="Arial" w:eastAsia="Arial" w:hAnsi="Arial"/>
          <w:b/>
          <w:bCs/>
          <w:color w:val="C8A84A"/>
          <w:sz w:val="22"/>
          <w:szCs w:val="22"/>
        </w:rPr>
        <w:t xml:space="preserve">07  </w:t>
      </w:r>
      <w:r>
        <w:rPr>
          <w:rFonts w:ascii="Arial" w:cs="Arial" w:eastAsia="Arial" w:hAnsi="Arial"/>
          <w:color w:val="2A2A2A"/>
          <w:sz w:val="22"/>
          <w:szCs w:val="22"/>
        </w:rPr>
        <w:t xml:space="preserve">BCG — AI value realization research cited in Integrate.io, Data Transformation Challenge Statistics, 2024.</w:t>
      </w:r>
    </w:p>
    <w:p>
      <w:pPr>
        <w:spacing w:before="160" w:after="80" w:line="320"/>
        <w:ind w:left="720" w:hanging="360"/>
      </w:pPr>
      <w:r>
        <w:rPr>
          <w:rFonts w:ascii="Arial" w:cs="Arial" w:eastAsia="Arial" w:hAnsi="Arial"/>
          <w:b/>
          <w:bCs/>
          <w:color w:val="C8A84A"/>
          <w:sz w:val="22"/>
          <w:szCs w:val="22"/>
        </w:rPr>
        <w:t xml:space="preserve">08  </w:t>
      </w:r>
      <w:r>
        <w:rPr>
          <w:rFonts w:ascii="Arial" w:cs="Arial" w:eastAsia="Arial" w:hAnsi="Arial"/>
          <w:color w:val="2A2A2A"/>
          <w:sz w:val="22"/>
          <w:szCs w:val="22"/>
        </w:rPr>
        <w:t xml:space="preserve">Enterprise AI survey — Cited in Fullview.io, AI Statistics and Trends for 2025, November 2025. Original source: enterprise hallucination impact survey, 2024.</w:t>
      </w:r>
    </w:p>
    <w:p>
      <w:pPr>
        <w:spacing w:before="160" w:after="80" w:line="320"/>
        <w:ind w:left="720" w:hanging="360"/>
      </w:pPr>
      <w:r>
        <w:rPr>
          <w:rFonts w:ascii="Arial" w:cs="Arial" w:eastAsia="Arial" w:hAnsi="Arial"/>
          <w:b/>
          <w:bCs/>
          <w:color w:val="C8A84A"/>
          <w:sz w:val="22"/>
          <w:szCs w:val="22"/>
        </w:rPr>
        <w:t xml:space="preserve">09  </w:t>
      </w:r>
      <w:r>
        <w:rPr>
          <w:rFonts w:ascii="Arial" w:cs="Arial" w:eastAsia="Arial" w:hAnsi="Arial"/>
          <w:color w:val="2A2A2A"/>
          <w:sz w:val="22"/>
          <w:szCs w:val="22"/>
        </w:rPr>
        <w:t xml:space="preserve">Research and Markets — Knowledge Management Market Size, Share and Forecast to 2030. Research and Markets Ltd, 2024.</w:t>
      </w:r>
    </w:p>
    <w:p>
      <w:pPr>
        <w:spacing w:before="160" w:after="80" w:line="320"/>
        <w:ind w:left="720" w:hanging="360"/>
      </w:pPr>
      <w:r>
        <w:rPr>
          <w:rFonts w:ascii="Arial" w:cs="Arial" w:eastAsia="Arial" w:hAnsi="Arial"/>
          <w:b/>
          <w:bCs/>
          <w:color w:val="C8A84A"/>
          <w:sz w:val="22"/>
          <w:szCs w:val="22"/>
        </w:rPr>
        <w:t xml:space="preserve">10  </w:t>
      </w:r>
      <w:r>
        <w:rPr>
          <w:rFonts w:ascii="Arial" w:cs="Arial" w:eastAsia="Arial" w:hAnsi="Arial"/>
          <w:color w:val="2A2A2A"/>
          <w:sz w:val="22"/>
          <w:szCs w:val="22"/>
        </w:rPr>
        <w:t xml:space="preserve">Milton, N. — Quoted in Tanmay Vora, The Iceberg of Organizational Knowledge. Knoco Ltd,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1"/>
      </w:pBdr>
      <w:tabs>
        <w:tab w:val="right" w:pos="9360"/>
      </w:tabs>
    </w:pPr>
    <w:r>
      <w:rPr>
        <w:rFonts w:ascii="Arial" w:cs="Arial" w:eastAsia="Arial" w:hAnsi="Arial"/>
        <w:color w:val="888888"/>
        <w:sz w:val="17"/>
        <w:szCs w:val="17"/>
      </w:rPr>
      <w:t xml:space="preserve">Tommy Lowe  ·  Kore Knowledge Intelligence</w:t>
    </w:r>
    <w:r>
      <w:rPr>
        <w:sz w:val="17"/>
        <w:szCs w:val="17"/>
      </w:rPr>
      <w:t xml:space="preserv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2" w:space="1"/>
      </w:pBdr>
    </w:pPr>
    <w:r>
      <w:rPr>
        <w:rFonts w:ascii="Arial" w:cs="Arial" w:eastAsia="Arial" w:hAnsi="Arial"/>
        <w:color w:val="888888"/>
        <w:sz w:val="18"/>
        <w:szCs w:val="18"/>
      </w:rPr>
      <w:t xml:space="preserve">Knowledge Intelligence  ·  A Founding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8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2026-02-26T03:15:32.876Z</dcterms:created>
  <dcterms:modified xsi:type="dcterms:W3CDTF">2026-02-26T03:15:32.878Z</dcterms:modified>
</cp:coreProperties>
</file>

<file path=docProps/custom.xml><?xml version="1.0" encoding="utf-8"?>
<Properties xmlns="http://schemas.openxmlformats.org/officeDocument/2006/custom-properties" xmlns:vt="http://schemas.openxmlformats.org/officeDocument/2006/docPropsVTypes"/>
</file>