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27A5E" w14:textId="77777777" w:rsidR="003A474A" w:rsidRPr="003A474A" w:rsidRDefault="003A474A" w:rsidP="003A474A">
      <w:pPr>
        <w:rPr>
          <w:b/>
          <w:bCs/>
        </w:rPr>
      </w:pPr>
      <w:r w:rsidRPr="003A474A">
        <w:rPr>
          <w:b/>
          <w:bCs/>
        </w:rPr>
        <w:t xml:space="preserve">How UAH Could Turn Student Engagement Data </w:t>
      </w:r>
      <w:proofErr w:type="gramStart"/>
      <w:r w:rsidRPr="003A474A">
        <w:rPr>
          <w:b/>
          <w:bCs/>
        </w:rPr>
        <w:t>Into</w:t>
      </w:r>
      <w:proofErr w:type="gramEnd"/>
      <w:r w:rsidRPr="003A474A">
        <w:rPr>
          <w:b/>
          <w:bCs/>
        </w:rPr>
        <w:t xml:space="preserve"> Action with the Social Engagement Accelerator</w:t>
      </w:r>
    </w:p>
    <w:p w14:paraId="672D24C3" w14:textId="77777777" w:rsidR="003A474A" w:rsidRPr="003A474A" w:rsidRDefault="003A474A" w:rsidP="003A474A">
      <w:r w:rsidRPr="003A474A">
        <w:t xml:space="preserve">At the University of Alabama in Huntsville, data is not </w:t>
      </w:r>
      <w:proofErr w:type="gramStart"/>
      <w:r w:rsidRPr="003A474A">
        <w:t>the</w:t>
      </w:r>
      <w:proofErr w:type="gramEnd"/>
      <w:r w:rsidRPr="003A474A">
        <w:t xml:space="preserve"> problem. UAH already runs Argos connected to Banner, meaning enrollment, financial aid, HR, and academic records are accessible and reportable across all eight colleges. The reporting foundation is there.</w:t>
      </w:r>
    </w:p>
    <w:p w14:paraId="49E84B05" w14:textId="77777777" w:rsidR="003A474A" w:rsidRPr="003A474A" w:rsidRDefault="003A474A" w:rsidP="003A474A">
      <w:r w:rsidRPr="003A474A">
        <w:t>But there is a gap that institutional reporting has never been designed to close, and it has nothing to do with grades or credits. It has to do with whether a student feels like they belong.</w:t>
      </w:r>
    </w:p>
    <w:p w14:paraId="6F92D428" w14:textId="77777777" w:rsidR="003A474A" w:rsidRPr="003A474A" w:rsidRDefault="003A474A" w:rsidP="003A474A">
      <w:r w:rsidRPr="003A474A">
        <w:rPr>
          <w:b/>
          <w:bCs/>
        </w:rPr>
        <w:t>The Problem Behind the Numbers</w:t>
      </w:r>
    </w:p>
    <w:p w14:paraId="6EE1FE76" w14:textId="77777777" w:rsidR="003A474A" w:rsidRPr="003A474A" w:rsidRDefault="003A474A" w:rsidP="003A474A">
      <w:r w:rsidRPr="003A474A">
        <w:t>UAH is a research university with a tight-knit academic culture, strong ties to NASA and the defense industry, and a student body that spans 49 states and 56 countries. For many students, that environment is energizing. For others, especially those without a natural community on campus, it can feel isolating.</w:t>
      </w:r>
    </w:p>
    <w:p w14:paraId="6EEBDF7D" w14:textId="77777777" w:rsidR="003A474A" w:rsidRPr="003A474A" w:rsidRDefault="003A474A" w:rsidP="003A474A">
      <w:r w:rsidRPr="003A474A">
        <w:t xml:space="preserve">Social isolation is one of the strongest predictors of student departure, and it almost never shows up in a Banner report. By the time a student's GPA drops or a withdrawal form is filed, the window for meaningful </w:t>
      </w:r>
      <w:proofErr w:type="gramStart"/>
      <w:r w:rsidRPr="003A474A">
        <w:t>intervention has usually closed</w:t>
      </w:r>
      <w:proofErr w:type="gramEnd"/>
      <w:r w:rsidRPr="003A474A">
        <w:t xml:space="preserve">. The data that </w:t>
      </w:r>
      <w:proofErr w:type="gramStart"/>
      <w:r w:rsidRPr="003A474A">
        <w:t>would have flagged</w:t>
      </w:r>
      <w:proofErr w:type="gramEnd"/>
      <w:r w:rsidRPr="003A474A">
        <w:t xml:space="preserve"> the problem earlier, club involvement, dining activity, residence hall engagement, event attendance, lives in a different system than the one </w:t>
      </w:r>
      <w:proofErr w:type="gramStart"/>
      <w:r w:rsidRPr="003A474A">
        <w:t>advisors</w:t>
      </w:r>
      <w:proofErr w:type="gramEnd"/>
      <w:r w:rsidRPr="003A474A">
        <w:t xml:space="preserve"> check every morning.</w:t>
      </w:r>
    </w:p>
    <w:p w14:paraId="69E9AA88" w14:textId="77777777" w:rsidR="003A474A" w:rsidRPr="003A474A" w:rsidRDefault="003A474A" w:rsidP="003A474A">
      <w:r w:rsidRPr="003A474A">
        <w:t>That fragmentation is the core challenge. Not a lack of data, but a lack of a place where the right data comes together at the right time.</w:t>
      </w:r>
    </w:p>
    <w:p w14:paraId="44400171" w14:textId="77777777" w:rsidR="003A474A" w:rsidRPr="003A474A" w:rsidRDefault="003A474A" w:rsidP="003A474A">
      <w:r w:rsidRPr="003A474A">
        <w:rPr>
          <w:b/>
          <w:bCs/>
        </w:rPr>
        <w:t>What the Social Engagement Accelerator Does</w:t>
      </w:r>
    </w:p>
    <w:p w14:paraId="66842450" w14:textId="77777777" w:rsidR="003A474A" w:rsidRPr="003A474A" w:rsidRDefault="003A474A" w:rsidP="003A474A">
      <w:r w:rsidRPr="003A474A">
        <w:t>The Social Engagement Accelerator is built specifically for this problem. It aggregates student social engagement signals from across campus, things like event attendance, club participation, dining patterns, and housing activity, and brings them into a single staff-facing dashboard. Each student receives an engagement score that reflects how connected they are to campus life. That score updates over time, so advisors and student success staff are not looking at a static snapshot but at a moving picture.</w:t>
      </w:r>
    </w:p>
    <w:p w14:paraId="76721036" w14:textId="77777777" w:rsidR="003A474A" w:rsidRPr="003A474A" w:rsidRDefault="003A474A" w:rsidP="003A474A">
      <w:r w:rsidRPr="003A474A">
        <w:t>The dashboard is designed for action, not just awareness. A staff member can filter by college, housing status, or engagement trend, pull up a list of students whose scores have dropped over the past few weeks, and initiate an outreach workflow from the same screen. The goal is to compress the time between seeing a signal and doing something about it.</w:t>
      </w:r>
    </w:p>
    <w:p w14:paraId="10E4F130" w14:textId="77777777" w:rsidR="003A474A" w:rsidRPr="003A474A" w:rsidRDefault="003A474A" w:rsidP="003A474A">
      <w:r w:rsidRPr="003A474A">
        <w:rPr>
          <w:b/>
          <w:bCs/>
        </w:rPr>
        <w:t>Why This Matters at UAH Specifically</w:t>
      </w:r>
    </w:p>
    <w:p w14:paraId="3A0584CC" w14:textId="77777777" w:rsidR="003A474A" w:rsidRPr="003A474A" w:rsidRDefault="003A474A" w:rsidP="003A474A">
      <w:r w:rsidRPr="003A474A">
        <w:lastRenderedPageBreak/>
        <w:t>UAH's student profile makes this kind of tool especially relevant. The university draws a significant number of students in engineering and science programs who arrive with strong academic preparation but sometimes less experience navigating a social environment on their own. First-generation students, international students, and commuter students each face their own version of the same challenge: the campus offers resources, but the path to them is not always visible.</w:t>
      </w:r>
    </w:p>
    <w:p w14:paraId="00C44F18" w14:textId="77777777" w:rsidR="003A474A" w:rsidRPr="003A474A" w:rsidRDefault="003A474A" w:rsidP="003A474A">
      <w:r w:rsidRPr="003A474A">
        <w:t>UAH also has genuine infrastructure to engage with. Athletics, student organizations, research programs, and a physical campus with residence halls mean the engagement signals are there to be collected. The SEA does not create engagement out of nothing. It makes the engagement that is already happening visible to the people whose job it is to respond.</w:t>
      </w:r>
    </w:p>
    <w:p w14:paraId="061AFC0D" w14:textId="77777777" w:rsidR="003A474A" w:rsidRPr="003A474A" w:rsidRDefault="003A474A" w:rsidP="003A474A">
      <w:r w:rsidRPr="003A474A">
        <w:rPr>
          <w:b/>
          <w:bCs/>
        </w:rPr>
        <w:t>From Dashboard to Decision</w:t>
      </w:r>
    </w:p>
    <w:p w14:paraId="54443845" w14:textId="77777777" w:rsidR="003A474A" w:rsidRPr="003A474A" w:rsidRDefault="003A474A" w:rsidP="003A474A">
      <w:r w:rsidRPr="003A474A">
        <w:t>A reporting tool that shows which students are disengaged is useful. A tool that helps staff decide what to do about it is valuable. The distinction matters because dashboards alone do not change outcomes. People do.</w:t>
      </w:r>
    </w:p>
    <w:p w14:paraId="582F8138" w14:textId="77777777" w:rsidR="003A474A" w:rsidRPr="003A474A" w:rsidRDefault="003A474A" w:rsidP="003A474A">
      <w:r w:rsidRPr="003A474A">
        <w:t>The SEA is built around that idea. When an advisor at UAH sees a student whose engagement score has declined for three consecutive weeks, the next question is not "interesting, I wonder why." The next question is "who is reaching out, and when." The platform supports that workflow by surfacing the relevant student context, housing situation, enrolled courses, recent activity, so the outreach can be specific rather than generic.</w:t>
      </w:r>
    </w:p>
    <w:p w14:paraId="317D2D3E" w14:textId="77777777" w:rsidR="003A474A" w:rsidRPr="003A474A" w:rsidRDefault="003A474A" w:rsidP="003A474A">
      <w:r w:rsidRPr="003A474A">
        <w:t>That is what separates action from awareness. A student receiving a check-in call from an advisor who already knows they stopped attending club meetings and have not swiped into the dining hall in two weeks is having a different conversation than one receiving a mass email about campus resources.</w:t>
      </w:r>
    </w:p>
    <w:p w14:paraId="2A3D6C95" w14:textId="77777777" w:rsidR="003A474A" w:rsidRPr="003A474A" w:rsidRDefault="003A474A" w:rsidP="003A474A">
      <w:r w:rsidRPr="003A474A">
        <w:rPr>
          <w:b/>
          <w:bCs/>
        </w:rPr>
        <w:t>The Broader Case for UAH</w:t>
      </w:r>
    </w:p>
    <w:p w14:paraId="117B476E" w14:textId="77777777" w:rsidR="003A474A" w:rsidRPr="003A474A" w:rsidRDefault="003A474A" w:rsidP="003A474A">
      <w:r w:rsidRPr="003A474A">
        <w:t xml:space="preserve">UAH already made </w:t>
      </w:r>
      <w:proofErr w:type="gramStart"/>
      <w:r w:rsidRPr="003A474A">
        <w:t>the</w:t>
      </w:r>
      <w:proofErr w:type="gramEnd"/>
      <w:r w:rsidRPr="003A474A">
        <w:t xml:space="preserve"> investment in Argos because institutional data has value when it is accessible and governed. The SEA extends that logic into a domain that traditional reporting has never reached, the social fabric of student life.</w:t>
      </w:r>
    </w:p>
    <w:p w14:paraId="416FFC63" w14:textId="77777777" w:rsidR="003A474A" w:rsidRPr="003A474A" w:rsidRDefault="003A474A" w:rsidP="003A474A">
      <w:r w:rsidRPr="003A474A">
        <w:t>For a university that prides itself on research, outcomes, and return on investment, the case for the SEA comes down to a simple question: if the data to identify a struggling student exists somewhere on campus, should it take a withdrawal form to surface it?</w:t>
      </w:r>
    </w:p>
    <w:p w14:paraId="00322900" w14:textId="77777777" w:rsidR="003A474A" w:rsidRPr="003A474A" w:rsidRDefault="003A474A" w:rsidP="003A474A">
      <w:r w:rsidRPr="003A474A">
        <w:lastRenderedPageBreak/>
        <w:t>The answer UAH has already given, through its investment in Argos and its commitment to student success infrastructure, is no. The Social Engagement Accelerator is the next step in that same direction.</w:t>
      </w:r>
    </w:p>
    <w:p w14:paraId="0A0DBD8A" w14:textId="77777777" w:rsidR="00450635" w:rsidRDefault="00450635"/>
    <w:sectPr w:rsidR="00450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5B1"/>
    <w:rsid w:val="002C75B1"/>
    <w:rsid w:val="003A474A"/>
    <w:rsid w:val="00450635"/>
    <w:rsid w:val="00466C71"/>
    <w:rsid w:val="00B244C5"/>
    <w:rsid w:val="00FE4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9A5E03-F97F-45CB-A048-9B2922400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5B1"/>
    <w:rPr>
      <w:rFonts w:eastAsiaTheme="majorEastAsia" w:cstheme="majorBidi"/>
      <w:color w:val="272727" w:themeColor="text1" w:themeTint="D8"/>
    </w:rPr>
  </w:style>
  <w:style w:type="paragraph" w:styleId="Title">
    <w:name w:val="Title"/>
    <w:basedOn w:val="Normal"/>
    <w:next w:val="Normal"/>
    <w:link w:val="TitleChar"/>
    <w:uiPriority w:val="10"/>
    <w:qFormat/>
    <w:rsid w:val="002C7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5B1"/>
    <w:pPr>
      <w:spacing w:before="160"/>
      <w:jc w:val="center"/>
    </w:pPr>
    <w:rPr>
      <w:i/>
      <w:iCs/>
      <w:color w:val="404040" w:themeColor="text1" w:themeTint="BF"/>
    </w:rPr>
  </w:style>
  <w:style w:type="character" w:customStyle="1" w:styleId="QuoteChar">
    <w:name w:val="Quote Char"/>
    <w:basedOn w:val="DefaultParagraphFont"/>
    <w:link w:val="Quote"/>
    <w:uiPriority w:val="29"/>
    <w:rsid w:val="002C75B1"/>
    <w:rPr>
      <w:i/>
      <w:iCs/>
      <w:color w:val="404040" w:themeColor="text1" w:themeTint="BF"/>
    </w:rPr>
  </w:style>
  <w:style w:type="paragraph" w:styleId="ListParagraph">
    <w:name w:val="List Paragraph"/>
    <w:basedOn w:val="Normal"/>
    <w:uiPriority w:val="34"/>
    <w:qFormat/>
    <w:rsid w:val="002C75B1"/>
    <w:pPr>
      <w:ind w:left="720"/>
      <w:contextualSpacing/>
    </w:pPr>
  </w:style>
  <w:style w:type="character" w:styleId="IntenseEmphasis">
    <w:name w:val="Intense Emphasis"/>
    <w:basedOn w:val="DefaultParagraphFont"/>
    <w:uiPriority w:val="21"/>
    <w:qFormat/>
    <w:rsid w:val="002C75B1"/>
    <w:rPr>
      <w:i/>
      <w:iCs/>
      <w:color w:val="0F4761" w:themeColor="accent1" w:themeShade="BF"/>
    </w:rPr>
  </w:style>
  <w:style w:type="paragraph" w:styleId="IntenseQuote">
    <w:name w:val="Intense Quote"/>
    <w:basedOn w:val="Normal"/>
    <w:next w:val="Normal"/>
    <w:link w:val="IntenseQuoteChar"/>
    <w:uiPriority w:val="30"/>
    <w:qFormat/>
    <w:rsid w:val="002C7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5B1"/>
    <w:rPr>
      <w:i/>
      <w:iCs/>
      <w:color w:val="0F4761" w:themeColor="accent1" w:themeShade="BF"/>
    </w:rPr>
  </w:style>
  <w:style w:type="character" w:styleId="IntenseReference">
    <w:name w:val="Intense Reference"/>
    <w:basedOn w:val="DefaultParagraphFont"/>
    <w:uiPriority w:val="32"/>
    <w:qFormat/>
    <w:rsid w:val="002C75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739</Words>
  <Characters>4215</Characters>
  <Application>Microsoft Office Word</Application>
  <DocSecurity>0</DocSecurity>
  <Lines>35</Lines>
  <Paragraphs>9</Paragraphs>
  <ScaleCrop>false</ScaleCrop>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Ward</dc:creator>
  <cp:keywords/>
  <dc:description/>
  <cp:lastModifiedBy>Carter Ward</cp:lastModifiedBy>
  <cp:revision>2</cp:revision>
  <dcterms:created xsi:type="dcterms:W3CDTF">2026-06-24T18:47:00Z</dcterms:created>
  <dcterms:modified xsi:type="dcterms:W3CDTF">2026-06-24T18:47:00Z</dcterms:modified>
</cp:coreProperties>
</file>