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DD6D" w14:textId="684F430B" w:rsidR="00AF7960" w:rsidRDefault="00AF7960" w:rsidP="00AF7960">
      <w:pPr>
        <w:pStyle w:val="Heading1"/>
      </w:pPr>
      <w:r>
        <w:t>Social Media</w:t>
      </w:r>
    </w:p>
    <w:p w14:paraId="0E317990" w14:textId="2E4ECE92" w:rsidR="00AF7960" w:rsidRDefault="00DF494D" w:rsidP="00AF7960">
      <w:pPr>
        <w:pStyle w:val="Heading2"/>
      </w:pPr>
      <w:r>
        <w:t>Carter Ward</w:t>
      </w:r>
    </w:p>
    <w:p w14:paraId="1B11506C" w14:textId="77777777" w:rsidR="00AF7960" w:rsidRDefault="00AF7960" w:rsidP="00AF7960">
      <w:pPr>
        <w:rPr>
          <w:rStyle w:val="IntenseEmphasis"/>
        </w:rPr>
      </w:pPr>
    </w:p>
    <w:p w14:paraId="0247012D" w14:textId="16BE7721" w:rsidR="00AF7960" w:rsidRPr="006732DE" w:rsidRDefault="00AF7960" w:rsidP="00AF7960">
      <w:pPr>
        <w:rPr>
          <w:i/>
          <w:iCs/>
          <w:color w:val="0F4761" w:themeColor="accent1" w:themeShade="BF"/>
        </w:rPr>
      </w:pPr>
      <w:r>
        <w:rPr>
          <w:rStyle w:val="IntenseEmphasis"/>
        </w:rPr>
        <w:t>Caption</w:t>
      </w:r>
    </w:p>
    <w:p w14:paraId="75661A4F" w14:textId="77777777" w:rsidR="00DF494D" w:rsidRPr="00DF494D" w:rsidRDefault="00DF494D" w:rsidP="00DF494D">
      <w:r w:rsidRPr="00DF494D">
        <w:t>By the time a struggling student shows up in your data, it is usually too late.</w:t>
      </w:r>
    </w:p>
    <w:p w14:paraId="3CCDB6C8" w14:textId="77777777" w:rsidR="00DF494D" w:rsidRDefault="00DF494D" w:rsidP="00DF494D"/>
    <w:p w14:paraId="690C37D1" w14:textId="2D2342FD" w:rsidR="00DF494D" w:rsidRPr="00DF494D" w:rsidRDefault="00DF494D" w:rsidP="00DF494D">
      <w:r w:rsidRPr="00DF494D">
        <w:t>Introducing the Social Engagement Accelerator. The SEA pulls engagement signals from across campus, clubs, dining, events, housing, into a single staff-facing dashboard and applies a live engagement score to every student. When a score drops, advisors can see it, understand it, and act on it from the same screen.</w:t>
      </w:r>
    </w:p>
    <w:p w14:paraId="3B20D0CB" w14:textId="77777777" w:rsidR="00DF494D" w:rsidRDefault="00DF494D" w:rsidP="00DF494D"/>
    <w:p w14:paraId="14C63527" w14:textId="3AE9EC73" w:rsidR="00DF494D" w:rsidRPr="00DF494D" w:rsidRDefault="00DF494D" w:rsidP="00DF494D">
      <w:r w:rsidRPr="00DF494D">
        <w:t>No more waiting for a withdrawal form to tell you what you could have known weeks earlier.</w:t>
      </w:r>
    </w:p>
    <w:p w14:paraId="3B363B22" w14:textId="77777777" w:rsidR="00DF494D" w:rsidRDefault="00DF494D" w:rsidP="00DF494D"/>
    <w:p w14:paraId="12F1E60C" w14:textId="74F6CD7D" w:rsidR="00DF494D" w:rsidRPr="00DF494D" w:rsidRDefault="00DF494D" w:rsidP="00DF494D">
      <w:r w:rsidRPr="00DF494D">
        <w:t xml:space="preserve">See what early intervention looks like in practice. Request a demo today. </w:t>
      </w:r>
      <w:r w:rsidRPr="00DF494D">
        <w:rPr>
          <w:color w:val="0F9ED5" w:themeColor="accent4"/>
          <w:u w:val="single"/>
        </w:rPr>
        <w:t>[link]</w:t>
      </w:r>
    </w:p>
    <w:p w14:paraId="479950AC" w14:textId="77777777" w:rsidR="00AF7960" w:rsidRDefault="00AF7960" w:rsidP="00AF7960">
      <w:pPr>
        <w:rPr>
          <w:rStyle w:val="IntenseEmphasis"/>
        </w:rPr>
      </w:pPr>
    </w:p>
    <w:p w14:paraId="5FB8B737" w14:textId="5960A346" w:rsidR="00AF7960" w:rsidRDefault="00AF7960" w:rsidP="00AF7960">
      <w:pPr>
        <w:rPr>
          <w:rStyle w:val="IntenseEmphasis"/>
        </w:rPr>
      </w:pPr>
      <w:r>
        <w:rPr>
          <w:rStyle w:val="IntenseEmphasis"/>
        </w:rPr>
        <w:t>Image</w:t>
      </w:r>
    </w:p>
    <w:p w14:paraId="263F52FC" w14:textId="70841CE0" w:rsidR="00AF7960" w:rsidRPr="006732DE" w:rsidRDefault="003211CE" w:rsidP="00AF7960">
      <w:pPr>
        <w:rPr>
          <w:rStyle w:val="IntenseEmphasis"/>
        </w:rPr>
      </w:pPr>
      <w:r w:rsidRPr="003211CE">
        <w:rPr>
          <w:rStyle w:val="IntenseEmphasis"/>
        </w:rPr>
        <w:drawing>
          <wp:inline distT="0" distB="0" distL="0" distR="0" wp14:anchorId="1754AA66" wp14:editId="5986420E">
            <wp:extent cx="4266085" cy="4251960"/>
            <wp:effectExtent l="0" t="0" r="1270" b="0"/>
            <wp:docPr id="14604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9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6085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30F1" w14:textId="77777777" w:rsidR="00AF7960" w:rsidRPr="006732DE" w:rsidRDefault="00AF7960" w:rsidP="00AF7960">
      <w:pPr>
        <w:rPr>
          <w:rStyle w:val="IntenseEmphasis"/>
        </w:rPr>
      </w:pPr>
    </w:p>
    <w:p w14:paraId="2CAA7A5B" w14:textId="77777777" w:rsidR="0061776F" w:rsidRPr="00AF7960" w:rsidRDefault="0061776F" w:rsidP="00AF7960"/>
    <w:sectPr w:rsidR="0061776F" w:rsidRPr="00AF7960" w:rsidSect="00AF7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60"/>
    <w:rsid w:val="002923EB"/>
    <w:rsid w:val="003211CE"/>
    <w:rsid w:val="00434DF7"/>
    <w:rsid w:val="00566720"/>
    <w:rsid w:val="0061776F"/>
    <w:rsid w:val="00A932E6"/>
    <w:rsid w:val="00AF7960"/>
    <w:rsid w:val="00CF29F7"/>
    <w:rsid w:val="00D83F60"/>
    <w:rsid w:val="00DF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865D6"/>
  <w15:chartTrackingRefBased/>
  <w15:docId w15:val="{091593FA-CF5B-4544-82DF-B6013F961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960"/>
  </w:style>
  <w:style w:type="paragraph" w:styleId="Heading1">
    <w:name w:val="heading 1"/>
    <w:basedOn w:val="Normal"/>
    <w:next w:val="Normal"/>
    <w:link w:val="Heading1Char"/>
    <w:uiPriority w:val="9"/>
    <w:qFormat/>
    <w:rsid w:val="00AF7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7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9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9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9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9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7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9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9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9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d73cc7-3f1a-4f0c-93a2-52248963654a">
      <Terms xmlns="http://schemas.microsoft.com/office/infopath/2007/PartnerControls"/>
    </lcf76f155ced4ddcb4097134ff3c332f>
    <TaxCatchAll xmlns="1b6a93da-3008-4b4c-a527-3918a3aa2c8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85B18512D53F41BDE18DDF49B141B1" ma:contentTypeVersion="15" ma:contentTypeDescription="Create a new document." ma:contentTypeScope="" ma:versionID="e906cf6e48426ee06c66027bb80d6180">
  <xsd:schema xmlns:xsd="http://www.w3.org/2001/XMLSchema" xmlns:xs="http://www.w3.org/2001/XMLSchema" xmlns:p="http://schemas.microsoft.com/office/2006/metadata/properties" xmlns:ns2="dcd73cc7-3f1a-4f0c-93a2-52248963654a" xmlns:ns3="1b6a93da-3008-4b4c-a527-3918a3aa2c8d" targetNamespace="http://schemas.microsoft.com/office/2006/metadata/properties" ma:root="true" ma:fieldsID="7e970348c30aff7842b1d265af3f3d1b" ns2:_="" ns3:_="">
    <xsd:import namespace="dcd73cc7-3f1a-4f0c-93a2-52248963654a"/>
    <xsd:import namespace="1b6a93da-3008-4b4c-a527-3918a3aa2c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73cc7-3f1a-4f0c-93a2-5224896365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0605de8-6ea5-48e6-9496-7988cfd13a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6a93da-3008-4b4c-a527-3918a3aa2c8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3ea22cc-db3d-48eb-9246-edf9007a76f7}" ma:internalName="TaxCatchAll" ma:showField="CatchAllData" ma:web="1b6a93da-3008-4b4c-a527-3918a3aa2c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7B3277-ADB1-4C83-BF02-6D6EBD2E5631}">
  <ds:schemaRefs>
    <ds:schemaRef ds:uri="http://schemas.microsoft.com/office/2006/metadata/properties"/>
    <ds:schemaRef ds:uri="http://schemas.microsoft.com/office/infopath/2007/PartnerControls"/>
    <ds:schemaRef ds:uri="dcd73cc7-3f1a-4f0c-93a2-52248963654a"/>
    <ds:schemaRef ds:uri="1b6a93da-3008-4b4c-a527-3918a3aa2c8d"/>
  </ds:schemaRefs>
</ds:datastoreItem>
</file>

<file path=customXml/itemProps2.xml><?xml version="1.0" encoding="utf-8"?>
<ds:datastoreItem xmlns:ds="http://schemas.openxmlformats.org/officeDocument/2006/customXml" ds:itemID="{C491C914-0DCB-4372-ADFC-8BB431C58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d73cc7-3f1a-4f0c-93a2-52248963654a"/>
    <ds:schemaRef ds:uri="1b6a93da-3008-4b4c-a527-3918a3aa2c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AB5A1D-63D2-48F4-90BF-619003AB057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102</Words>
  <Characters>513</Characters>
  <Application>Microsoft Office Word</Application>
  <DocSecurity>0</DocSecurity>
  <Lines>18</Lines>
  <Paragraphs>9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Kassidy Cormey</dc:creator>
  <cp:keywords/>
  <dc:description/>
  <cp:lastModifiedBy>Carter Ward</cp:lastModifiedBy>
  <cp:revision>3</cp:revision>
  <dcterms:created xsi:type="dcterms:W3CDTF">2026-06-17T19:55:00Z</dcterms:created>
  <dcterms:modified xsi:type="dcterms:W3CDTF">2026-06-24T20:54:00Z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0x010100E585B18512D53F41BDE18DDF49B141B1</vt:lpwstr>
  </property>
</Properties>
</file>