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2"/>
              <w:left w:val="single" w:color="2E75B6" w:sz="12"/>
              <w:bottom w:val="single" w:color="2E75B6" w:sz="12"/>
              <w:right w:val="single" w:color="2E75B6" w:sz="12"/>
            </w:tcBorders>
            <w:shd w:fill="EBF3FB" w:val="clear"/>
            <w:tcMar>
              <w:top w:type="dxa" w:w="160"/>
              <w:left w:type="dxa" w:w="240"/>
              <w:bottom w:type="dxa" w:w="160"/>
              <w:right w:type="dxa" w:w="240"/>
            </w:tcMar>
          </w:tcPr>
          <w:p>
            <w:pPr>
              <w:spacing w:after="40"/>
            </w:pPr>
            <w:r>
              <w:rPr>
                <w:rFonts w:ascii="Courier New" w:cs="Courier New" w:eastAsia="Courier New" w:hAnsi="Courier New"/>
                <w:b/>
                <w:bCs/>
                <w:color w:val="1E3A5F"/>
                <w:sz w:val="26"/>
                <w:szCs w:val="26"/>
              </w:rPr>
              <w:t xml:space="preserve">NeoCorp Internal Developer Wiki — Recovered Document</w:t>
            </w:r>
          </w:p>
          <w:p>
            <w:pPr>
              <w:spacing w:after="20"/>
            </w:pPr>
            <w:r>
              <w:rPr>
                <w:rFonts w:ascii="Courier New" w:cs="Courier New" w:eastAsia="Courier New" w:hAnsi="Courier New"/>
                <w:color w:val="4A4A4A"/>
                <w:sz w:val="20"/>
                <w:szCs w:val="20"/>
              </w:rPr>
              <w:t xml:space="preserve">Last edited :  2029-11-03</w:t>
            </w:r>
          </w:p>
          <w:p>
            <w:pPr>
              <w:spacing w:after="20"/>
            </w:pPr>
            <w:r>
              <w:rPr>
                <w:rFonts w:ascii="Courier New" w:cs="Courier New" w:eastAsia="Courier New" w:hAnsi="Courier New"/>
                <w:color w:val="4A4A4A"/>
                <w:sz w:val="20"/>
                <w:szCs w:val="20"/>
              </w:rPr>
              <w:t xml:space="preserve">Author      :  unknown</w:t>
            </w:r>
          </w:p>
          <w:p>
            <w:pPr>
              <w:spacing w:after="0"/>
            </w:pPr>
            <w:r>
              <w:rPr>
                <w:rFonts w:ascii="Courier New" w:cs="Courier New" w:eastAsia="Courier New" w:hAnsi="Courier New"/>
                <w:b/>
                <w:bCs/>
                <w:color w:val="C0392B"/>
                <w:sz w:val="20"/>
                <w:szCs w:val="20"/>
              </w:rPr>
              <w:t xml:space="preserve">Status      :  PARTIAL — some sections incomplete</w:t>
            </w:r>
          </w:p>
        </w:tc>
      </w:tr>
    </w:tbl>
    <w:p>
      <w:r>
        <w:rPr>
          <w:sz w:val="20"/>
          <w:szCs w:val="20"/>
        </w:rPr>
        <w:t xml:space="preserve"/>
      </w:r>
    </w:p>
    <w:p>
      <w:r>
        <w:rPr>
          <w:sz w:val="20"/>
          <w:szCs w:val="20"/>
        </w:rPr>
        <w:t xml:space="preserve"/>
      </w:r>
    </w:p>
    <w:p>
      <w:pPr>
        <w:spacing w:after="40"/>
        <w:jc w:val="center"/>
      </w:pPr>
      <w:r>
        <w:rPr>
          <w:rFonts w:ascii="Courier New" w:cs="Courier New" w:eastAsia="Courier New" w:hAnsi="Courier New"/>
          <w:b/>
          <w:bCs/>
          <w:color w:val="1E3A5F"/>
          <w:sz w:val="52"/>
          <w:szCs w:val="52"/>
        </w:rPr>
        <w:t xml:space="preserve">RTUN PROTOCOL  v1.0</w:t>
      </w:r>
    </w:p>
    <w:p>
      <w:pPr>
        <w:spacing w:after="20"/>
        <w:jc w:val="center"/>
      </w:pPr>
      <w:r>
        <w:rPr>
          <w:rFonts w:ascii="Courier New" w:cs="Courier New" w:eastAsia="Courier New" w:hAnsi="Courier New"/>
          <w:color w:val="2E75B6"/>
          <w:sz w:val="26"/>
          <w:szCs w:val="26"/>
        </w:rPr>
        <w:t xml:space="preserve">Internal Routing Tunnel Protocol</w:t>
      </w:r>
    </w:p>
    <w:p>
      <w:pPr>
        <w:pBdr>
          <w:bottom w:val="single" w:color="CCCCCC" w:sz="6" w:space="6"/>
        </w:pBdr>
        <w:spacing w:after="0"/>
        <w:jc w:val="center"/>
      </w:pPr>
      <w:r>
        <w:rPr>
          <w:rFonts w:ascii="Courier New" w:cs="Courier New" w:eastAsia="Courier New" w:hAnsi="Courier New"/>
          <w:b/>
          <w:bCs/>
          <w:color w:val="C0392B"/>
          <w:sz w:val="20"/>
          <w:szCs w:val="20"/>
        </w:rPr>
        <w:t xml:space="preserve">Classification: Internal Use Only</w:t>
      </w:r>
    </w:p>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none" w:color="FFFFFF" w:sz="0"/>
              <w:bottom w:val="single" w:color="2E75B6" w:sz="8"/>
              <w:right w:val="none" w:color="FFFFFF" w:sz="0"/>
            </w:tcBorders>
            <w:shd w:fill="FFFFFF" w:val="clear"/>
            <w:tcMar>
              <w:top w:type="dxa" w:w="100"/>
              <w:left w:type="dxa" w:w="0"/>
              <w:bottom w:type="dxa" w:w="100"/>
              <w:right w:type="dxa" w:w="0"/>
            </w:tcMar>
          </w:tcPr>
          <w:p>
            <w:r>
              <w:rPr>
                <w:rFonts w:ascii="Courier New" w:cs="Courier New" w:eastAsia="Courier New" w:hAnsi="Courier New"/>
                <w:b/>
                <w:bCs/>
                <w:color w:val="1E3A5F"/>
                <w:sz w:val="24"/>
                <w:szCs w:val="24"/>
              </w:rPr>
              <w:t xml:space="preserve">OVERVIEW</w:t>
            </w:r>
          </w:p>
        </w:tc>
      </w:tr>
    </w:tbl>
    <w:p>
      <w:r>
        <w:rPr>
          <w:sz w:val="20"/>
          <w:szCs w:val="20"/>
        </w:rPr>
        <w:t xml:space="preserve"/>
      </w:r>
    </w:p>
    <w:p>
      <w:pPr>
        <w:spacing w:before="60" w:after="60"/>
      </w:pPr>
      <w:r>
        <w:rPr>
          <w:rFonts w:ascii="Arial" w:cs="Arial" w:eastAsia="Arial" w:hAnsi="Arial"/>
          <w:color w:val="4A4A4A"/>
          <w:sz w:val="22"/>
          <w:szCs w:val="22"/>
        </w:rPr>
        <w:t xml:space="preserve">RTUN (Routing Tunnel) is NeoCorp's proprietary protocol for inter-node communication across the internal routing mesh. All packets are sent over TCP port 3001.</w:t>
      </w:r>
    </w:p>
    <w:p>
      <w:r>
        <w:rPr>
          <w:sz w:val="20"/>
          <w:szCs w:val="20"/>
        </w:rPr>
        <w:t xml:space="preserve"/>
      </w:r>
    </w:p>
    <w:p>
      <w:pPr>
        <w:spacing w:before="60" w:after="60"/>
      </w:pPr>
      <w:r>
        <w:rPr>
          <w:rFonts w:ascii="Arial" w:cs="Arial" w:eastAsia="Arial" w:hAnsi="Arial"/>
          <w:color w:val="4A4A4A"/>
          <w:sz w:val="22"/>
          <w:szCs w:val="22"/>
        </w:rPr>
        <w:t xml:space="preserve">The router manages multiple internal nodes. Each node is identified by a TUNNEL_ID. Packets are routed based on this field.</w:t>
      </w:r>
    </w:p>
    <w:p>
      <w:r>
        <w:rPr>
          <w:sz w:val="20"/>
          <w:szCs w:val="20"/>
        </w:rPr>
        <w:t xml:space="preserve"/>
      </w:r>
    </w:p>
    <w:p>
      <w:pPr>
        <w:spacing w:before="60" w:after="60"/>
      </w:pPr>
      <w:r>
        <w:rPr>
          <w:rFonts w:ascii="Arial" w:cs="Arial" w:eastAsia="Arial" w:hAnsi="Arial"/>
          <w:color w:val="4A4A4A"/>
          <w:sz w:val="22"/>
          <w:szCs w:val="22"/>
        </w:rPr>
        <w:t xml:space="preserve">The server responds to every packet with a human-readable ASCII string terminated by a newline (\n).</w:t>
      </w:r>
    </w:p>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none" w:color="FFFFFF" w:sz="0"/>
              <w:bottom w:val="single" w:color="2E75B6" w:sz="8"/>
              <w:right w:val="none" w:color="FFFFFF" w:sz="0"/>
            </w:tcBorders>
            <w:shd w:fill="FFFFFF" w:val="clear"/>
            <w:tcMar>
              <w:top w:type="dxa" w:w="100"/>
              <w:left w:type="dxa" w:w="0"/>
              <w:bottom w:type="dxa" w:w="100"/>
              <w:right w:type="dxa" w:w="0"/>
            </w:tcMar>
          </w:tcPr>
          <w:p>
            <w:r>
              <w:rPr>
                <w:rFonts w:ascii="Courier New" w:cs="Courier New" w:eastAsia="Courier New" w:hAnsi="Courier New"/>
                <w:b/>
                <w:bCs/>
                <w:color w:val="1E3A5F"/>
                <w:sz w:val="24"/>
                <w:szCs w:val="24"/>
              </w:rPr>
              <w:t xml:space="preserve">PACKET LAYOUT</w:t>
            </w:r>
          </w:p>
        </w:tc>
      </w:tr>
    </w:tbl>
    <w:p>
      <w:r>
        <w:rPr>
          <w:sz w:val="20"/>
          <w:szCs w:val="20"/>
        </w:rPr>
        <w:t xml:space="preserve"/>
      </w:r>
    </w:p>
    <w:p>
      <w:pPr>
        <w:spacing w:before="60" w:after="60"/>
      </w:pPr>
      <w:r>
        <w:rPr>
          <w:rFonts w:ascii="Arial" w:cs="Arial" w:eastAsia="Arial" w:hAnsi="Arial"/>
          <w:color w:val="4A4A4A"/>
          <w:sz w:val="22"/>
          <w:szCs w:val="22"/>
        </w:rPr>
        <w:t xml:space="preserve">All fields are big-endian. Fields appear in this exact order: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7F7F7" w:val="clear"/>
            <w:tcMar>
              <w:top w:type="dxa" w:w="35"/>
              <w:left w:type="dxa" w:w="160"/>
              <w:bottom w:type="dxa" w:w="35"/>
              <w:right w:type="dxa" w:w="160"/>
            </w:tcMar>
          </w:tcPr>
          <w:p>
            <w:r>
              <w:rPr>
                <w:rFonts w:ascii="Courier New" w:cs="Courier New" w:eastAsia="Courier New" w:hAnsi="Courier New"/>
                <w:color w:val="555555"/>
                <w:sz w:val="18"/>
                <w:szCs w:val="18"/>
              </w:rPr>
              <w:t xml:space="preserve">  +─────────────+──────────+──────────────────────────────────+</w:t>
            </w:r>
          </w:p>
        </w:tc>
      </w:tr>
      <w:tr>
        <w:tc>
          <w:tcPr>
            <w:tcBorders>
              <w:top w:val="single" w:color="CCCCCC" w:sz="1"/>
              <w:left w:val="single" w:color="CCCCCC" w:sz="1"/>
              <w:bottom w:val="single" w:color="CCCCCC" w:sz="1"/>
              <w:right w:val="single" w:color="CCCCCC" w:sz="1"/>
            </w:tcBorders>
            <w:shd w:fill="F7F7F7" w:val="clear"/>
            <w:tcMar>
              <w:top w:type="dxa" w:w="35"/>
              <w:left w:type="dxa" w:w="160"/>
              <w:bottom w:type="dxa" w:w="35"/>
              <w:right w:type="dxa" w:w="160"/>
            </w:tcMar>
          </w:tcPr>
          <w:p>
            <w:r>
              <w:rPr>
                <w:rFonts w:ascii="Courier New" w:cs="Courier New" w:eastAsia="Courier New" w:hAnsi="Courier New"/>
                <w:color w:val="555555"/>
                <w:sz w:val="18"/>
                <w:szCs w:val="18"/>
              </w:rPr>
              <w:t xml:space="preserve">  │ Field       │ Size     │ Description                      │</w:t>
            </w:r>
          </w:p>
        </w:tc>
      </w:tr>
      <w:tr>
        <w:tc>
          <w:tcPr>
            <w:tcBorders>
              <w:top w:val="single" w:color="CCCCCC" w:sz="1"/>
              <w:left w:val="single" w:color="CCCCCC" w:sz="1"/>
              <w:bottom w:val="single" w:color="CCCCCC" w:sz="1"/>
              <w:right w:val="single" w:color="CCCCCC" w:sz="1"/>
            </w:tcBorders>
            <w:shd w:fill="F7F7F7" w:val="clear"/>
            <w:tcMar>
              <w:top w:type="dxa" w:w="35"/>
              <w:left w:type="dxa" w:w="160"/>
              <w:bottom w:type="dxa" w:w="35"/>
              <w:right w:type="dxa" w:w="160"/>
            </w:tcMar>
          </w:tcPr>
          <w:p>
            <w:r>
              <w:rPr>
                <w:rFonts w:ascii="Courier New" w:cs="Courier New" w:eastAsia="Courier New" w:hAnsi="Courier New"/>
                <w:color w:val="555555"/>
                <w:sz w:val="18"/>
                <w:szCs w:val="18"/>
              </w:rPr>
              <w:t xml:space="preserve">  +─────────────+──────────+──────────────────────────────────+</w:t>
            </w:r>
          </w:p>
        </w:tc>
      </w:tr>
      <w:tr>
        <w:tc>
          <w:tcPr>
            <w:tcBorders>
              <w:top w:val="single" w:color="CCCCCC" w:sz="1"/>
              <w:left w:val="single" w:color="CCCCCC" w:sz="1"/>
              <w:bottom w:val="single" w:color="CCCCCC" w:sz="1"/>
              <w:right w:val="single" w:color="CCCCCC" w:sz="1"/>
            </w:tcBorders>
            <w:shd w:fill="F7F7F7" w:val="clear"/>
            <w:tcMar>
              <w:top w:type="dxa" w:w="35"/>
              <w:left w:type="dxa" w:w="160"/>
              <w:bottom w:type="dxa" w:w="35"/>
              <w:right w:type="dxa" w:w="160"/>
            </w:tcMar>
          </w:tcPr>
          <w:p>
            <w:r>
              <w:rPr>
                <w:rFonts w:ascii="Courier New" w:cs="Courier New" w:eastAsia="Courier New" w:hAnsi="Courier New"/>
                <w:color w:val="555555"/>
                <w:sz w:val="18"/>
                <w:szCs w:val="18"/>
              </w:rPr>
              <w:t xml:space="preserve">  │ VERSION     │ 1 byte   │ Protocol version identifier      │</w:t>
            </w:r>
          </w:p>
        </w:tc>
      </w:tr>
      <w:tr>
        <w:tc>
          <w:tcPr>
            <w:tcBorders>
              <w:top w:val="single" w:color="CCCCCC" w:sz="1"/>
              <w:left w:val="single" w:color="CCCCCC" w:sz="1"/>
              <w:bottom w:val="single" w:color="CCCCCC" w:sz="1"/>
              <w:right w:val="single" w:color="CCCCCC" w:sz="1"/>
            </w:tcBorders>
            <w:shd w:fill="F7F7F7" w:val="clear"/>
            <w:tcMar>
              <w:top w:type="dxa" w:w="35"/>
              <w:left w:type="dxa" w:w="160"/>
              <w:bottom w:type="dxa" w:w="35"/>
              <w:right w:type="dxa" w:w="160"/>
            </w:tcMar>
          </w:tcPr>
          <w:p>
            <w:r>
              <w:rPr>
                <w:rFonts w:ascii="Courier New" w:cs="Courier New" w:eastAsia="Courier New" w:hAnsi="Courier New"/>
                <w:color w:val="555555"/>
                <w:sz w:val="18"/>
                <w:szCs w:val="18"/>
              </w:rPr>
              <w:t xml:space="preserve">  │ FLAGS       │ 1 byte   │ Control flags bitmask            │</w:t>
            </w:r>
          </w:p>
        </w:tc>
      </w:tr>
      <w:tr>
        <w:tc>
          <w:tcPr>
            <w:tcBorders>
              <w:top w:val="single" w:color="CCCCCC" w:sz="1"/>
              <w:left w:val="single" w:color="CCCCCC" w:sz="1"/>
              <w:bottom w:val="single" w:color="CCCCCC" w:sz="1"/>
              <w:right w:val="single" w:color="CCCCCC" w:sz="1"/>
            </w:tcBorders>
            <w:shd w:fill="F7F7F7" w:val="clear"/>
            <w:tcMar>
              <w:top w:type="dxa" w:w="35"/>
              <w:left w:type="dxa" w:w="160"/>
              <w:bottom w:type="dxa" w:w="35"/>
              <w:right w:type="dxa" w:w="160"/>
            </w:tcMar>
          </w:tcPr>
          <w:p>
            <w:r>
              <w:rPr>
                <w:rFonts w:ascii="Courier New" w:cs="Courier New" w:eastAsia="Courier New" w:hAnsi="Courier New"/>
                <w:color w:val="555555"/>
                <w:sz w:val="18"/>
                <w:szCs w:val="18"/>
              </w:rPr>
              <w:t xml:space="preserve">  │ TUNNEL_ID   │ 4 bytes  │ Destination node identifier      │</w:t>
            </w:r>
          </w:p>
        </w:tc>
      </w:tr>
      <w:tr>
        <w:tc>
          <w:tcPr>
            <w:tcBorders>
              <w:top w:val="single" w:color="CCCCCC" w:sz="1"/>
              <w:left w:val="single" w:color="CCCCCC" w:sz="1"/>
              <w:bottom w:val="single" w:color="CCCCCC" w:sz="1"/>
              <w:right w:val="single" w:color="CCCCCC" w:sz="1"/>
            </w:tcBorders>
            <w:shd w:fill="F7F7F7" w:val="clear"/>
            <w:tcMar>
              <w:top w:type="dxa" w:w="35"/>
              <w:left w:type="dxa" w:w="160"/>
              <w:bottom w:type="dxa" w:w="35"/>
              <w:right w:type="dxa" w:w="160"/>
            </w:tcMar>
          </w:tcPr>
          <w:p>
            <w:r>
              <w:rPr>
                <w:rFonts w:ascii="Courier New" w:cs="Courier New" w:eastAsia="Courier New" w:hAnsi="Courier New"/>
                <w:color w:val="555555"/>
                <w:sz w:val="18"/>
                <w:szCs w:val="18"/>
              </w:rPr>
              <w:t xml:space="preserve">  │ INNER_PROTO │ 1 byte   │ Request type                     │</w:t>
            </w:r>
          </w:p>
        </w:tc>
      </w:tr>
      <w:tr>
        <w:tc>
          <w:tcPr>
            <w:tcBorders>
              <w:top w:val="single" w:color="CCCCCC" w:sz="1"/>
              <w:left w:val="single" w:color="CCCCCC" w:sz="1"/>
              <w:bottom w:val="single" w:color="CCCCCC" w:sz="1"/>
              <w:right w:val="single" w:color="CCCCCC" w:sz="1"/>
            </w:tcBorders>
            <w:shd w:fill="F7F7F7" w:val="clear"/>
            <w:tcMar>
              <w:top w:type="dxa" w:w="35"/>
              <w:left w:type="dxa" w:w="160"/>
              <w:bottom w:type="dxa" w:w="35"/>
              <w:right w:type="dxa" w:w="160"/>
            </w:tcMar>
          </w:tcPr>
          <w:p>
            <w:r>
              <w:rPr>
                <w:rFonts w:ascii="Courier New" w:cs="Courier New" w:eastAsia="Courier New" w:hAnsi="Courier New"/>
                <w:color w:val="555555"/>
                <w:sz w:val="18"/>
                <w:szCs w:val="18"/>
              </w:rPr>
              <w:t xml:space="preserve">  │ PAYLOAD_LEN │ 2 bytes  │ Length of PAYLOAD (uint16)       │</w:t>
            </w:r>
          </w:p>
        </w:tc>
      </w:tr>
      <w:tr>
        <w:tc>
          <w:tcPr>
            <w:tcBorders>
              <w:top w:val="single" w:color="CCCCCC" w:sz="1"/>
              <w:left w:val="single" w:color="CCCCCC" w:sz="1"/>
              <w:bottom w:val="single" w:color="CCCCCC" w:sz="1"/>
              <w:right w:val="single" w:color="CCCCCC" w:sz="1"/>
            </w:tcBorders>
            <w:shd w:fill="F7F7F7" w:val="clear"/>
            <w:tcMar>
              <w:top w:type="dxa" w:w="35"/>
              <w:left w:type="dxa" w:w="160"/>
              <w:bottom w:type="dxa" w:w="35"/>
              <w:right w:type="dxa" w:w="160"/>
            </w:tcMar>
          </w:tcPr>
          <w:p>
            <w:r>
              <w:rPr>
                <w:rFonts w:ascii="Courier New" w:cs="Courier New" w:eastAsia="Courier New" w:hAnsi="Courier New"/>
                <w:color w:val="555555"/>
                <w:sz w:val="18"/>
                <w:szCs w:val="18"/>
              </w:rPr>
              <w:t xml:space="preserve">  │ PAYLOAD     │ variable │ Data  (max 511 bytes)            │</w:t>
            </w:r>
          </w:p>
        </w:tc>
      </w:tr>
      <w:tr>
        <w:tc>
          <w:tcPr>
            <w:tcBorders>
              <w:top w:val="single" w:color="CCCCCC" w:sz="1"/>
              <w:left w:val="single" w:color="CCCCCC" w:sz="1"/>
              <w:bottom w:val="single" w:color="CCCCCC" w:sz="1"/>
              <w:right w:val="single" w:color="CCCCCC" w:sz="1"/>
            </w:tcBorders>
            <w:shd w:fill="F7F7F7" w:val="clear"/>
            <w:tcMar>
              <w:top w:type="dxa" w:w="35"/>
              <w:left w:type="dxa" w:w="160"/>
              <w:bottom w:type="dxa" w:w="35"/>
              <w:right w:type="dxa" w:w="160"/>
            </w:tcMar>
          </w:tcPr>
          <w:p>
            <w:r>
              <w:rPr>
                <w:rFonts w:ascii="Courier New" w:cs="Courier New" w:eastAsia="Courier New" w:hAnsi="Courier New"/>
                <w:color w:val="555555"/>
                <w:sz w:val="18"/>
                <w:szCs w:val="18"/>
              </w:rPr>
              <w:t xml:space="preserve">  │ CRC32       │ 4 bytes  │ Checksum (see below)             │</w:t>
            </w:r>
          </w:p>
        </w:tc>
      </w:tr>
      <w:tr>
        <w:tc>
          <w:tcPr>
            <w:tcBorders>
              <w:top w:val="single" w:color="CCCCCC" w:sz="1"/>
              <w:left w:val="single" w:color="CCCCCC" w:sz="1"/>
              <w:bottom w:val="single" w:color="CCCCCC" w:sz="1"/>
              <w:right w:val="single" w:color="CCCCCC" w:sz="1"/>
            </w:tcBorders>
            <w:shd w:fill="F7F7F7" w:val="clear"/>
            <w:tcMar>
              <w:top w:type="dxa" w:w="35"/>
              <w:left w:type="dxa" w:w="160"/>
              <w:bottom w:type="dxa" w:w="35"/>
              <w:right w:type="dxa" w:w="160"/>
            </w:tcMar>
          </w:tcPr>
          <w:p>
            <w:r>
              <w:rPr>
                <w:rFonts w:ascii="Courier New" w:cs="Courier New" w:eastAsia="Courier New" w:hAnsi="Courier New"/>
                <w:color w:val="555555"/>
                <w:sz w:val="18"/>
                <w:szCs w:val="18"/>
              </w:rPr>
              <w:t xml:space="preserve">  +─────────────+──────────+──────────────────────────────────+</w:t>
            </w:r>
          </w:p>
        </w:tc>
      </w:tr>
    </w:tbl>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none" w:color="FFFFFF" w:sz="0"/>
              <w:bottom w:val="single" w:color="2E75B6" w:sz="8"/>
              <w:right w:val="none" w:color="FFFFFF" w:sz="0"/>
            </w:tcBorders>
            <w:shd w:fill="FFFFFF" w:val="clear"/>
            <w:tcMar>
              <w:top w:type="dxa" w:w="100"/>
              <w:left w:type="dxa" w:w="0"/>
              <w:bottom w:type="dxa" w:w="100"/>
              <w:right w:type="dxa" w:w="0"/>
            </w:tcMar>
          </w:tcPr>
          <w:p>
            <w:r>
              <w:rPr>
                <w:rFonts w:ascii="Courier New" w:cs="Courier New" w:eastAsia="Courier New" w:hAnsi="Courier New"/>
                <w:b/>
                <w:bCs/>
                <w:color w:val="1E3A5F"/>
                <w:sz w:val="24"/>
                <w:szCs w:val="24"/>
              </w:rPr>
              <w:t xml:space="preserve">FLAGS FIELD</w:t>
            </w:r>
          </w:p>
        </w:tc>
      </w:tr>
    </w:tbl>
    <w:p>
      <w:r>
        <w:rPr>
          <w:sz w:val="20"/>
          <w:szCs w:val="20"/>
        </w:rPr>
        <w:t xml:space="preserve"/>
      </w:r>
    </w:p>
    <w:p>
      <w:pPr>
        <w:spacing w:before="60" w:after="60"/>
      </w:pPr>
      <w:r>
        <w:rPr>
          <w:rFonts w:ascii="Arial" w:cs="Arial" w:eastAsia="Arial" w:hAnsi="Arial"/>
          <w:color w:val="4A4A4A"/>
          <w:sz w:val="22"/>
          <w:szCs w:val="22"/>
        </w:rPr>
        <w:t xml:space="preserve">FLAGS is a bitmask. Each bit controls a behaviour: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7F7F7" w:val="clear"/>
            <w:tcMar>
              <w:top w:type="dxa" w:w="35"/>
              <w:left w:type="dxa" w:w="160"/>
              <w:bottom w:type="dxa" w:w="35"/>
              <w:right w:type="dxa" w:w="160"/>
            </w:tcMar>
          </w:tcPr>
          <w:p>
            <w:r>
              <w:rPr>
                <w:rFonts w:ascii="Courier New" w:cs="Courier New" w:eastAsia="Courier New" w:hAnsi="Courier New"/>
                <w:color w:val="1A1A1A"/>
                <w:sz w:val="18"/>
                <w:szCs w:val="18"/>
              </w:rPr>
              <w:t xml:space="preserve">  Bit 0  AUTH  —  1 = authenticated packet,   0 = unauthenticated</w:t>
            </w:r>
          </w:p>
        </w:tc>
      </w:tr>
      <w:tr>
        <w:tc>
          <w:tcPr>
            <w:tcBorders>
              <w:top w:val="single" w:color="CCCCCC" w:sz="1"/>
              <w:left w:val="single" w:color="CCCCCC" w:sz="1"/>
              <w:bottom w:val="single" w:color="CCCCCC" w:sz="1"/>
              <w:right w:val="single" w:color="CCCCCC" w:sz="1"/>
            </w:tcBorders>
            <w:shd w:fill="F7F7F7" w:val="clear"/>
            <w:tcMar>
              <w:top w:type="dxa" w:w="35"/>
              <w:left w:type="dxa" w:w="160"/>
              <w:bottom w:type="dxa" w:w="35"/>
              <w:right w:type="dxa" w:w="160"/>
            </w:tcMar>
          </w:tcPr>
          <w:p>
            <w:r>
              <w:rPr>
                <w:rFonts w:ascii="Courier New" w:cs="Courier New" w:eastAsia="Courier New" w:hAnsi="Courier New"/>
                <w:color w:val="1A1A1A"/>
                <w:sz w:val="18"/>
                <w:szCs w:val="18"/>
              </w:rPr>
              <w:t xml:space="preserve">  Bit 1  CMP   —  1 = payload is compressed,  0 = raw</w:t>
            </w:r>
          </w:p>
        </w:tc>
      </w:tr>
      <w:tr>
        <w:tc>
          <w:tcPr>
            <w:tcBorders>
              <w:top w:val="single" w:color="CCCCCC" w:sz="1"/>
              <w:left w:val="single" w:color="CCCCCC" w:sz="1"/>
              <w:bottom w:val="single" w:color="CCCCCC" w:sz="1"/>
              <w:right w:val="single" w:color="CCCCCC" w:sz="1"/>
            </w:tcBorders>
            <w:shd w:fill="F7F7F7" w:val="clear"/>
            <w:tcMar>
              <w:top w:type="dxa" w:w="35"/>
              <w:left w:type="dxa" w:w="160"/>
              <w:bottom w:type="dxa" w:w="35"/>
              <w:right w:type="dxa" w:w="160"/>
            </w:tcMar>
          </w:tcPr>
          <w:p>
            <w:r>
              <w:rPr>
                <w:rFonts w:ascii="Courier New" w:cs="Courier New" w:eastAsia="Courier New" w:hAnsi="Courier New"/>
                <w:color w:val="1A1A1A"/>
                <w:sz w:val="18"/>
                <w:szCs w:val="18"/>
              </w:rPr>
              <w:t xml:space="preserve">  Bit 2  CMR   —  1 = expects a reply,        0 = fire and forget</w:t>
            </w:r>
          </w:p>
        </w:tc>
      </w:tr>
      <w:tr>
        <w:tc>
          <w:tcPr>
            <w:tcBorders>
              <w:top w:val="single" w:color="CCCCCC" w:sz="1"/>
              <w:left w:val="single" w:color="CCCCCC" w:sz="1"/>
              <w:bottom w:val="single" w:color="CCCCCC" w:sz="1"/>
              <w:right w:val="single" w:color="CCCCCC" w:sz="1"/>
            </w:tcBorders>
            <w:shd w:fill="F7F7F7" w:val="clear"/>
            <w:tcMar>
              <w:top w:type="dxa" w:w="35"/>
              <w:left w:type="dxa" w:w="160"/>
              <w:bottom w:type="dxa" w:w="35"/>
              <w:right w:type="dxa" w:w="160"/>
            </w:tcMar>
          </w:tcPr>
          <w:p>
            <w:r>
              <w:rPr>
                <w:rFonts w:ascii="Courier New" w:cs="Courier New" w:eastAsia="Courier New" w:hAnsi="Courier New"/>
                <w:color w:val="1A1A1A"/>
                <w:sz w:val="18"/>
                <w:szCs w:val="18"/>
              </w:rPr>
              <w:t xml:space="preserve">  Bit 3-7      —  RESERVED. Must always be 0x00.</w:t>
            </w:r>
          </w:p>
        </w:tc>
      </w:tr>
    </w:tbl>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none" w:color="FFFFFF" w:sz="0"/>
              <w:bottom w:val="single" w:color="2E75B6" w:sz="8"/>
              <w:right w:val="none" w:color="FFFFFF" w:sz="0"/>
            </w:tcBorders>
            <w:shd w:fill="FFFFFF" w:val="clear"/>
            <w:tcMar>
              <w:top w:type="dxa" w:w="100"/>
              <w:left w:type="dxa" w:w="0"/>
              <w:bottom w:type="dxa" w:w="100"/>
              <w:right w:type="dxa" w:w="0"/>
            </w:tcMar>
          </w:tcPr>
          <w:p>
            <w:r>
              <w:rPr>
                <w:rFonts w:ascii="Courier New" w:cs="Courier New" w:eastAsia="Courier New" w:hAnsi="Courier New"/>
                <w:b/>
                <w:bCs/>
                <w:color w:val="1E3A5F"/>
                <w:sz w:val="24"/>
                <w:szCs w:val="24"/>
              </w:rPr>
              <w:t xml:space="preserve">CHECKSUM</w:t>
            </w:r>
          </w:p>
        </w:tc>
      </w:tr>
    </w:tbl>
    <w:p>
      <w:r>
        <w:rPr>
          <w:sz w:val="20"/>
          <w:szCs w:val="20"/>
        </w:rPr>
        <w:t xml:space="preserve"/>
      </w:r>
    </w:p>
    <w:p>
      <w:pPr>
        <w:spacing w:before="60" w:after="60"/>
      </w:pPr>
      <w:r>
        <w:rPr>
          <w:rFonts w:ascii="Arial" w:cs="Arial" w:eastAsia="Arial" w:hAnsi="Arial"/>
          <w:color w:val="4A4A4A"/>
          <w:sz w:val="22"/>
          <w:szCs w:val="22"/>
        </w:rPr>
        <w:t xml:space="preserve">Standard zlib CRC32, appended as 4 bytes big-endian.</w:t>
      </w:r>
    </w:p>
    <w:p>
      <w:pPr>
        <w:spacing w:before="60" w:after="60"/>
      </w:pPr>
      <w:r>
        <w:rPr>
          <w:rFonts w:ascii="Arial" w:cs="Arial" w:eastAsia="Arial" w:hAnsi="Arial"/>
          <w:color w:val="4A4A4A"/>
          <w:sz w:val="22"/>
          <w:szCs w:val="22"/>
        </w:rPr>
        <w:t xml:space="preserve">Computed over ALL bytes in the packet EXCEPT the CRC itself.</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7F7F7" w:val="clear"/>
            <w:tcMar>
              <w:top w:type="dxa" w:w="35"/>
              <w:left w:type="dxa" w:w="160"/>
              <w:bottom w:type="dxa" w:w="35"/>
              <w:right w:type="dxa" w:w="160"/>
            </w:tcMar>
          </w:tcPr>
          <w:p>
            <w:r>
              <w:rPr>
                <w:rFonts w:ascii="Courier New" w:cs="Courier New" w:eastAsia="Courier New" w:hAnsi="Courier New"/>
                <w:color w:val="1A1A1A"/>
                <w:sz w:val="18"/>
                <w:szCs w:val="18"/>
              </w:rPr>
              <w:t xml:space="preserve">  Python:   zlib.crc32(data) &amp; 0xFFFFFFFF</w:t>
            </w:r>
          </w:p>
        </w:tc>
      </w:tr>
    </w:tbl>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none" w:color="FFFFFF" w:sz="0"/>
              <w:bottom w:val="single" w:color="2E75B6" w:sz="8"/>
              <w:right w:val="none" w:color="FFFFFF" w:sz="0"/>
            </w:tcBorders>
            <w:shd w:fill="FFFFFF" w:val="clear"/>
            <w:tcMar>
              <w:top w:type="dxa" w:w="100"/>
              <w:left w:type="dxa" w:w="0"/>
              <w:bottom w:type="dxa" w:w="100"/>
              <w:right w:type="dxa" w:w="0"/>
            </w:tcMar>
          </w:tcPr>
          <w:p>
            <w:r>
              <w:rPr>
                <w:rFonts w:ascii="Courier New" w:cs="Courier New" w:eastAsia="Courier New" w:hAnsi="Courier New"/>
                <w:b/>
                <w:bCs/>
                <w:color w:val="1E3A5F"/>
                <w:sz w:val="24"/>
                <w:szCs w:val="24"/>
              </w:rPr>
              <w:t xml:space="preserve">GENERAL NOTES</w:t>
            </w:r>
          </w:p>
        </w:tc>
      </w:tr>
    </w:tbl>
    <w:p>
      <w:r>
        <w:rPr>
          <w:sz w:val="20"/>
          <w:szCs w:val="20"/>
        </w:rPr>
        <w:t xml:space="preserve"/>
      </w:r>
    </w:p>
    <w:p>
      <w:pPr>
        <w:spacing w:before="40" w:after="40"/>
        <w:ind w:left="400" w:hanging="200"/>
      </w:pPr>
      <w:r>
        <w:rPr>
          <w:rFonts w:ascii="Arial" w:cs="Arial" w:eastAsia="Arial" w:hAnsi="Arial"/>
          <w:b/>
          <w:bCs/>
          <w:color w:val="2E75B6"/>
          <w:sz w:val="20"/>
          <w:szCs w:val="20"/>
        </w:rPr>
        <w:t xml:space="preserve">— </w:t>
      </w:r>
      <w:r>
        <w:rPr>
          <w:rFonts w:ascii="Arial" w:cs="Arial" w:eastAsia="Arial" w:hAnsi="Arial"/>
          <w:color w:val="4A4A4A"/>
          <w:sz w:val="20"/>
          <w:szCs w:val="20"/>
        </w:rPr>
        <w:t xml:space="preserve">All multi-byte fields are big-endian.</w:t>
      </w:r>
    </w:p>
    <w:p>
      <w:pPr>
        <w:spacing w:before="40" w:after="40"/>
        <w:ind w:left="400" w:hanging="200"/>
      </w:pPr>
      <w:r>
        <w:rPr>
          <w:rFonts w:ascii="Arial" w:cs="Arial" w:eastAsia="Arial" w:hAnsi="Arial"/>
          <w:b/>
          <w:bCs/>
          <w:color w:val="2E75B6"/>
          <w:sz w:val="20"/>
          <w:szCs w:val="20"/>
        </w:rPr>
        <w:t xml:space="preserve">— </w:t>
      </w:r>
      <w:r>
        <w:rPr>
          <w:rFonts w:ascii="Arial" w:cs="Arial" w:eastAsia="Arial" w:hAnsi="Arial"/>
          <w:color w:val="4A4A4A"/>
          <w:sz w:val="20"/>
          <w:szCs w:val="20"/>
        </w:rPr>
        <w:t xml:space="preserve">PAYLOAD_LEN must exactly match the byte length of PAYLOAD.</w:t>
      </w:r>
    </w:p>
    <w:p>
      <w:pPr>
        <w:spacing w:before="40" w:after="40"/>
        <w:ind w:left="400" w:hanging="200"/>
      </w:pPr>
      <w:r>
        <w:rPr>
          <w:rFonts w:ascii="Arial" w:cs="Arial" w:eastAsia="Arial" w:hAnsi="Arial"/>
          <w:b/>
          <w:bCs/>
          <w:color w:val="2E75B6"/>
          <w:sz w:val="20"/>
          <w:szCs w:val="20"/>
        </w:rPr>
        <w:t xml:space="preserve">— </w:t>
      </w:r>
      <w:r>
        <w:rPr>
          <w:rFonts w:ascii="Arial" w:cs="Arial" w:eastAsia="Arial" w:hAnsi="Arial"/>
          <w:color w:val="4A4A4A"/>
          <w:sz w:val="20"/>
          <w:szCs w:val="20"/>
        </w:rPr>
        <w:t xml:space="preserve">Once connected, the TCP connection remains alive for up to 10 minutes. However, if no packet is received for more than 60 seconds the connection will be dropped automatically. Each request receives exactly one response before the next request may be sent.</w:t>
      </w:r>
    </w:p>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8"/>
              <w:bottom w:val="single" w:color="C0392B" w:sz="8"/>
              <w:right w:val="single" w:color="C0392B" w:sz="8"/>
            </w:tcBorders>
            <w:shd w:fill="FDF2F0" w:val="clear"/>
            <w:tcMar>
              <w:top w:type="dxa" w:w="120"/>
              <w:left w:type="dxa" w:w="200"/>
              <w:bottom w:type="dxa" w:w="120"/>
              <w:right w:type="dxa" w:w="200"/>
            </w:tcMar>
          </w:tcPr>
          <w:p>
            <w:r>
              <w:rPr>
                <w:rFonts w:ascii="Courier New" w:cs="Courier New" w:eastAsia="Courier New" w:hAnsi="Courier New"/>
                <w:b/>
                <w:bCs/>
                <w:color w:val="C0392B"/>
                <w:sz w:val="22"/>
                <w:szCs w:val="22"/>
              </w:rPr>
              <w:t xml:space="preserve">[ SECTION MISSING — TUNNEL_ID VALUES ]</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8"/>
              <w:left w:val="single" w:color="C0392B" w:sz="8"/>
              <w:bottom w:val="single" w:color="C0392B" w:sz="8"/>
              <w:right w:val="single" w:color="C0392B" w:sz="8"/>
            </w:tcBorders>
            <w:shd w:fill="FDF2F0" w:val="clear"/>
            <w:tcMar>
              <w:top w:type="dxa" w:w="120"/>
              <w:left w:type="dxa" w:w="200"/>
              <w:bottom w:type="dxa" w:w="120"/>
              <w:right w:type="dxa" w:w="200"/>
            </w:tcMar>
          </w:tcPr>
          <w:p>
            <w:r>
              <w:rPr>
                <w:rFonts w:ascii="Courier New" w:cs="Courier New" w:eastAsia="Courier New" w:hAnsi="Courier New"/>
                <w:b/>
                <w:bCs/>
                <w:color w:val="C0392B"/>
                <w:sz w:val="22"/>
                <w:szCs w:val="22"/>
              </w:rPr>
              <w:t xml:space="preserve">[ SECTION MISSING — INNER_PROTO VALUES AND PAYLOAD FORMATS ]</w:t>
            </w:r>
          </w:p>
        </w:tc>
      </w:tr>
    </w:tbl>
    <w:p>
      <w:r>
        <w:rPr>
          <w:sz w:val="20"/>
          <w:szCs w:val="20"/>
        </w:rPr>
        <w:t xml:space="preserve"/>
      </w:r>
    </w:p>
    <w:p>
      <w:r>
        <w:rPr>
          <w:sz w:val="20"/>
          <w:szCs w:val="20"/>
        </w:rPr>
        <w:t xml:space="preserve"/>
      </w:r>
    </w:p>
    <w:p>
      <w:pPr>
        <w:pBdr>
          <w:top w:val="single" w:color="CCCCCC" w:sz="4" w:space="4"/>
        </w:pBdr>
        <w:spacing w:before="20"/>
        <w:jc w:val="center"/>
      </w:pPr>
      <w:r>
        <w:rPr>
          <w:rFonts w:ascii="Courier New" w:cs="Courier New" w:eastAsia="Courier New" w:hAnsi="Courier New"/>
          <w:color w:val="AAAAAA"/>
          <w:sz w:val="18"/>
          <w:szCs w:val="18"/>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Courier New" w:cs="Courier New" w:eastAsia="Courier New" w:hAnsi="Courier New"/>
        <w:color w:val="888888"/>
        <w:sz w:val="16"/>
        <w:szCs w:val="16"/>
      </w:rPr>
      <w:t xml:space="preserve">RTUN Protocol v1.0 — Partial</w:t>
    </w:r>
    <w:r>
      <w:rPr>
        <w:rFonts w:ascii="Courier New" w:cs="Courier New" w:eastAsia="Courier New" w:hAnsi="Courier New"/>
        <w:color w:val="888888"/>
        <w:sz w:val="16"/>
        <w:szCs w:val="16"/>
      </w:rPr>
      <w:t xml:space="preserve">	Page </w:t>
    </w:r>
    <w:r>
      <w:rPr>
        <w:rFonts w:ascii="Courier New" w:cs="Courier New" w:eastAsia="Courier New" w:hAnsi="Courier New"/>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Courier New" w:cs="Courier New" w:eastAsia="Courier New" w:hAnsi="Courier New"/>
        <w:color w:val="888888"/>
        <w:sz w:val="18"/>
        <w:szCs w:val="18"/>
      </w:rPr>
      <w:t xml:space="preserve">NeoCorp Internal Developer Wiki</w:t>
    </w:r>
    <w:r>
      <w:rPr>
        <w:rFonts w:ascii="Courier New" w:cs="Courier New" w:eastAsia="Courier New" w:hAnsi="Courier New"/>
        <w:color w:val="C0392B"/>
        <w:sz w:val="18"/>
        <w:szCs w:val="18"/>
      </w:rPr>
      <w:t xml:space="preserve">   —   RECOVERED DOCUMENT   —   CLASSIFICATION: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2026-03-07T09:35:55.091Z</dcterms:created>
  <dcterms:modified xsi:type="dcterms:W3CDTF">2026-03-07T09:35:55.092Z</dcterms:modified>
</cp:coreProperties>
</file>

<file path=docProps/custom.xml><?xml version="1.0" encoding="utf-8"?>
<Properties xmlns="http://schemas.openxmlformats.org/officeDocument/2006/custom-properties" xmlns:vt="http://schemas.openxmlformats.org/officeDocument/2006/docPropsVTypes"/>
</file>