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There was significant discussion during this week’s ASTM F49 terminology subcommittee call on related topics. A new member of the group was on the call from PTTR load board </w:t>
      </w:r>
      <w:hyperlink r:id="rId6">
        <w:r w:rsidDel="00000000" w:rsidR="00000000" w:rsidRPr="00000000">
          <w:rPr>
            <w:color w:val="1155cc"/>
            <w:u w:val="single"/>
            <w:rtl w:val="0"/>
          </w:rPr>
          <w:t xml:space="preserve">https://pttrloadboard.com/</w:t>
        </w:r>
      </w:hyperlink>
      <w:r w:rsidDel="00000000" w:rsidR="00000000" w:rsidRPr="00000000">
        <w:rPr>
          <w:color w:val="222222"/>
          <w:rtl w:val="0"/>
        </w:rPr>
        <w:t xml:space="preserve"> , and the chair of the committee was quizzing him about his thoughts on </w:t>
      </w:r>
      <w:r w:rsidDel="00000000" w:rsidR="00000000" w:rsidRPr="00000000">
        <w:rPr>
          <w:i w:val="1"/>
          <w:iCs w:val="1"/>
          <w:color w:val="222222"/>
          <w:rtl w:val="0"/>
        </w:rPr>
        <w:t xml:space="preserve">duty of care</w:t>
      </w:r>
      <w:r w:rsidDel="00000000" w:rsidR="00000000" w:rsidRPr="00000000">
        <w:rPr>
          <w:color w:val="222222"/>
          <w:rtl w:val="0"/>
        </w:rPr>
        <w:t xml:space="preserve"> related to selecting a carrier for a load.  I guess there was a recent US Supreme Court decision regarding responsibilities (and liability) of brokers that determined that they have </w:t>
      </w:r>
      <w:r w:rsidDel="00000000" w:rsidR="00000000" w:rsidRPr="00000000">
        <w:rPr>
          <w:b w:val="1"/>
          <w:bCs w:val="1"/>
          <w:color w:val="222222"/>
          <w:rtl w:val="0"/>
        </w:rPr>
        <w:t xml:space="preserve">a duty of care</w:t>
      </w:r>
      <w:r w:rsidDel="00000000" w:rsidR="00000000" w:rsidRPr="00000000">
        <w:rPr>
          <w:color w:val="222222"/>
          <w:rtl w:val="0"/>
        </w:rPr>
        <w:t xml:space="preserve"> on selecting carriers, though it didn’t define what it was.  So there was a lot of discussion in the meeting about what data might be needed to support this duty of care.  This seemed to have a high overlap to the things (data) we had discussed in the load and carrier tracking OKN opportunity.</w:t>
      </w:r>
    </w:p>
    <w:p w:rsidR="00000000" w:rsidDel="00000000" w:rsidP="00000000" w:rsidRDefault="00000000" w:rsidRPr="00000000" w14:paraId="00000002">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There was </w:t>
      </w:r>
      <w:hyperlink r:id="rId7">
        <w:r w:rsidDel="00000000" w:rsidR="00000000" w:rsidRPr="00000000">
          <w:rPr>
            <w:color w:val="1155cc"/>
            <w:u w:val="single"/>
            <w:rtl w:val="0"/>
          </w:rPr>
          <w:t xml:space="preserve">an article from Freight Waves</w:t>
        </w:r>
      </w:hyperlink>
      <w:r w:rsidDel="00000000" w:rsidR="00000000" w:rsidRPr="00000000">
        <w:rPr>
          <w:color w:val="222222"/>
          <w:rtl w:val="0"/>
        </w:rPr>
        <w:t xml:space="preserve"> on the decision.  The author of that article, Cassandra Gaines, has proposed her own “standard” related to the issue called “The CAVRA Standard” &lt;</w:t>
      </w:r>
      <w:hyperlink r:id="rId8">
        <w:r w:rsidDel="00000000" w:rsidR="00000000" w:rsidRPr="00000000">
          <w:rPr>
            <w:color w:val="1155cc"/>
            <w:u w:val="single"/>
            <w:rtl w:val="0"/>
          </w:rPr>
          <w:t xml:space="preserve">https://www.logisticsriskexpert.com/cavra-standard/</w:t>
        </w:r>
      </w:hyperlink>
      <w:r w:rsidDel="00000000" w:rsidR="00000000" w:rsidRPr="00000000">
        <w:rPr>
          <w:color w:val="222222"/>
          <w:rtl w:val="0"/>
        </w:rPr>
        <w:t xml:space="preserve">&gt;. Some ASTM F49 committee leadership had previously reached out to Cassandra Gaines about using that as a starting point for developing a Guide in ASTM to help brokers, carriers, and shippers better navigate this, but have not gotten any response.</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The PTTR Load Board contact noted that they are working on additional capabilities to collect and provide information that could be used for this (like MCDOT number for the carrier and VIN of the vehicle to be used). </w:t>
      </w:r>
      <w:r w:rsidDel="00000000" w:rsidR="00000000" w:rsidRPr="00000000">
        <w:rPr>
          <w:b w:val="1"/>
          <w:bCs w:val="1"/>
          <w:color w:val="222222"/>
          <w:rtl w:val="0"/>
        </w:rPr>
        <w:t xml:space="preserve"> Some of the same data used to verify the carrier could be used to detect or lower the risk of theft, and the load theft problem was also mentioned in our discussions.</w:t>
      </w:r>
      <w:r w:rsidDel="00000000" w:rsidR="00000000" w:rsidRPr="00000000">
        <w:rPr>
          <w:color w:val="222222"/>
          <w:rtl w:val="0"/>
        </w:rPr>
        <w:t xml:space="preserve">  The other related new info to me that I tripped over while looking up PTTR Load Board, was a similar service (or maybe the same service branded differently) from Amazon: Amazon Relay.</w:t>
      </w:r>
    </w:p>
    <w:p w:rsidR="00000000" w:rsidDel="00000000" w:rsidP="00000000" w:rsidRDefault="00000000" w:rsidRPr="00000000" w14:paraId="00000006">
      <w:pPr>
        <w:shd w:fill="ffffff" w:val="clear"/>
        <w:rPr>
          <w:color w:val="1155cc"/>
          <w:u w:val="single"/>
        </w:rPr>
      </w:pPr>
      <w:hyperlink r:id="rId9">
        <w:r w:rsidDel="00000000" w:rsidR="00000000" w:rsidRPr="00000000">
          <w:rPr>
            <w:color w:val="1155cc"/>
            <w:u w:val="single"/>
            <w:rtl w:val="0"/>
          </w:rPr>
          <w:t xml:space="preserve">https://relay.amazon.com/?utm_source=google&amp;utm_medium=cpc&amp;utm_campaign=search_florida_conversionia&amp;gad_campaignid=22076521179&amp;gbraid=0AAAAAofgPGhR_0UsRde0cfahdnm_mohsf&amp;gclid=EAIaIQobChMIj6z0xvPmlQMVwE1HAR1YogU9EAAYASAAEgI_UvD_BwE</w:t>
        </w:r>
      </w:hyperlink>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My take aways from this were:</w:t>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 there are additional industry pain points that could be addressed by an OKN supporting load and carrier data, and there are significant incentives for stakeholder roles to make use of this and make sure this data is correct.</w:t>
      </w:r>
    </w:p>
    <w:p w:rsidR="00000000" w:rsidDel="00000000" w:rsidP="00000000" w:rsidRDefault="00000000" w:rsidRPr="00000000" w14:paraId="0000000A">
      <w:pPr>
        <w:shd w:fill="ffffff" w:val="clear"/>
        <w:rPr>
          <w:color w:val="222222"/>
        </w:rPr>
      </w:pPr>
      <w:r w:rsidDel="00000000" w:rsidR="00000000" w:rsidRPr="00000000">
        <w:rPr>
          <w:color w:val="222222"/>
          <w:rtl w:val="0"/>
        </w:rPr>
        <w:t xml:space="preserve">- the chair of the F49 terminology committee has experience, knows affected stakeholders, and has interest in these problems.  It would be good to loop him in to your effort, but as before, I don’t know how much you would want me to reveal about your plan.  It might be best for me to just  virtually introduce you.</w:t>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 there seem to be commercial efforts looking to address these needs, though I have no idea if any of the solutions use any form of knowledge graph.</w:t>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 now may be the best time to pursue the OKN freight data opportunity, while there is so much interest and before the commercial efforts settle out.  A benefit of an OKN research effort would be a neutral view of freight data that could serve many different needs and stakeholders.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case he's talking about is:</w:t>
      </w:r>
    </w:p>
    <w:p w:rsidR="00000000" w:rsidDel="00000000" w:rsidP="00000000" w:rsidRDefault="00000000" w:rsidRPr="00000000" w14:paraId="00000011">
      <w:pPr>
        <w:rPr/>
      </w:pPr>
      <w:hyperlink r:id="rId10">
        <w:r w:rsidDel="00000000" w:rsidR="00000000" w:rsidRPr="00000000">
          <w:rPr>
            <w:color w:val="1155cc"/>
            <w:u w:val="single"/>
            <w:rtl w:val="0"/>
          </w:rPr>
          <w:t xml:space="preserve">https://www.linkedin.com/posts/ariashe_ch-robinson-to-appeal-604m-verdict-in-activity-7486572011251638273-Xd1s?utm_source=share&amp;utm_medium=member_desktop&amp;rcm=ACoAABd1T5cBXroFDnn53qiCmxGS2YZbjQ7NSyI</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that link there's an Analysis + link to an article describing the case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Other links, unrelated to the case but important:</w:t>
      </w:r>
    </w:p>
    <w:p w:rsidR="00000000" w:rsidDel="00000000" w:rsidP="00000000" w:rsidRDefault="00000000" w:rsidRPr="00000000" w14:paraId="00000016">
      <w:pPr>
        <w:rPr/>
      </w:pPr>
      <w:hyperlink r:id="rId11">
        <w:r w:rsidDel="00000000" w:rsidR="00000000" w:rsidRPr="00000000">
          <w:rPr>
            <w:color w:val="1155cc"/>
            <w:u w:val="single"/>
            <w:rtl w:val="0"/>
          </w:rPr>
          <w:t xml:space="preserve">https://www.linkedin.com/posts/maybedanielleee_bartransportation-heavyhaul-dodfreight-activity-7458139525064642561-py9t?utm_source=share&amp;utm_medium=member_desktop&amp;rcm=ACoAABd1T5cBXroFDnn53qiCmxGS2YZbjQ7NSyI</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2">
        <w:r w:rsidDel="00000000" w:rsidR="00000000" w:rsidRPr="00000000">
          <w:rPr>
            <w:color w:val="1155cc"/>
            <w:u w:val="single"/>
            <w:rtl w:val="0"/>
          </w:rPr>
          <w:t xml:space="preserve">https://www.linkedin.com/posts/philip-gunst_413793-kitkat-bars-worth-1m-just-vanished-activity-7444277390719078400-nrSl?utm_source=share&amp;utm_medium=member_desktop&amp;rcm=ACoAABd1T5cBXroFDnn53qiCmxGS2YZbjQ7NSyI</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Synthesis:</w:t>
      </w:r>
    </w:p>
    <w:p w:rsidR="00000000" w:rsidDel="00000000" w:rsidP="00000000" w:rsidRDefault="00000000" w:rsidRPr="00000000" w14:paraId="00000020">
      <w:pPr>
        <w:numPr>
          <w:ilvl w:val="0"/>
          <w:numId w:val="1"/>
        </w:numPr>
        <w:shd w:fill="ffffff" w:val="clear"/>
        <w:ind w:left="720" w:hanging="360"/>
        <w:rPr>
          <w:color w:val="222222"/>
        </w:rPr>
      </w:pPr>
      <w:r w:rsidDel="00000000" w:rsidR="00000000" w:rsidRPr="00000000">
        <w:rPr>
          <w:color w:val="222222"/>
          <w:rtl w:val="0"/>
        </w:rPr>
        <w:t xml:space="preserve">Recent Supreme Court decision</w:t>
      </w:r>
    </w:p>
    <w:p w:rsidR="00000000" w:rsidDel="00000000" w:rsidP="00000000" w:rsidRDefault="00000000" w:rsidRPr="00000000" w14:paraId="00000021">
      <w:pPr>
        <w:numPr>
          <w:ilvl w:val="0"/>
          <w:numId w:val="1"/>
        </w:numPr>
        <w:shd w:fill="ffffff" w:val="clear"/>
        <w:ind w:left="720" w:hanging="360"/>
        <w:rPr>
          <w:color w:val="222222"/>
        </w:rPr>
      </w:pPr>
      <w:r w:rsidDel="00000000" w:rsidR="00000000" w:rsidRPr="00000000">
        <w:rPr>
          <w:color w:val="222222"/>
          <w:rtl w:val="0"/>
        </w:rPr>
        <w:t xml:space="preserve">And lots of fraud</w:t>
      </w:r>
    </w:p>
    <w:p w:rsidR="00000000" w:rsidDel="00000000" w:rsidP="00000000" w:rsidRDefault="00000000" w:rsidRPr="00000000" w14:paraId="00000022">
      <w:pPr>
        <w:numPr>
          <w:ilvl w:val="0"/>
          <w:numId w:val="1"/>
        </w:numPr>
        <w:shd w:fill="ffffff" w:val="clear"/>
        <w:ind w:left="720" w:hanging="360"/>
        <w:rPr>
          <w:color w:val="222222"/>
        </w:rPr>
      </w:pPr>
      <w:r w:rsidDel="00000000" w:rsidR="00000000" w:rsidRPr="00000000">
        <w:rPr>
          <w:color w:val="222222"/>
          <w:rtl w:val="0"/>
        </w:rPr>
        <w:t xml:space="preserve">Emphasizes the need for </w:t>
      </w:r>
      <w:r w:rsidDel="00000000" w:rsidR="00000000" w:rsidRPr="00000000">
        <w:rPr>
          <w:i w:val="1"/>
          <w:iCs w:val="1"/>
          <w:color w:val="222222"/>
          <w:rtl w:val="0"/>
        </w:rPr>
        <w:t xml:space="preserve">data for duty of care et al (military duty of care too)</w:t>
      </w:r>
    </w:p>
    <w:p w:rsidR="00000000" w:rsidDel="00000000" w:rsidP="00000000" w:rsidRDefault="00000000" w:rsidRPr="00000000" w14:paraId="00000023">
      <w:pPr>
        <w:numPr>
          <w:ilvl w:val="0"/>
          <w:numId w:val="1"/>
        </w:numPr>
        <w:shd w:fill="ffffff" w:val="clear"/>
        <w:ind w:left="720" w:hanging="360"/>
        <w:rPr>
          <w:color w:val="222222"/>
        </w:rPr>
      </w:pPr>
      <w:r w:rsidDel="00000000" w:rsidR="00000000" w:rsidRPr="00000000">
        <w:rPr>
          <w:color w:val="222222"/>
          <w:rtl w:val="0"/>
        </w:rPr>
        <w:t xml:space="preserve">We propose a —- freight trust infrastructure</w:t>
      </w:r>
    </w:p>
    <w:p w:rsidR="00000000" w:rsidDel="00000000" w:rsidP="00000000" w:rsidRDefault="00000000" w:rsidRPr="00000000" w14:paraId="00000024">
      <w:pPr>
        <w:numPr>
          <w:ilvl w:val="0"/>
          <w:numId w:val="1"/>
        </w:numPr>
        <w:shd w:fill="ffffff" w:val="clear"/>
        <w:ind w:left="720" w:hanging="360"/>
        <w:rPr>
          <w:color w:val="222222"/>
        </w:rPr>
      </w:pPr>
      <w:r w:rsidDel="00000000" w:rsidR="00000000" w:rsidRPr="00000000">
        <w:rPr>
          <w:color w:val="222222"/>
          <w:rtl w:val="0"/>
        </w:rPr>
        <w:t xml:space="preserve">Composed of </w:t>
      </w:r>
    </w:p>
    <w:p w:rsidR="00000000" w:rsidDel="00000000" w:rsidP="00000000" w:rsidRDefault="00000000" w:rsidRPr="00000000" w14:paraId="00000025">
      <w:pPr>
        <w:numPr>
          <w:ilvl w:val="1"/>
          <w:numId w:val="1"/>
        </w:numPr>
        <w:shd w:fill="ffffff" w:val="clear"/>
        <w:ind w:left="1440" w:hanging="360"/>
        <w:rPr>
          <w:color w:val="222222"/>
        </w:rPr>
      </w:pPr>
      <w:r w:rsidDel="00000000" w:rsidR="00000000" w:rsidRPr="00000000">
        <w:rPr>
          <w:color w:val="222222"/>
          <w:rtl w:val="0"/>
        </w:rPr>
        <w:t xml:space="preserve">"The cavra standard' , and additional captured data from PTTR Load Board etc.</w:t>
      </w:r>
    </w:p>
    <w:p w:rsidR="00000000" w:rsidDel="00000000" w:rsidP="00000000" w:rsidRDefault="00000000" w:rsidRPr="00000000" w14:paraId="00000026">
      <w:pPr>
        <w:shd w:fill="ffffff" w:val="clear"/>
        <w:rPr>
          <w:color w:val="222222"/>
        </w:rPr>
      </w:pPr>
      <w:r w:rsidDel="00000000" w:rsidR="00000000" w:rsidRPr="00000000">
        <w:rPr>
          <w:rtl w:val="0"/>
        </w:rPr>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 there are additional industry pain points that could be addressed by an OKN supporting load and carrier data, and there are significant incentives for stakeholder roles to make use of this and make sure this data is correct.</w:t>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 the chair of the F49 terminology committee has experience, knows affected stakeholders, and has interest in these problems.  It would be good to loop him in to your effort, but as before, I don’t know how much you would want me to reveal about your plan.  It might be best for me to just  virtually introduce you.</w:t>
      </w:r>
    </w:p>
    <w:p w:rsidR="00000000" w:rsidDel="00000000" w:rsidP="00000000" w:rsidRDefault="00000000" w:rsidRPr="00000000" w14:paraId="00000029">
      <w:pPr>
        <w:shd w:fill="ffffff" w:val="clear"/>
        <w:rPr>
          <w:color w:val="222222"/>
        </w:rPr>
      </w:pPr>
      <w:r w:rsidDel="00000000" w:rsidR="00000000" w:rsidRPr="00000000">
        <w:rPr>
          <w:color w:val="222222"/>
          <w:rtl w:val="0"/>
        </w:rPr>
        <w:t xml:space="preserve">- there seem to be commercial efforts looking to address these needs, though I have no idea if any of the solutions use any form of knowledge graph.</w:t>
      </w:r>
    </w:p>
    <w:p w:rsidR="00000000" w:rsidDel="00000000" w:rsidP="00000000" w:rsidRDefault="00000000" w:rsidRPr="00000000" w14:paraId="0000002A">
      <w:pPr>
        <w:shd w:fill="ffffff" w:val="clear"/>
        <w:rPr>
          <w:color w:val="222222"/>
        </w:rPr>
      </w:pPr>
      <w:r w:rsidDel="00000000" w:rsidR="00000000" w:rsidRPr="00000000">
        <w:rPr>
          <w:color w:val="222222"/>
          <w:rtl w:val="0"/>
        </w:rPr>
        <w:t xml:space="preserve">- now may be the best time to pursue the OKN freight data opportunity, while there is so much interest and before the commercial efforts settle out.  A benefit of an OKN research effort would be a neutral view of freight data that could serve many different needs and stakeholders.</w:t>
      </w:r>
    </w:p>
    <w:p w:rsidR="00000000" w:rsidDel="00000000" w:rsidP="00000000" w:rsidRDefault="00000000" w:rsidRPr="00000000" w14:paraId="0000002B">
      <w:pPr>
        <w:shd w:fill="ffffff" w:val="clear"/>
        <w:rPr>
          <w:color w:val="222222"/>
        </w:rPr>
      </w:pPr>
      <w:r w:rsidDel="00000000" w:rsidR="00000000" w:rsidRPr="00000000">
        <w:rPr>
          <w:rtl w:val="0"/>
        </w:rPr>
      </w:r>
    </w:p>
    <w:p w:rsidR="00000000" w:rsidDel="00000000" w:rsidP="00000000" w:rsidRDefault="00000000" w:rsidRPr="00000000" w14:paraId="0000002C">
      <w:pPr>
        <w:shd w:fill="ffffff" w:val="clea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posts/maybedanielleee_bartransportation-heavyhaul-dodfreight-activity-7458139525064642561-py9t?utm_source=share&amp;utm_medium=member_desktop&amp;rcm=ACoAABd1T5cBXroFDnn53qiCmxGS2YZbjQ7NSyI" TargetMode="External"/><Relationship Id="rId10" Type="http://schemas.openxmlformats.org/officeDocument/2006/relationships/hyperlink" Target="https://www.linkedin.com/posts/ariashe_ch-robinson-to-appeal-604m-verdict-in-activity-7486572011251638273-Xd1s?utm_source=share&amp;utm_medium=member_desktop&amp;rcm=ACoAABd1T5cBXroFDnn53qiCmxGS2YZbjQ7NSyI" TargetMode="External"/><Relationship Id="rId12" Type="http://schemas.openxmlformats.org/officeDocument/2006/relationships/hyperlink" Target="https://www.linkedin.com/posts/philip-gunst_413793-kitkat-bars-worth-1m-just-vanished-activity-7444277390719078400-nrSl?utm_source=share&amp;utm_medium=member_desktop&amp;rcm=ACoAABd1T5cBXroFDnn53qiCmxGS2YZbjQ7NSyI" TargetMode="External"/><Relationship Id="rId9" Type="http://schemas.openxmlformats.org/officeDocument/2006/relationships/hyperlink" Target="https://relay.amazon.com/?utm_source=google&amp;utm_medium=cpc&amp;utm_campaign=search_florida_conversionia&amp;gad_campaignid=22076521179&amp;gbraid=0AAAAAofgPGhR_0UsRde0cfahdnm_mohsf&amp;gclid=EAIaIQobChMIj6z0xvPmlQMVwE1HAR1YogU9EAAYASAAEgI_UvD_BwE" TargetMode="External"/><Relationship Id="rId5" Type="http://schemas.openxmlformats.org/officeDocument/2006/relationships/styles" Target="styles.xml"/><Relationship Id="rId6" Type="http://schemas.openxmlformats.org/officeDocument/2006/relationships/hyperlink" Target="https://pttrloadboard.com/" TargetMode="External"/><Relationship Id="rId7" Type="http://schemas.openxmlformats.org/officeDocument/2006/relationships/hyperlink" Target="https://www.freightwaves.com/news/what-the-plaintiff-attorney-who-won-at-the-supreme-court-looks-for-in-broker-negligent-selection-cases" TargetMode="External"/><Relationship Id="rId8" Type="http://schemas.openxmlformats.org/officeDocument/2006/relationships/hyperlink" Target="https://www.logisticsriskexpert.com/cavra-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