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A9BD" w14:textId="12E9CE0E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From Proof-of-Concept to Real-World AI: Building Secure and Governable AI at Scale</w:t>
      </w:r>
    </w:p>
    <w:p w14:paraId="1CB06944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6C3129F" w14:textId="36B2C168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4AE2B16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8B7D637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Opening Paragraph / Hook:</w:t>
      </w:r>
    </w:p>
    <w:p w14:paraId="1FA1D320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E2D2F9E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Last year, I explored how top organizations are moving beyond AI proof-of-concept to deliver real-world generative AI impact in my article </w:t>
      </w:r>
      <w:hyperlink r:id="rId4" w:history="1">
        <w:r>
          <w:rPr>
            <w:rFonts w:ascii="Helvetica Neue" w:hAnsi="Helvetica Neue" w:cs="Helvetica Neue"/>
            <w:kern w:val="0"/>
            <w:sz w:val="26"/>
            <w:szCs w:val="26"/>
          </w:rPr>
          <w:t>“Beyond PoC: Real-World GenAI Impact on Top Organizations”</w:t>
        </w:r>
      </w:hyperlink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68894B1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0BD3168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This year, the conversation is evolving. Delivering business value from AI is one thing—but ensuring that AI systems are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secure, compliant, and governed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as they scale is an entirely different challenge. Organizations that succeed in operationalizing AI responsibly are the ones who will sustain trust with stakeholders and leadership.</w:t>
      </w:r>
    </w:p>
    <w:p w14:paraId="751D13DB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78FB7C9" w14:textId="4D75AE76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F8A8FBB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1B8E08F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Section 1 — The Journey from Experimentation to Enterprise Reality</w:t>
      </w:r>
    </w:p>
    <w:p w14:paraId="0C8BAFCF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5E45437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In many organizations, AI starts as a small experiment—a proof-of-concept designed to test a new algorithm or tool. The excitement is palpable: executives see potential, engineers are energized, and the project shows early wins.</w:t>
      </w:r>
    </w:p>
    <w:p w14:paraId="037FAEC8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460D83E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But as these experiments move toward production, the environment changes. Suddenly, the AI system interacts with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sensitive enterprise data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crosses regulatory boundaries, and touches multiple business units. Teams quickly realize that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what worked in a controlled experiment doesn’t automatically scale safely</w:t>
      </w:r>
      <w:r>
        <w:rPr>
          <w:rFonts w:ascii="Helvetica Neue" w:hAnsi="Helvetica Neue" w:cs="Helvetica Neue"/>
          <w:kern w:val="0"/>
          <w:sz w:val="26"/>
          <w:szCs w:val="26"/>
        </w:rPr>
        <w:t>. Security risks, compliance gaps, and governance challenges begin to surface, often catching organizations off guard.</w:t>
      </w:r>
    </w:p>
    <w:p w14:paraId="22549519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1E89A01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This journey—from experimentation to enterprise reality—is filled with lessons about how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AI impact and operational trust must go hand in hand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368DB7F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8B98DC0" w14:textId="7237459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17FC6E8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DFE890C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Section 2 — Common Challenges in Scaling AI</w:t>
      </w:r>
    </w:p>
    <w:p w14:paraId="68DC783C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1.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Data Security Across Pipelines</w:t>
      </w:r>
    </w:p>
    <w:p w14:paraId="6CFD7EB2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AI systems consume and produce large volumes of data. Without proper encryption, access control, and monitoring, sensitive information can leak during training or inference.</w:t>
      </w:r>
    </w:p>
    <w:p w14:paraId="53F257E4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2.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AI-Specific Risk Management</w:t>
      </w:r>
    </w:p>
    <w:p w14:paraId="1322AEF5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Traditional IT risk frameworks do not cover AI-specific threats like model drift, training data manipulation, or adversarial attacks, leaving organizations exposed.</w:t>
      </w:r>
    </w:p>
    <w:p w14:paraId="349E9A69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3.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Monitoring and Auditability Gaps</w:t>
      </w:r>
    </w:p>
    <w:p w14:paraId="43968AD5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Unlike traditional systems, AI models evolve over time. Without continuous monitoring, organizations risk decisions that are biased, erroneous, or non-compliant.</w:t>
      </w:r>
    </w:p>
    <w:p w14:paraId="0158DB4F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4.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Siloed Governance</w:t>
      </w:r>
    </w:p>
    <w:p w14:paraId="48E21594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Security, compliance, data science, and engineering teams often operate independently, creating blind spots in accountability and oversight.</w:t>
      </w:r>
    </w:p>
    <w:p w14:paraId="2462AB3B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5.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Incident Response Preparedness</w:t>
      </w:r>
    </w:p>
    <w:p w14:paraId="784FBAEA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Organizations rarely have AI-specific incident response plans, leading to delays and uncertainty when models misbehave or fail.</w:t>
      </w:r>
    </w:p>
    <w:p w14:paraId="25C2A3F6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718DF12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⸻</w:t>
      </w:r>
    </w:p>
    <w:p w14:paraId="5032930D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F402793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Section 3 — Practical Steps for Secure, Governable AI</w:t>
      </w:r>
    </w:p>
    <w:p w14:paraId="1B3B01AE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1BC2A6E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To bridge the gap between experimentation and trusted production, organizations should adopt an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integrated approach</w:t>
      </w:r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6AB49CF8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DF6BC39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AI Governance Framework</w:t>
      </w:r>
    </w:p>
    <w:p w14:paraId="6D9FA049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•</w:t>
      </w:r>
      <w:r>
        <w:rPr>
          <w:rFonts w:ascii="Helvetica Neue" w:hAnsi="Helvetica Neue" w:cs="Helvetica Neue"/>
          <w:kern w:val="0"/>
          <w:sz w:val="26"/>
          <w:szCs w:val="26"/>
        </w:rPr>
        <w:tab/>
        <w:t>Establish policies, accountability structures, and oversight for AI initiatives.</w:t>
      </w:r>
    </w:p>
    <w:p w14:paraId="1FD4F899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•</w:t>
      </w:r>
      <w:r>
        <w:rPr>
          <w:rFonts w:ascii="Helvetica Neue" w:hAnsi="Helvetica Neue" w:cs="Helvetica Neue"/>
          <w:kern w:val="0"/>
          <w:sz w:val="26"/>
          <w:szCs w:val="26"/>
        </w:rPr>
        <w:tab/>
        <w:t>Include executive sponsorship and cross-functional governance councils.</w:t>
      </w:r>
    </w:p>
    <w:p w14:paraId="4851C499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3EFF235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Secure AI Software Development Lifecycle (SDLC)</w:t>
      </w:r>
    </w:p>
    <w:p w14:paraId="272B9FD1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•</w:t>
      </w:r>
      <w:r>
        <w:rPr>
          <w:rFonts w:ascii="Helvetica Neue" w:hAnsi="Helvetica Neue" w:cs="Helvetica Neue"/>
          <w:kern w:val="0"/>
          <w:sz w:val="26"/>
          <w:szCs w:val="26"/>
        </w:rPr>
        <w:tab/>
        <w:t>Incorporate security, privacy, and compliance checks from design through deployment.</w:t>
      </w:r>
    </w:p>
    <w:p w14:paraId="4F9ED01E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•</w:t>
      </w:r>
      <w:r>
        <w:rPr>
          <w:rFonts w:ascii="Helvetica Neue" w:hAnsi="Helvetica Neue" w:cs="Helvetica Neue"/>
          <w:kern w:val="0"/>
          <w:sz w:val="26"/>
          <w:szCs w:val="26"/>
        </w:rPr>
        <w:tab/>
        <w:t>Embed monitoring and testing for model performance and risks.</w:t>
      </w:r>
    </w:p>
    <w:p w14:paraId="1AA2FBC6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9A18B7B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Data Classification and Access Control</w:t>
      </w:r>
    </w:p>
    <w:p w14:paraId="4570E27F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•</w:t>
      </w:r>
      <w:r>
        <w:rPr>
          <w:rFonts w:ascii="Helvetica Neue" w:hAnsi="Helvetica Neue" w:cs="Helvetica Neue"/>
          <w:kern w:val="0"/>
          <w:sz w:val="26"/>
          <w:szCs w:val="26"/>
        </w:rPr>
        <w:tab/>
        <w:t>Classify datasets by sensitivity and enforce strict access policies.</w:t>
      </w:r>
    </w:p>
    <w:p w14:paraId="16AE02DF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•</w:t>
      </w:r>
      <w:r>
        <w:rPr>
          <w:rFonts w:ascii="Helvetica Neue" w:hAnsi="Helvetica Neue" w:cs="Helvetica Neue"/>
          <w:kern w:val="0"/>
          <w:sz w:val="26"/>
          <w:szCs w:val="26"/>
        </w:rPr>
        <w:tab/>
        <w:t>Apply encryption, tokenization, and identity-aware access controls.</w:t>
      </w:r>
    </w:p>
    <w:p w14:paraId="2CB0EB98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A4B041B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Continuous Model Monitoring</w:t>
      </w:r>
    </w:p>
    <w:p w14:paraId="4AE94A23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ab/>
        <w:t>•</w:t>
      </w:r>
      <w:r>
        <w:rPr>
          <w:rFonts w:ascii="Helvetica Neue" w:hAnsi="Helvetica Neue" w:cs="Helvetica Neue"/>
          <w:kern w:val="0"/>
          <w:sz w:val="26"/>
          <w:szCs w:val="26"/>
        </w:rPr>
        <w:tab/>
        <w:t>Track drift, performance, and outputs.</w:t>
      </w:r>
    </w:p>
    <w:p w14:paraId="72CE01BF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•</w:t>
      </w:r>
      <w:r>
        <w:rPr>
          <w:rFonts w:ascii="Helvetica Neue" w:hAnsi="Helvetica Neue" w:cs="Helvetica Neue"/>
          <w:kern w:val="0"/>
          <w:sz w:val="26"/>
          <w:szCs w:val="26"/>
        </w:rPr>
        <w:tab/>
        <w:t>Maintain logs and dashboards for auditing and explainability.</w:t>
      </w:r>
    </w:p>
    <w:p w14:paraId="6425DED7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BE2D1DF" w14:textId="333E25A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79A23D6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F5DC20E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Section 4 — Visuals</w:t>
      </w:r>
    </w:p>
    <w:p w14:paraId="6AEA497B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911EEF1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To make the article engaging and actionable, consider adding:</w:t>
      </w:r>
    </w:p>
    <w:p w14:paraId="000865C0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1.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Diagram of AI Governance Framework</w:t>
      </w:r>
    </w:p>
    <w:p w14:paraId="5D343431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2.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Diagram of AI SDLC</w:t>
      </w:r>
    </w:p>
    <w:p w14:paraId="36C3138B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3.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Diagram of AI Pipeline with Governance Layers</w:t>
      </w:r>
    </w:p>
    <w:p w14:paraId="74D19781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  <w:t>4.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Table of Risks vs Mitigations</w:t>
      </w:r>
    </w:p>
    <w:p w14:paraId="27AE322A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5.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Infographic showing “PoC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Production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Governance &amp; Security” lifecycle</w:t>
      </w:r>
    </w:p>
    <w:p w14:paraId="60C74A4D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87A4C08" w14:textId="693F0F63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6C3A380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A64421C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Closing / Executive Call-to-Action</w:t>
      </w:r>
    </w:p>
    <w:p w14:paraId="7349197D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663D136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AI adoption is no longer just a technical experiment—it is an enterprise governance and security challenge. Organizations that integrate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impact with operational trust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will emerge as leaders, while those that neglect security and governance risk eroding stakeholder confidence.</w:t>
      </w:r>
    </w:p>
    <w:p w14:paraId="4E5DE7BF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3907025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How is your organization ensuring that AI deployments are secure, compliant, and governed as they scale?</w:t>
      </w:r>
    </w:p>
    <w:p w14:paraId="572AE22E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333D508" w14:textId="77777777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68050FA" w14:textId="3353BC9B" w:rsidR="00835C08" w:rsidRDefault="00835C08" w:rsidP="00835C0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2FFE4A07" wp14:editId="2E92A470">
            <wp:extent cx="5943600" cy="3959225"/>
            <wp:effectExtent l="0" t="0" r="0" b="3175"/>
            <wp:docPr id="1513207887" name="Picture 1" descr="Several steps to a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07887" name="Picture 1" descr="Several steps to a development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218B" w14:textId="77777777" w:rsidR="00267D2C" w:rsidRDefault="00267D2C"/>
    <w:sectPr w:rsidR="00267D2C" w:rsidSect="00835C0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08"/>
    <w:rsid w:val="00267D2C"/>
    <w:rsid w:val="00395D2E"/>
    <w:rsid w:val="0081007A"/>
    <w:rsid w:val="00835C08"/>
    <w:rsid w:val="00EC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815FE"/>
  <w15:chartTrackingRefBased/>
  <w15:docId w15:val="{4C027ABC-BD4D-4842-B3B8-F1599B3D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linkedin.com/pulse/beyond-poc-real-world-genai-impact-top-organizations-chander-singh-cag9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585</Words>
  <Characters>3651</Characters>
  <Application>Microsoft Office Word</Application>
  <DocSecurity>0</DocSecurity>
  <Lines>117</Lines>
  <Paragraphs>59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Chander Karki</dc:creator>
  <cp:keywords/>
  <dc:description/>
  <cp:lastModifiedBy>Chander Karki</cp:lastModifiedBy>
  <cp:revision>1</cp:revision>
  <dcterms:created xsi:type="dcterms:W3CDTF">2026-03-14T16:50:00Z</dcterms:created>
  <dcterms:modified xsi:type="dcterms:W3CDTF">2026-03-14T16:52:00Z</dcterms:modified>
</cp:coreProperties>
</file>