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36"/>
        </w:rPr>
        <w:t>北京天驰君泰（杭州）律师事务所</w:t>
      </w:r>
    </w:p>
    <w:p/>
    <w:p>
      <w:pPr>
        <w:jc w:val="center"/>
      </w:pPr>
      <w:r>
        <w:rPr>
          <w:rFonts w:ascii="宋体" w:hAnsi="宋体" w:eastAsia="宋体"/>
          <w:b/>
          <w:sz w:val="56"/>
        </w:rPr>
        <w:t>客户背调报告</w:t>
      </w:r>
    </w:p>
    <w:p/>
    <w:p>
      <w:pPr>
        <w:jc w:val="center"/>
      </w:pPr>
      <w:r>
        <w:rPr>
          <w:rFonts w:ascii="宋体" w:hAnsi="宋体" w:eastAsia="宋体"/>
          <w:b/>
          <w:sz w:val="40"/>
        </w:rPr>
        <w:t>苏州仕净科技股份有限公司</w:t>
      </w:r>
    </w:p>
    <w:p>
      <w:pPr>
        <w:jc w:val="center"/>
      </w:pPr>
      <w:r>
        <w:rPr>
          <w:rFonts w:ascii="宋体" w:hAnsi="宋体" w:eastAsia="宋体"/>
          <w:sz w:val="28"/>
        </w:rPr>
        <w:t>（*ST仕净  301030）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</w:rPr>
              <w:t>CDD-2026-09-19-Shijing</w:t>
            </w:r>
          </w:p>
        </w:tc>
      </w:tr>
      <w:tr>
        <w:tc>
          <w:tcPr>
            <w:tcW w:type="dxa" w:w="4703"/>
            <w:vAlign w:val="center"/>
          </w:tcPr>
          <w:p>
            <w:r>
              <w:t>出具日期</w:t>
            </w:r>
          </w:p>
        </w:tc>
        <w:tc>
          <w:tcPr>
            <w:tcW w:type="dxa" w:w="4703"/>
            <w:vAlign w:val="center"/>
          </w:tcPr>
          <w:p>
            <w:r>
              <w:t>2026-09-19</w:t>
            </w:r>
          </w:p>
        </w:tc>
      </w:tr>
      <w:tr>
        <w:tc>
          <w:tcPr>
            <w:tcW w:type="dxa" w:w="4703"/>
            <w:vAlign w:val="center"/>
          </w:tcPr>
          <w:p>
            <w:r>
              <w:t>项目主办律师</w:t>
            </w:r>
          </w:p>
        </w:tc>
        <w:tc>
          <w:tcPr>
            <w:tcW w:type="dxa" w:w="4703"/>
            <w:vAlign w:val="center"/>
          </w:tcPr>
          <w:p>
            <w:r>
              <w:t>待指定（由合伙人会议确定后填写）</w:t>
            </w:r>
          </w:p>
        </w:tc>
      </w:tr>
      <w:tr>
        <w:tc>
          <w:tcPr>
            <w:tcW w:type="dxa" w:w="4703"/>
            <w:vAlign w:val="center"/>
          </w:tcPr>
          <w:p>
            <w:r>
              <w:t>委托方</w:t>
            </w:r>
          </w:p>
        </w:tc>
        <w:tc>
          <w:tcPr>
            <w:tcW w:type="dxa" w:w="4703"/>
            <w:vAlign w:val="center"/>
          </w:tcPr>
          <w:p>
            <w:r>
              <w:t>律师事务所</w:t>
            </w:r>
          </w:p>
        </w:tc>
      </w:tr>
      <w:tr>
        <w:tc>
          <w:tcPr>
            <w:tcW w:type="dxa" w:w="4703"/>
            <w:vAlign w:val="center"/>
          </w:tcPr>
          <w:p>
            <w:r>
              <w:t>客户指令</w:t>
            </w:r>
          </w:p>
        </w:tc>
        <w:tc>
          <w:tcPr>
            <w:tcW w:type="dxa" w:w="4703"/>
            <w:vAlign w:val="center"/>
          </w:tcPr>
          <w:p>
            <w:r>
              <w:t>谈客户接法律顾问，做完整版尽调，重点关注预重整、证监会立案与退市风险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楷体" w:hAnsi="楷体" w:eastAsia="楷体"/>
          <w:b/>
          <w:sz w:val="20"/>
        </w:rPr>
        <w:t>内部文件 · 仅供本所承接决策使用 · 禁止对外提供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目录</w:t>
      </w:r>
    </w:p>
    <w:p>
      <w:r>
        <w:rPr>
          <w:rFonts w:ascii="宋体" w:hAnsi="宋体" w:eastAsia="宋体"/>
          <w:sz w:val="22"/>
        </w:rPr>
        <w:t>第一节 报告说明与方法</w:t>
      </w:r>
    </w:p>
    <w:p>
      <w:r>
        <w:rPr>
          <w:rFonts w:ascii="宋体" w:hAnsi="宋体" w:eastAsia="宋体"/>
          <w:sz w:val="22"/>
        </w:rPr>
        <w:t>第二节 主体识别（工商登记与画像）</w:t>
      </w:r>
    </w:p>
    <w:p>
      <w:r>
        <w:rPr>
          <w:rFonts w:ascii="宋体" w:hAnsi="宋体" w:eastAsia="宋体"/>
          <w:sz w:val="22"/>
        </w:rPr>
        <w:t>第三节 数据对齐基准表</w:t>
      </w:r>
    </w:p>
    <w:p>
      <w:r>
        <w:rPr>
          <w:rFonts w:ascii="宋体" w:hAnsi="宋体" w:eastAsia="宋体"/>
          <w:sz w:val="22"/>
        </w:rPr>
        <w:t>第四节 股权结构与公司治理</w:t>
      </w:r>
    </w:p>
    <w:p>
      <w:r>
        <w:rPr>
          <w:rFonts w:ascii="宋体" w:hAnsi="宋体" w:eastAsia="宋体"/>
          <w:sz w:val="22"/>
        </w:rPr>
        <w:t>第五节 财务与资信</w:t>
      </w:r>
    </w:p>
    <w:p>
      <w:r>
        <w:rPr>
          <w:rFonts w:ascii="宋体" w:hAnsi="宋体" w:eastAsia="宋体"/>
          <w:sz w:val="22"/>
        </w:rPr>
        <w:t>第六节 风险扫描</w:t>
      </w:r>
    </w:p>
    <w:p>
      <w:r>
        <w:rPr>
          <w:rFonts w:ascii="宋体" w:hAnsi="宋体" w:eastAsia="宋体"/>
          <w:sz w:val="22"/>
        </w:rPr>
        <w:t>第七节 综合风险评估</w:t>
      </w:r>
    </w:p>
    <w:p>
      <w:r>
        <w:rPr>
          <w:rFonts w:ascii="宋体" w:hAnsi="宋体" w:eastAsia="宋体"/>
          <w:sz w:val="22"/>
        </w:rPr>
        <w:t>第八节 法律顾问切入备忘录</w:t>
      </w:r>
    </w:p>
    <w:p>
      <w:r>
        <w:rPr>
          <w:rFonts w:ascii="宋体" w:hAnsi="宋体" w:eastAsia="宋体"/>
          <w:sz w:val="22"/>
        </w:rPr>
        <w:t>第九节 承接建议与风险缓释</w:t>
      </w:r>
    </w:p>
    <w:p>
      <w:r>
        <w:rPr>
          <w:rFonts w:ascii="宋体" w:hAnsi="宋体" w:eastAsia="宋体"/>
          <w:sz w:val="22"/>
        </w:rPr>
        <w:t>第十节 利益冲突审查结论</w:t>
      </w:r>
    </w:p>
    <w:p>
      <w:r>
        <w:rPr>
          <w:rFonts w:ascii="宋体" w:hAnsi="宋体" w:eastAsia="宋体"/>
          <w:sz w:val="22"/>
        </w:rPr>
        <w:t>第十一节 待核实事项清单</w:t>
      </w:r>
    </w:p>
    <w:p>
      <w:r>
        <w:rPr>
          <w:rFonts w:ascii="宋体" w:hAnsi="宋体" w:eastAsia="宋体"/>
          <w:sz w:val="22"/>
        </w:rPr>
        <w:t>第十二节 免责声明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第一节  报告说明与方法</w:t>
      </w:r>
    </w:p>
    <w:p>
      <w:pPr>
        <w:pStyle w:val="Heading2"/>
      </w:pPr>
      <w:r>
        <w:rPr>
          <w:rFonts w:ascii="宋体" w:hAnsi="宋体" w:eastAsia="宋体"/>
          <w:sz w:val="28"/>
        </w:rPr>
        <w:t>一、委托背景与目的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本所拟为客户提供法律服务，在正式接洽前开展背景调查与法律风险评估，为洽谈、报价与承接决策提供依据。</w:t>
      </w:r>
    </w:p>
    <w:p>
      <w:pPr>
        <w:pStyle w:val="Heading2"/>
      </w:pPr>
      <w:r>
        <w:rPr>
          <w:rFonts w:ascii="宋体" w:hAnsi="宋体" w:eastAsia="宋体"/>
          <w:sz w:val="28"/>
        </w:rPr>
        <w:t>二、核查范围与期间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核查主体为目标公司本体及其主要对外投资企业；涉诉、执行、处罚、监管类信息重点覆盖 2024 年 1 月至 2026 年 9 月。</w:t>
      </w:r>
    </w:p>
    <w:p>
      <w:pPr>
        <w:pStyle w:val="Heading2"/>
      </w:pPr>
      <w:r>
        <w:rPr>
          <w:rFonts w:ascii="宋体" w:hAnsi="宋体" w:eastAsia="宋体"/>
          <w:sz w:val="28"/>
        </w:rPr>
        <w:t>三、信息源与核查方法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采用真实数据接口（MCP）优先、权威公开网站兜底的核查方法，屏蔽百度/搜狗/360 百科、微信公众号及自媒体。</w:t>
      </w:r>
    </w:p>
    <w:p>
      <w:pPr>
        <w:pStyle w:val="Heading2"/>
      </w:pPr>
      <w:r>
        <w:rPr>
          <w:rFonts w:ascii="宋体" w:hAnsi="宋体" w:eastAsia="宋体"/>
          <w:sz w:val="28"/>
        </w:rPr>
        <w:t>四、局限性声明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本报告基于公开渠道信息，未获取公司内部台账；第三方数据存在更新延迟；标注「待核实」事项须以官方渠道核验为准。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第二节  主体识别（工商登记与画像）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r>
              <w:t>法定全称</w:t>
            </w:r>
          </w:p>
        </w:tc>
        <w:tc>
          <w:tcPr>
            <w:tcW w:type="dxa" w:w="4703"/>
            <w:vAlign w:val="center"/>
          </w:tcPr>
          <w:p>
            <w:r>
              <w:t>苏州仕净科技股份有限公司</w:t>
            </w:r>
          </w:p>
        </w:tc>
      </w:tr>
      <w:tr>
        <w:tc>
          <w:tcPr>
            <w:tcW w:type="dxa" w:w="4703"/>
            <w:vAlign w:val="center"/>
          </w:tcPr>
          <w:p>
            <w:r>
              <w:t>统一社会信用代码</w:t>
            </w:r>
          </w:p>
        </w:tc>
        <w:tc>
          <w:tcPr>
            <w:tcW w:type="dxa" w:w="4703"/>
            <w:vAlign w:val="center"/>
          </w:tcPr>
          <w:p>
            <w:r>
              <w:t>91320500773222051M</w:t>
            </w:r>
          </w:p>
        </w:tc>
      </w:tr>
      <w:tr>
        <w:tc>
          <w:tcPr>
            <w:tcW w:type="dxa" w:w="4703"/>
            <w:vAlign w:val="center"/>
          </w:tcPr>
          <w:p>
            <w:r>
              <w:t>法定代表人</w:t>
            </w:r>
          </w:p>
        </w:tc>
        <w:tc>
          <w:tcPr>
            <w:tcW w:type="dxa" w:w="4703"/>
            <w:vAlign w:val="center"/>
          </w:tcPr>
          <w:p>
            <w:r>
              <w:t>刘太玉</w:t>
            </w:r>
          </w:p>
        </w:tc>
      </w:tr>
      <w:tr>
        <w:tc>
          <w:tcPr>
            <w:tcW w:type="dxa" w:w="4703"/>
            <w:vAlign w:val="center"/>
          </w:tcPr>
          <w:p>
            <w:r>
              <w:t>成立日期</w:t>
            </w:r>
          </w:p>
        </w:tc>
        <w:tc>
          <w:tcPr>
            <w:tcW w:type="dxa" w:w="4703"/>
            <w:vAlign w:val="center"/>
          </w:tcPr>
          <w:p>
            <w:r>
              <w:t>2005-04-11</w:t>
            </w:r>
          </w:p>
        </w:tc>
      </w:tr>
      <w:tr>
        <w:tc>
          <w:tcPr>
            <w:tcW w:type="dxa" w:w="4703"/>
            <w:vAlign w:val="center"/>
          </w:tcPr>
          <w:p>
            <w:r>
              <w:t>注册资本</w:t>
            </w:r>
          </w:p>
        </w:tc>
        <w:tc>
          <w:tcPr>
            <w:tcW w:type="dxa" w:w="4703"/>
            <w:vAlign w:val="center"/>
          </w:tcPr>
          <w:p>
            <w:r>
              <w:t>20,238.333 万元</w:t>
            </w:r>
          </w:p>
        </w:tc>
      </w:tr>
      <w:tr>
        <w:tc>
          <w:tcPr>
            <w:tcW w:type="dxa" w:w="4703"/>
            <w:vAlign w:val="center"/>
          </w:tcPr>
          <w:p>
            <w:r>
              <w:t>登记状态</w:t>
            </w:r>
          </w:p>
        </w:tc>
        <w:tc>
          <w:tcPr>
            <w:tcW w:type="dxa" w:w="4703"/>
            <w:vAlign w:val="center"/>
          </w:tcPr>
          <w:p>
            <w:r>
              <w:t>在业</w:t>
            </w:r>
          </w:p>
        </w:tc>
      </w:tr>
      <w:tr>
        <w:tc>
          <w:tcPr>
            <w:tcW w:type="dxa" w:w="4703"/>
            <w:vAlign w:val="center"/>
          </w:tcPr>
          <w:p>
            <w:r>
              <w:t>企业类型</w:t>
            </w:r>
          </w:p>
        </w:tc>
        <w:tc>
          <w:tcPr>
            <w:tcW w:type="dxa" w:w="4703"/>
            <w:vAlign w:val="center"/>
          </w:tcPr>
          <w:p>
            <w:r>
              <w:t>股份有限公司（上市、自然人投资或控股）</w:t>
            </w:r>
          </w:p>
        </w:tc>
      </w:tr>
      <w:tr>
        <w:tc>
          <w:tcPr>
            <w:tcW w:type="dxa" w:w="4703"/>
            <w:vAlign w:val="center"/>
          </w:tcPr>
          <w:p>
            <w:r>
              <w:t>登记机关</w:t>
            </w:r>
          </w:p>
        </w:tc>
        <w:tc>
          <w:tcPr>
            <w:tcW w:type="dxa" w:w="4703"/>
            <w:vAlign w:val="center"/>
          </w:tcPr>
          <w:p>
            <w:r>
              <w:t>苏州市数据局</w:t>
            </w:r>
          </w:p>
        </w:tc>
      </w:tr>
      <w:tr>
        <w:tc>
          <w:tcPr>
            <w:tcW w:type="dxa" w:w="4703"/>
            <w:vAlign w:val="center"/>
          </w:tcPr>
          <w:p>
            <w:r>
              <w:t>注册地址</w:t>
            </w:r>
          </w:p>
        </w:tc>
        <w:tc>
          <w:tcPr>
            <w:tcW w:type="dxa" w:w="4703"/>
            <w:vAlign w:val="center"/>
          </w:tcPr>
          <w:p>
            <w:r>
              <w:t>苏州市相城区太平街道金瑞路58号</w:t>
            </w:r>
          </w:p>
        </w:tc>
      </w:tr>
      <w:tr>
        <w:tc>
          <w:tcPr>
            <w:tcW w:type="dxa" w:w="4703"/>
            <w:vAlign w:val="center"/>
          </w:tcPr>
          <w:p>
            <w:r>
              <w:t>国标行业</w:t>
            </w:r>
          </w:p>
        </w:tc>
        <w:tc>
          <w:tcPr>
            <w:tcW w:type="dxa" w:w="4703"/>
            <w:vAlign w:val="center"/>
          </w:tcPr>
          <w:p>
            <w:r>
              <w:t>制造业-专用设备制造业-环境保护专用设备制造</w:t>
            </w:r>
          </w:p>
        </w:tc>
      </w:tr>
      <w:tr>
        <w:tc>
          <w:tcPr>
            <w:tcW w:type="dxa" w:w="4703"/>
            <w:vAlign w:val="center"/>
          </w:tcPr>
          <w:p>
            <w:r>
              <w:t>人员规模</w:t>
            </w:r>
          </w:p>
        </w:tc>
        <w:tc>
          <w:tcPr>
            <w:tcW w:type="dxa" w:w="4703"/>
            <w:vAlign w:val="center"/>
          </w:tcPr>
          <w:p>
            <w:r>
              <w:t>100-199人，参保约152人</w:t>
            </w:r>
          </w:p>
        </w:tc>
      </w:tr>
    </w:tbl>
    <w:p>
      <w:pPr>
        <w:ind w:left="340"/>
      </w:pPr>
      <w:r>
        <w:rPr>
          <w:rFonts w:ascii="楷体" w:hAnsi="楷体" w:eastAsia="楷体"/>
          <w:sz w:val="18"/>
        </w:rPr>
        <w:t xml:space="preserve">  工商登记信息（来源：</w:t>
      </w:r>
      <w:hyperlink r:id="rId11">
        <w:r>
          <w:rPr>
            <w:color w:val="0563C1"/>
            <w:u w:val="single"/>
          </w:rPr>
          <w:t xml:space="preserve">https://www.gsxt.gov.cn/</w:t>
        </w:r>
      </w:hyperlink>
      <w:r>
        <w:rPr>
          <w:rFonts w:ascii="楷体" w:hAnsi="楷体" w:eastAsia="楷体"/>
          <w:sz w:val="18"/>
        </w:rPr>
        <w:t>）</w:t>
      </w:r>
    </w:p>
    <w:p>
      <w:pPr>
        <w:pStyle w:val="Heading2"/>
      </w:pPr>
      <w:r>
        <w:rPr>
          <w:rFonts w:ascii="宋体" w:hAnsi="宋体" w:eastAsia="宋体"/>
          <w:sz w:val="28"/>
        </w:rPr>
        <w:t>二、上市基本信息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70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r>
              <w:t>证券简称/代码</w:t>
            </w:r>
          </w:p>
        </w:tc>
        <w:tc>
          <w:tcPr>
            <w:tcW w:type="dxa" w:w="4703"/>
            <w:vAlign w:val="center"/>
          </w:tcPr>
          <w:p>
            <w:r>
              <w:t>*ST仕净 / 301030</w:t>
            </w:r>
          </w:p>
        </w:tc>
      </w:tr>
      <w:tr>
        <w:tc>
          <w:tcPr>
            <w:tcW w:type="dxa" w:w="4703"/>
            <w:vAlign w:val="center"/>
          </w:tcPr>
          <w:p>
            <w:r>
              <w:t>交易所/板块</w:t>
            </w:r>
          </w:p>
        </w:tc>
        <w:tc>
          <w:tcPr>
            <w:tcW w:type="dxa" w:w="4703"/>
            <w:vAlign w:val="center"/>
          </w:tcPr>
          <w:p>
            <w:r>
              <w:t>深圳证券交易所 / 创业板</w:t>
            </w:r>
          </w:p>
        </w:tc>
      </w:tr>
      <w:tr>
        <w:tc>
          <w:tcPr>
            <w:tcW w:type="dxa" w:w="4703"/>
            <w:vAlign w:val="center"/>
          </w:tcPr>
          <w:p>
            <w:r>
              <w:t>上市日期</w:t>
            </w:r>
          </w:p>
        </w:tc>
        <w:tc>
          <w:tcPr>
            <w:tcW w:type="dxa" w:w="4703"/>
            <w:vAlign w:val="center"/>
          </w:tcPr>
          <w:p>
            <w:r>
              <w:t>2021-07-22</w:t>
            </w:r>
          </w:p>
        </w:tc>
      </w:tr>
      <w:tr>
        <w:tc>
          <w:tcPr>
            <w:tcW w:type="dxa" w:w="4703"/>
            <w:vAlign w:val="center"/>
          </w:tcPr>
          <w:p>
            <w:r>
              <w:t>总市值</w:t>
            </w:r>
          </w:p>
        </w:tc>
        <w:tc>
          <w:tcPr>
            <w:tcW w:type="dxa" w:w="4703"/>
            <w:vAlign w:val="center"/>
          </w:tcPr>
          <w:p>
            <w:r>
              <w:t>约13.11亿元</w:t>
            </w:r>
          </w:p>
        </w:tc>
      </w:tr>
      <w:tr>
        <w:tc>
          <w:tcPr>
            <w:tcW w:type="dxa" w:w="4703"/>
            <w:vAlign w:val="center"/>
          </w:tcPr>
          <w:p>
            <w:r>
              <w:t>总股本</w:t>
            </w:r>
          </w:p>
        </w:tc>
        <w:tc>
          <w:tcPr>
            <w:tcW w:type="dxa" w:w="4703"/>
            <w:vAlign w:val="center"/>
          </w:tcPr>
          <w:p>
            <w:r>
              <w:t>约2.02亿股</w:t>
            </w:r>
          </w:p>
        </w:tc>
      </w:tr>
    </w:tbl>
    <w:p>
      <w:pPr>
        <w:pStyle w:val="Heading2"/>
      </w:pPr>
      <w:r>
        <w:rPr>
          <w:rFonts w:ascii="宋体" w:hAnsi="宋体" w:eastAsia="宋体"/>
          <w:sz w:val="28"/>
        </w:rPr>
        <w:t>三、主体资格判断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目标公司系依法设立并有效存续的股份有限公司，具备签订委托合同的主体资格；但已进入预重整程序，对外签约受程序限制。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第三节  数据对齐基准表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对关键字段收敛多源口径冲突，输出权威基准值。优先级：政府登记 &gt; 交易所/证监会 &gt; 一手公告 &gt; 法院文书 &gt; 权威媒体 &gt; 商业数据库。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权威基准值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时点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冲突说明</w:t>
            </w:r>
          </w:p>
        </w:tc>
      </w:tr>
      <w:tr>
        <w:tc>
          <w:tcPr>
            <w:tcW w:type="dxa" w:w="1881"/>
            <w:vAlign w:val="center"/>
          </w:tcPr>
          <w:p>
            <w:r>
              <w:t>统一社会信用代码</w:t>
            </w:r>
          </w:p>
        </w:tc>
        <w:tc>
          <w:tcPr>
            <w:tcW w:type="dxa" w:w="1881"/>
            <w:vAlign w:val="center"/>
          </w:tcPr>
          <w:p>
            <w:r>
              <w:t>91320500773222051M</w:t>
            </w:r>
          </w:p>
        </w:tc>
        <w:tc>
          <w:tcPr>
            <w:tcW w:type="dxa" w:w="1881"/>
            <w:vAlign w:val="center"/>
          </w:tcPr>
          <w:p>
            <w:r>
              <w:t>国家企业信用信息公示系统</w:t>
            </w:r>
          </w:p>
        </w:tc>
        <w:tc>
          <w:tcPr>
            <w:tcW w:type="dxa" w:w="1881"/>
            <w:vAlign w:val="center"/>
          </w:tcPr>
          <w:p>
            <w:r>
              <w:t>2026-09-19</w:t>
            </w:r>
          </w:p>
        </w:tc>
        <w:tc>
          <w:tcPr>
            <w:tcW w:type="dxa" w:w="1881"/>
            <w:vAlign w:val="center"/>
          </w:tcPr>
          <w:p>
            <w:r>
              <w:t>早期生成版本曾出现编造值 91320500566893154L，已纠正</w:t>
            </w:r>
          </w:p>
        </w:tc>
      </w:tr>
      <w:tr>
        <w:tc>
          <w:tcPr>
            <w:tcW w:type="dxa" w:w="1881"/>
            <w:vAlign w:val="center"/>
          </w:tcPr>
          <w:p>
            <w:r>
              <w:t>法定代表人</w:t>
            </w:r>
          </w:p>
        </w:tc>
        <w:tc>
          <w:tcPr>
            <w:tcW w:type="dxa" w:w="1881"/>
            <w:vAlign w:val="center"/>
          </w:tcPr>
          <w:p>
            <w:r>
              <w:t>刘太玉</w:t>
            </w:r>
          </w:p>
        </w:tc>
        <w:tc>
          <w:tcPr>
            <w:tcW w:type="dxa" w:w="1881"/>
            <w:vAlign w:val="center"/>
          </w:tcPr>
          <w:p>
            <w:r>
              <w:t>国家企业信用信息公示系统</w:t>
            </w:r>
          </w:p>
        </w:tc>
        <w:tc>
          <w:tcPr>
            <w:tcW w:type="dxa" w:w="1881"/>
            <w:vAlign w:val="center"/>
          </w:tcPr>
          <w:p>
            <w:r>
              <w:t>2026-09-19</w:t>
            </w:r>
          </w:p>
        </w:tc>
        <w:tc>
          <w:tcPr>
            <w:tcW w:type="dxa" w:w="1881"/>
            <w:vAlign w:val="center"/>
          </w:tcPr>
          <w:p>
            <w:r>
              <w:t>2025年内两次变更：1月朱叶→董仕宏，9月董仕宏→刘太玉</w:t>
            </w:r>
          </w:p>
        </w:tc>
      </w:tr>
      <w:tr>
        <w:tc>
          <w:tcPr>
            <w:tcW w:type="dxa" w:w="1881"/>
            <w:vAlign w:val="center"/>
          </w:tcPr>
          <w:p>
            <w:r>
              <w:t>成立日期</w:t>
            </w:r>
          </w:p>
        </w:tc>
        <w:tc>
          <w:tcPr>
            <w:tcW w:type="dxa" w:w="1881"/>
            <w:vAlign w:val="center"/>
          </w:tcPr>
          <w:p>
            <w:r>
              <w:t>2005-04-11</w:t>
            </w:r>
          </w:p>
        </w:tc>
        <w:tc>
          <w:tcPr>
            <w:tcW w:type="dxa" w:w="1881"/>
            <w:vAlign w:val="center"/>
          </w:tcPr>
          <w:p>
            <w:r>
              <w:t>国家企业信用信息公示系统</w:t>
            </w:r>
          </w:p>
        </w:tc>
        <w:tc>
          <w:tcPr>
            <w:tcW w:type="dxa" w:w="1881"/>
            <w:vAlign w:val="center"/>
          </w:tcPr>
          <w:p>
            <w:r>
              <w:t>2026-09-19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注册资本</w:t>
            </w:r>
          </w:p>
        </w:tc>
        <w:tc>
          <w:tcPr>
            <w:tcW w:type="dxa" w:w="1881"/>
            <w:vAlign w:val="center"/>
          </w:tcPr>
          <w:p>
            <w:r>
              <w:t>20,238.333 万元</w:t>
            </w:r>
          </w:p>
        </w:tc>
        <w:tc>
          <w:tcPr>
            <w:tcW w:type="dxa" w:w="1881"/>
            <w:vAlign w:val="center"/>
          </w:tcPr>
          <w:p>
            <w:r>
              <w:t>国家企业信用信息公示系统</w:t>
            </w:r>
          </w:p>
        </w:tc>
        <w:tc>
          <w:tcPr>
            <w:tcW w:type="dxa" w:w="1881"/>
            <w:vAlign w:val="center"/>
          </w:tcPr>
          <w:p>
            <w:r>
              <w:t>2026-09-19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实控人持股</w:t>
            </w:r>
          </w:p>
        </w:tc>
        <w:tc>
          <w:tcPr>
            <w:tcW w:type="dxa" w:w="1881"/>
            <w:vAlign w:val="center"/>
          </w:tcPr>
          <w:p>
            <w:r>
              <w:t>朱叶15.64%、叶小红4.27%、董仕宏0.0419%（一致行动合计约19.95%）</w:t>
            </w:r>
          </w:p>
        </w:tc>
        <w:tc>
          <w:tcPr>
            <w:tcW w:type="dxa" w:w="1881"/>
            <w:vAlign w:val="center"/>
          </w:tcPr>
          <w:p>
            <w:r>
              <w:t>2026年半年度报告</w:t>
            </w:r>
          </w:p>
        </w:tc>
        <w:tc>
          <w:tcPr>
            <w:tcW w:type="dxa" w:w="1881"/>
            <w:vAlign w:val="center"/>
          </w:tcPr>
          <w:p>
            <w:r>
              <w:t>2026-06-30</w:t>
            </w:r>
          </w:p>
        </w:tc>
        <w:tc>
          <w:tcPr>
            <w:tcW w:type="dxa" w:w="1881"/>
            <w:vAlign w:val="center"/>
          </w:tcPr>
          <w:p>
            <w:r>
              <w:t>另有口径「合计14.96%」（2025-09质押违约转让4.99%后），属时点差异，以半年报为准</w:t>
            </w:r>
          </w:p>
        </w:tc>
      </w:tr>
      <w:tr>
        <w:tc>
          <w:tcPr>
            <w:tcW w:type="dxa" w:w="1881"/>
            <w:vAlign w:val="center"/>
          </w:tcPr>
          <w:p>
            <w:r>
              <w:t>净资产</w:t>
            </w:r>
          </w:p>
        </w:tc>
        <w:tc>
          <w:tcPr>
            <w:tcW w:type="dxa" w:w="1881"/>
            <w:vAlign w:val="center"/>
          </w:tcPr>
          <w:p>
            <w:r>
              <w:t>2025年末 -4.44亿元；2026年6月末归母 -11.59亿元</w:t>
            </w:r>
          </w:p>
        </w:tc>
        <w:tc>
          <w:tcPr>
            <w:tcW w:type="dxa" w:w="1881"/>
            <w:vAlign w:val="center"/>
          </w:tcPr>
          <w:p>
            <w:r>
              <w:t>2025年年报 / 2026年半年报</w:t>
            </w:r>
          </w:p>
        </w:tc>
        <w:tc>
          <w:tcPr>
            <w:tcW w:type="dxa" w:w="1881"/>
            <w:vAlign w:val="center"/>
          </w:tcPr>
          <w:p>
            <w:r>
              <w:t>2026-06-30</w:t>
            </w:r>
          </w:p>
        </w:tc>
        <w:tc>
          <w:tcPr>
            <w:tcW w:type="dxa" w:w="1881"/>
            <w:vAlign w:val="center"/>
          </w:tcPr>
          <w:p>
            <w:r>
              <w:t>年报口径-4.44亿与早期-4.67亿口径差异，采用年报「主要会计数据」章节</w:t>
            </w:r>
          </w:p>
        </w:tc>
      </w:tr>
      <w:tr>
        <w:tc>
          <w:tcPr>
            <w:tcW w:type="dxa" w:w="1881"/>
            <w:vAlign w:val="center"/>
          </w:tcPr>
          <w:p>
            <w:r>
              <w:t>2025年营业收入</w:t>
            </w:r>
          </w:p>
        </w:tc>
        <w:tc>
          <w:tcPr>
            <w:tcW w:type="dxa" w:w="1881"/>
            <w:vAlign w:val="center"/>
          </w:tcPr>
          <w:p>
            <w:r>
              <w:t>6.16亿元（同比-69.81%）</w:t>
            </w:r>
          </w:p>
        </w:tc>
        <w:tc>
          <w:tcPr>
            <w:tcW w:type="dxa" w:w="1881"/>
            <w:vAlign w:val="center"/>
          </w:tcPr>
          <w:p>
            <w:r>
              <w:t>2025年年报「主要会计数据」</w:t>
            </w:r>
          </w:p>
        </w:tc>
        <w:tc>
          <w:tcPr>
            <w:tcW w:type="dxa" w:w="1881"/>
            <w:vAlign w:val="center"/>
          </w:tcPr>
          <w:p>
            <w:r>
              <w:t>2026-04-30</w:t>
            </w:r>
          </w:p>
        </w:tc>
        <w:tc>
          <w:tcPr>
            <w:tcW w:type="dxa" w:w="1881"/>
            <w:vAlign w:val="center"/>
          </w:tcPr>
          <w:p>
            <w:r>
              <w:t>年报「重要提示」章节为11.49亿元，两套口径差异5.33亿，已作为内控缺陷列入风险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18"/>
        </w:rPr>
        <w:t>注：上表已纠正早期版本中「统一社会信用代码」等字段的编造值，统一以国家企业信用信息公示系统为准。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第四节  股权结构与公司治理</w:t>
      </w:r>
    </w:p>
    <w:p>
      <w:pPr>
        <w:pStyle w:val="Heading2"/>
      </w:pPr>
      <w:r>
        <w:rPr>
          <w:rFonts w:ascii="宋体" w:hAnsi="宋体" w:eastAsia="宋体"/>
          <w:sz w:val="28"/>
        </w:rPr>
        <w:t>一、前十大股东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</w:rPr>
              <w:t>股东名称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性质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持股比例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持股数(股)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881"/>
            <w:vAlign w:val="center"/>
          </w:tcPr>
          <w:p>
            <w:r>
              <w:t>朱叶</w:t>
            </w:r>
          </w:p>
        </w:tc>
        <w:tc>
          <w:tcPr>
            <w:tcW w:type="dxa" w:w="1881"/>
            <w:vAlign w:val="center"/>
          </w:tcPr>
          <w:p>
            <w:r>
              <w:t>控股股东/实控人</w:t>
            </w:r>
          </w:p>
        </w:tc>
        <w:tc>
          <w:tcPr>
            <w:tcW w:type="dxa" w:w="1881"/>
            <w:vAlign w:val="center"/>
          </w:tcPr>
          <w:p>
            <w:r>
              <w:t>15.64%</w:t>
            </w:r>
          </w:p>
        </w:tc>
        <w:tc>
          <w:tcPr>
            <w:tcW w:type="dxa" w:w="1881"/>
            <w:vAlign w:val="center"/>
          </w:tcPr>
          <w:p>
            <w:r>
              <w:t>31,646,790</w:t>
            </w:r>
          </w:p>
        </w:tc>
        <w:tc>
          <w:tcPr>
            <w:tcW w:type="dxa" w:w="1881"/>
            <w:vAlign w:val="center"/>
          </w:tcPr>
          <w:p>
            <w:r>
              <w:t>股份97.8%被司法冻结，质押违约后被动减持</w:t>
            </w:r>
          </w:p>
        </w:tc>
      </w:tr>
      <w:tr>
        <w:tc>
          <w:tcPr>
            <w:tcW w:type="dxa" w:w="1881"/>
            <w:vAlign w:val="center"/>
          </w:tcPr>
          <w:p>
            <w:r>
              <w:t>山东江诣创业投资有限公司</w:t>
            </w:r>
          </w:p>
        </w:tc>
        <w:tc>
          <w:tcPr>
            <w:tcW w:type="dxa" w:w="1881"/>
            <w:vAlign w:val="center"/>
          </w:tcPr>
          <w:p>
            <w:r>
              <w:t>第二大股东</w:t>
            </w:r>
          </w:p>
        </w:tc>
        <w:tc>
          <w:tcPr>
            <w:tcW w:type="dxa" w:w="1881"/>
            <w:vAlign w:val="center"/>
          </w:tcPr>
          <w:p>
            <w:r>
              <w:t>9.69%</w:t>
            </w:r>
          </w:p>
        </w:tc>
        <w:tc>
          <w:tcPr>
            <w:tcW w:type="dxa" w:w="1881"/>
            <w:vAlign w:val="center"/>
          </w:tcPr>
          <w:p>
            <w:r>
              <w:t>19,607,000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叶小红</w:t>
            </w:r>
          </w:p>
        </w:tc>
        <w:tc>
          <w:tcPr>
            <w:tcW w:type="dxa" w:w="1881"/>
            <w:vAlign w:val="center"/>
          </w:tcPr>
          <w:p>
            <w:r>
              <w:t>实控人（朱叶之母）</w:t>
            </w:r>
          </w:p>
        </w:tc>
        <w:tc>
          <w:tcPr>
            <w:tcW w:type="dxa" w:w="1881"/>
            <w:vAlign w:val="center"/>
          </w:tcPr>
          <w:p>
            <w:r>
              <w:t>4.27%</w:t>
            </w:r>
          </w:p>
        </w:tc>
        <w:tc>
          <w:tcPr>
            <w:tcW w:type="dxa" w:w="1881"/>
            <w:vAlign w:val="center"/>
          </w:tcPr>
          <w:p>
            <w:r>
              <w:t>8,633,870</w:t>
            </w:r>
          </w:p>
        </w:tc>
        <w:tc>
          <w:tcPr>
            <w:tcW w:type="dxa" w:w="1881"/>
            <w:vAlign w:val="center"/>
          </w:tcPr>
          <w:p>
            <w:r>
              <w:t>股份被司法再冻结，质押用途为上市公司借款担保</w:t>
            </w:r>
          </w:p>
        </w:tc>
      </w:tr>
      <w:tr>
        <w:tc>
          <w:tcPr>
            <w:tcW w:type="dxa" w:w="1881"/>
            <w:vAlign w:val="center"/>
          </w:tcPr>
          <w:p>
            <w:r>
              <w:t>陈国诗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1.12%</w:t>
            </w:r>
          </w:p>
        </w:tc>
        <w:tc>
          <w:tcPr>
            <w:tcW w:type="dxa" w:w="1881"/>
            <w:vAlign w:val="center"/>
          </w:tcPr>
          <w:p>
            <w:r>
              <w:t>2,270,093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陆丽红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0.90%</w:t>
            </w:r>
          </w:p>
        </w:tc>
        <w:tc>
          <w:tcPr>
            <w:tcW w:type="dxa" w:w="1881"/>
            <w:vAlign w:val="center"/>
          </w:tcPr>
          <w:p>
            <w:r>
              <w:t>1,830,600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赵浙军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0.80%</w:t>
            </w:r>
          </w:p>
        </w:tc>
        <w:tc>
          <w:tcPr>
            <w:tcW w:type="dxa" w:w="1881"/>
            <w:vAlign w:val="center"/>
          </w:tcPr>
          <w:p>
            <w:r>
              <w:t>1,628,100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郭永山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0.75%</w:t>
            </w:r>
          </w:p>
        </w:tc>
        <w:tc>
          <w:tcPr>
            <w:tcW w:type="dxa" w:w="1881"/>
            <w:vAlign w:val="center"/>
          </w:tcPr>
          <w:p>
            <w:r>
              <w:t>1,524,800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杨占伟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0.57%</w:t>
            </w:r>
          </w:p>
        </w:tc>
        <w:tc>
          <w:tcPr>
            <w:tcW w:type="dxa" w:w="1881"/>
            <w:vAlign w:val="center"/>
          </w:tcPr>
          <w:p>
            <w:r>
              <w:t>1,152,700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王德波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0.56%</w:t>
            </w:r>
          </w:p>
        </w:tc>
        <w:tc>
          <w:tcPr>
            <w:tcW w:type="dxa" w:w="1881"/>
            <w:vAlign w:val="center"/>
          </w:tcPr>
          <w:p>
            <w:r>
              <w:t>1,140,000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  <w:tr>
        <w:tc>
          <w:tcPr>
            <w:tcW w:type="dxa" w:w="1881"/>
            <w:vAlign w:val="center"/>
          </w:tcPr>
          <w:p>
            <w:r>
              <w:t>王三矛</w:t>
            </w:r>
          </w:p>
        </w:tc>
        <w:tc>
          <w:tcPr>
            <w:tcW w:type="dxa" w:w="1881"/>
            <w:vAlign w:val="center"/>
          </w:tcPr>
          <w:p>
            <w:r>
              <w:t>股东</w:t>
            </w:r>
          </w:p>
        </w:tc>
        <w:tc>
          <w:tcPr>
            <w:tcW w:type="dxa" w:w="1881"/>
            <w:vAlign w:val="center"/>
          </w:tcPr>
          <w:p>
            <w:r>
              <w:t>0.55%</w:t>
            </w:r>
          </w:p>
        </w:tc>
        <w:tc>
          <w:tcPr>
            <w:tcW w:type="dxa" w:w="1881"/>
            <w:vAlign w:val="center"/>
          </w:tcPr>
          <w:p>
            <w:r>
              <w:t>1,120,400</w:t>
            </w:r>
          </w:p>
        </w:tc>
        <w:tc>
          <w:tcPr>
            <w:tcW w:type="dxa" w:w="1881"/>
            <w:vAlign w:val="center"/>
          </w:tcPr>
          <w:p>
            <w:r/>
          </w:p>
        </w:tc>
      </w:tr>
    </w:tbl>
    <w:p>
      <w:pPr>
        <w:pStyle w:val="Heading2"/>
      </w:pPr>
      <w:r>
        <w:rPr>
          <w:rFonts w:ascii="宋体" w:hAnsi="宋体" w:eastAsia="宋体"/>
          <w:sz w:val="28"/>
        </w:rPr>
        <w:t>二、董监高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职务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持股比例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351"/>
            <w:vAlign w:val="center"/>
          </w:tcPr>
          <w:p>
            <w:r>
              <w:t>董仕宏</w:t>
            </w:r>
          </w:p>
        </w:tc>
        <w:tc>
          <w:tcPr>
            <w:tcW w:type="dxa" w:w="2351"/>
            <w:vAlign w:val="center"/>
          </w:tcPr>
          <w:p>
            <w:r>
              <w:t>董事长、非独立董事</w:t>
            </w:r>
          </w:p>
        </w:tc>
        <w:tc>
          <w:tcPr>
            <w:tcW w:type="dxa" w:w="2351"/>
            <w:vAlign w:val="center"/>
          </w:tcPr>
          <w:p>
            <w:r>
              <w:t>0.0419%</w:t>
            </w:r>
          </w:p>
        </w:tc>
        <w:tc>
          <w:tcPr>
            <w:tcW w:type="dxa" w:w="2351"/>
            <w:vAlign w:val="center"/>
          </w:tcPr>
          <w:p>
            <w:r>
              <w:t>实控人之一，被深交所公开谴责</w:t>
            </w:r>
          </w:p>
        </w:tc>
      </w:tr>
      <w:tr>
        <w:tc>
          <w:tcPr>
            <w:tcW w:type="dxa" w:w="2351"/>
            <w:vAlign w:val="center"/>
          </w:tcPr>
          <w:p>
            <w:r>
              <w:t>刘太玉</w:t>
            </w:r>
          </w:p>
        </w:tc>
        <w:tc>
          <w:tcPr>
            <w:tcW w:type="dxa" w:w="2351"/>
            <w:vAlign w:val="center"/>
          </w:tcPr>
          <w:p>
            <w:r>
              <w:t>总经理、代理财务总监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  <w:tc>
          <w:tcPr>
            <w:tcW w:type="dxa" w:w="2351"/>
            <w:vAlign w:val="center"/>
          </w:tcPr>
          <w:p>
            <w:r>
              <w:t>法定代表人，被深交所公开谴责，个人责任风险集中</w:t>
            </w:r>
          </w:p>
        </w:tc>
      </w:tr>
      <w:tr>
        <w:tc>
          <w:tcPr>
            <w:tcW w:type="dxa" w:w="2351"/>
            <w:vAlign w:val="center"/>
          </w:tcPr>
          <w:p>
            <w:r>
              <w:t>杨宝龙</w:t>
            </w:r>
          </w:p>
        </w:tc>
        <w:tc>
          <w:tcPr>
            <w:tcW w:type="dxa" w:w="2351"/>
            <w:vAlign w:val="center"/>
          </w:tcPr>
          <w:p>
            <w:r>
              <w:t>副总经理、董事会秘书</w:t>
            </w:r>
          </w:p>
        </w:tc>
        <w:tc>
          <w:tcPr>
            <w:tcW w:type="dxa" w:w="2351"/>
            <w:vAlign w:val="center"/>
          </w:tcPr>
          <w:p>
            <w:r>
              <w:t>0.0216%</w:t>
            </w:r>
          </w:p>
        </w:tc>
        <w:tc>
          <w:tcPr>
            <w:tcW w:type="dxa" w:w="2351"/>
            <w:vAlign w:val="center"/>
          </w:tcPr>
          <w:p>
            <w:r>
              <w:t>信披第一责任人，被通报批评，第一接触点</w:t>
            </w:r>
          </w:p>
        </w:tc>
      </w:tr>
      <w:tr>
        <w:tc>
          <w:tcPr>
            <w:tcW w:type="dxa" w:w="2351"/>
            <w:vAlign w:val="center"/>
          </w:tcPr>
          <w:p>
            <w:r>
              <w:t>张世忠</w:t>
            </w:r>
          </w:p>
        </w:tc>
        <w:tc>
          <w:tcPr>
            <w:tcW w:type="dxa" w:w="2351"/>
            <w:vAlign w:val="center"/>
          </w:tcPr>
          <w:p>
            <w:r>
              <w:t>非独立董事、副总经理</w:t>
            </w:r>
          </w:p>
        </w:tc>
        <w:tc>
          <w:tcPr>
            <w:tcW w:type="dxa" w:w="2351"/>
            <w:vAlign w:val="center"/>
          </w:tcPr>
          <w:p>
            <w:r>
              <w:t>0.0986%</w:t>
            </w:r>
          </w:p>
        </w:tc>
        <w:tc>
          <w:tcPr>
            <w:tcW w:type="dxa" w:w="2351"/>
            <w:vAlign w:val="center"/>
          </w:tcPr>
          <w:p>
            <w:r/>
          </w:p>
        </w:tc>
      </w:tr>
      <w:tr>
        <w:tc>
          <w:tcPr>
            <w:tcW w:type="dxa" w:w="2351"/>
            <w:vAlign w:val="center"/>
          </w:tcPr>
          <w:p>
            <w:r>
              <w:t>张永强</w:t>
            </w:r>
          </w:p>
        </w:tc>
        <w:tc>
          <w:tcPr>
            <w:tcW w:type="dxa" w:w="2351"/>
            <w:vAlign w:val="center"/>
          </w:tcPr>
          <w:p>
            <w:r>
              <w:t>副总经理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  <w:tc>
          <w:tcPr>
            <w:tcW w:type="dxa" w:w="2351"/>
            <w:vAlign w:val="center"/>
          </w:tcPr>
          <w:p>
            <w:r/>
          </w:p>
        </w:tc>
      </w:tr>
      <w:tr>
        <w:tc>
          <w:tcPr>
            <w:tcW w:type="dxa" w:w="2351"/>
            <w:vAlign w:val="center"/>
          </w:tcPr>
          <w:p>
            <w:r>
              <w:t>徐小怗</w:t>
            </w:r>
          </w:p>
        </w:tc>
        <w:tc>
          <w:tcPr>
            <w:tcW w:type="dxa" w:w="2351"/>
            <w:vAlign w:val="center"/>
          </w:tcPr>
          <w:p>
            <w:r>
              <w:t>独立董事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  <w:tc>
          <w:tcPr>
            <w:tcW w:type="dxa" w:w="2351"/>
            <w:vAlign w:val="center"/>
          </w:tcPr>
          <w:p>
            <w:r/>
          </w:p>
        </w:tc>
      </w:tr>
      <w:tr>
        <w:tc>
          <w:tcPr>
            <w:tcW w:type="dxa" w:w="2351"/>
            <w:vAlign w:val="center"/>
          </w:tcPr>
          <w:p>
            <w:r>
              <w:t>冯会</w:t>
            </w:r>
          </w:p>
        </w:tc>
        <w:tc>
          <w:tcPr>
            <w:tcW w:type="dxa" w:w="2351"/>
            <w:vAlign w:val="center"/>
          </w:tcPr>
          <w:p>
            <w:r>
              <w:t>独立董事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  <w:tc>
          <w:tcPr>
            <w:tcW w:type="dxa" w:w="2351"/>
            <w:vAlign w:val="center"/>
          </w:tcPr>
          <w:p>
            <w:r>
              <w:t>治理整改同盟军</w:t>
            </w:r>
          </w:p>
        </w:tc>
      </w:tr>
    </w:tbl>
    <w:p>
      <w:pPr>
        <w:pStyle w:val="Heading2"/>
      </w:pPr>
      <w:r>
        <w:rPr>
          <w:rFonts w:ascii="宋体" w:hAnsi="宋体" w:eastAsia="宋体"/>
          <w:sz w:val="28"/>
        </w:rPr>
        <w:t>三、治理关注点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2025年内两次变更：2025-01 朱叶→董仕宏；2025-09 董仕宏→刘太玉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法定代表人一年内两次变更、审计机构「闪辞」、董事长/总经理/董秘集中受纪律处分，属人员稳定性的高风险信号。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第五节  财务与资信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2025</w:t>
            </w:r>
          </w:p>
        </w:tc>
        <w:tc>
          <w:tcPr>
            <w:tcW w:type="dxa" w:w="1881"/>
            <w:vAlign w:val="center"/>
          </w:tcPr>
          <w:p>
            <w:r>
              <w:rPr>
                <w:b/>
              </w:rPr>
              <w:t>2026中报</w:t>
            </w:r>
          </w:p>
        </w:tc>
      </w:tr>
      <w:tr>
        <w:tc>
          <w:tcPr>
            <w:tcW w:type="dxa" w:w="1881"/>
            <w:vAlign w:val="center"/>
          </w:tcPr>
          <w:p>
            <w:r>
              <w:t>营业收入(亿)</w:t>
            </w:r>
          </w:p>
        </w:tc>
        <w:tc>
          <w:tcPr>
            <w:tcW w:type="dxa" w:w="1881"/>
            <w:vAlign w:val="center"/>
          </w:tcPr>
          <w:p>
            <w:r>
              <w:t>34.43</w:t>
            </w:r>
          </w:p>
        </w:tc>
        <w:tc>
          <w:tcPr>
            <w:tcW w:type="dxa" w:w="1881"/>
            <w:vAlign w:val="center"/>
          </w:tcPr>
          <w:p>
            <w:r>
              <w:t>20.41</w:t>
            </w:r>
          </w:p>
        </w:tc>
        <w:tc>
          <w:tcPr>
            <w:tcW w:type="dxa" w:w="1881"/>
            <w:vAlign w:val="center"/>
          </w:tcPr>
          <w:p>
            <w:r>
              <w:t>6.16</w:t>
            </w:r>
          </w:p>
        </w:tc>
        <w:tc>
          <w:tcPr>
            <w:tcW w:type="dxa" w:w="1881"/>
            <w:vAlign w:val="center"/>
          </w:tcPr>
          <w:p>
            <w:r>
              <w:t>0.97</w:t>
            </w:r>
          </w:p>
        </w:tc>
      </w:tr>
      <w:tr>
        <w:tc>
          <w:tcPr>
            <w:tcW w:type="dxa" w:w="1881"/>
            <w:vAlign w:val="center"/>
          </w:tcPr>
          <w:p>
            <w:r>
              <w:t>归母净利润(亿)</w:t>
            </w:r>
          </w:p>
        </w:tc>
        <w:tc>
          <w:tcPr>
            <w:tcW w:type="dxa" w:w="1881"/>
            <w:vAlign w:val="center"/>
          </w:tcPr>
          <w:p>
            <w:r>
              <w:t>2.15</w:t>
            </w:r>
          </w:p>
        </w:tc>
        <w:tc>
          <w:tcPr>
            <w:tcW w:type="dxa" w:w="1881"/>
            <w:vAlign w:val="center"/>
          </w:tcPr>
          <w:p>
            <w:r>
              <w:t>-8.49</w:t>
            </w:r>
          </w:p>
        </w:tc>
        <w:tc>
          <w:tcPr>
            <w:tcW w:type="dxa" w:w="1881"/>
            <w:vAlign w:val="center"/>
          </w:tcPr>
          <w:p>
            <w:r>
              <w:t>-13.55</w:t>
            </w:r>
          </w:p>
        </w:tc>
        <w:tc>
          <w:tcPr>
            <w:tcW w:type="dxa" w:w="1881"/>
            <w:vAlign w:val="center"/>
          </w:tcPr>
          <w:p>
            <w:r>
              <w:t>-6.93</w:t>
            </w:r>
          </w:p>
        </w:tc>
      </w:tr>
      <w:tr>
        <w:tc>
          <w:tcPr>
            <w:tcW w:type="dxa" w:w="1881"/>
            <w:vAlign w:val="center"/>
          </w:tcPr>
          <w:p>
            <w:r>
              <w:t>净资产(亿)</w:t>
            </w:r>
          </w:p>
        </w:tc>
        <w:tc>
          <w:tcPr>
            <w:tcW w:type="dxa" w:w="1881"/>
            <w:vAlign w:val="center"/>
          </w:tcPr>
          <w:p>
            <w:r>
              <w:t>18.87</w:t>
            </w:r>
          </w:p>
        </w:tc>
        <w:tc>
          <w:tcPr>
            <w:tcW w:type="dxa" w:w="1881"/>
            <w:vAlign w:val="center"/>
          </w:tcPr>
          <w:p>
            <w:r>
              <w:t>9.01</w:t>
            </w:r>
          </w:p>
        </w:tc>
        <w:tc>
          <w:tcPr>
            <w:tcW w:type="dxa" w:w="1881"/>
            <w:vAlign w:val="center"/>
          </w:tcPr>
          <w:p>
            <w:r>
              <w:t>-4.44</w:t>
            </w:r>
          </w:p>
        </w:tc>
        <w:tc>
          <w:tcPr>
            <w:tcW w:type="dxa" w:w="1881"/>
            <w:vAlign w:val="center"/>
          </w:tcPr>
          <w:p>
            <w:r>
              <w:t>-11.59</w:t>
            </w:r>
          </w:p>
        </w:tc>
      </w:tr>
      <w:tr>
        <w:tc>
          <w:tcPr>
            <w:tcW w:type="dxa" w:w="1881"/>
            <w:vAlign w:val="center"/>
          </w:tcPr>
          <w:p>
            <w:r>
              <w:t>资产负债率</w:t>
            </w:r>
          </w:p>
        </w:tc>
        <w:tc>
          <w:tcPr>
            <w:tcW w:type="dxa" w:w="1881"/>
            <w:vAlign w:val="center"/>
          </w:tcPr>
          <w:p>
            <w:r>
              <w:t>75.70%</w:t>
            </w:r>
          </w:p>
        </w:tc>
        <w:tc>
          <w:tcPr>
            <w:tcW w:type="dxa" w:w="1881"/>
            <w:vAlign w:val="center"/>
          </w:tcPr>
          <w:p>
            <w:r>
              <w:t>90.94%</w:t>
            </w:r>
          </w:p>
        </w:tc>
        <w:tc>
          <w:tcPr>
            <w:tcW w:type="dxa" w:w="1881"/>
            <w:vAlign w:val="center"/>
          </w:tcPr>
          <w:p>
            <w:r>
              <w:t>105.49%</w:t>
            </w:r>
          </w:p>
        </w:tc>
        <w:tc>
          <w:tcPr>
            <w:tcW w:type="dxa" w:w="1881"/>
            <w:vAlign w:val="center"/>
          </w:tcPr>
          <w:p>
            <w:r>
              <w:t>115.59%</w:t>
            </w:r>
          </w:p>
        </w:tc>
      </w:tr>
    </w:tbl>
    <w:p>
      <w:pPr>
        <w:ind w:left="340"/>
      </w:pPr>
      <w:r>
        <w:rPr>
          <w:rFonts w:ascii="楷体" w:hAnsi="楷体" w:eastAsia="楷体"/>
          <w:sz w:val="18"/>
        </w:rPr>
        <w:t xml:space="preserve">  财务数据（来源：</w:t>
      </w:r>
      <w:hyperlink r:id="rId12">
        <w:r>
          <w:rPr>
            <w:color w:val="0563C1"/>
            <w:u w:val="single"/>
          </w:rPr>
          <w:t xml:space="preserve">https://www.cninfo.com.cn/</w:t>
        </w:r>
      </w:hyperlink>
      <w:r>
        <w:rPr>
          <w:rFonts w:ascii="楷体" w:hAnsi="楷体" w:eastAsia="楷体"/>
          <w:sz w:val="18"/>
        </w:rPr>
        <w:t>）</w:t>
      </w:r>
    </w:p>
    <w:p>
      <w:pPr>
        <w:pStyle w:val="Heading2"/>
      </w:pPr>
      <w:r>
        <w:rPr>
          <w:rFonts w:ascii="宋体" w:hAnsi="宋体" w:eastAsia="宋体"/>
          <w:sz w:val="28"/>
        </w:rPr>
        <w:t>二、审计意见与审计机构异动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2024年度审计：中审亚太（标准无保留意见）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2025年度审计：山东舜天信诚（无法表示意见）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2025内控审计：内部控制否定意见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审计机构变更：中审亚太(2024)→苏亚金诚(2026-01聘)→苏亚金诚2月辞任(闪辞)→山东舜天信诚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会计差错更正：2026-04-30披露前期会计差错更正，专项鉴证预计2026-10-31前完成</w:t>
      </w:r>
    </w:p>
    <w:p>
      <w:pPr>
        <w:pStyle w:val="Heading2"/>
      </w:pPr>
      <w:r>
        <w:rPr>
          <w:rFonts w:ascii="宋体" w:hAnsi="宋体" w:eastAsia="宋体"/>
          <w:sz w:val="28"/>
        </w:rPr>
        <w:t>三、支付能力结论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公司已资不抵债（2026年中报归母净资产 -11.59 亿元），经营现金流连续三年为负，已不具备以正常经营现金流支付律师费的客观能力。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第六节  风险扫描</w:t>
      </w:r>
    </w:p>
    <w:p>
      <w:pPr>
        <w:pStyle w:val="Heading2"/>
      </w:pPr>
      <w:r>
        <w:rPr>
          <w:rFonts w:ascii="宋体" w:hAnsi="宋体" w:eastAsia="宋体"/>
          <w:sz w:val="28"/>
        </w:rPr>
        <w:t>一、司法与执行风险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5 年内司法案件 413 起（民事 208、执行 186）；被告约为原告6.9倍。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高频案由：买卖合同纠纷、建设工程施工合同纠纷、票据追索权纠纷。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过去12个月34起诉讼仲裁，公司及子公司均为被告，未结涉案约4.06亿元</w:t>
      </w:r>
    </w:p>
    <w:p>
      <w:pPr>
        <w:ind w:left="340"/>
      </w:pPr>
      <w:r>
        <w:rPr>
          <w:rFonts w:ascii="楷体" w:hAnsi="楷体" w:eastAsia="楷体"/>
          <w:sz w:val="18"/>
        </w:rPr>
        <w:t xml:space="preserve">  司法风险（来源：</w:t>
      </w:r>
      <w:hyperlink r:id="rId13">
        <w:r>
          <w:rPr>
            <w:color w:val="0563C1"/>
            <w:u w:val="single"/>
          </w:rPr>
          <w:t xml:space="preserve">https://wenshu.court.gov.cn/</w:t>
        </w:r>
      </w:hyperlink>
      <w:r>
        <w:rPr>
          <w:rFonts w:ascii="楷体" w:hAnsi="楷体" w:eastAsia="楷体"/>
          <w:sz w:val="18"/>
        </w:rPr>
        <w:t>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失信被执行人 22 条、限制高消费 36 条、被执行人 32 条。</w:t>
      </w:r>
    </w:p>
    <w:p>
      <w:pPr>
        <w:ind w:left="340"/>
      </w:pPr>
      <w:r>
        <w:rPr>
          <w:rFonts w:ascii="楷体" w:hAnsi="楷体" w:eastAsia="楷体"/>
          <w:sz w:val="18"/>
        </w:rPr>
        <w:t xml:space="preserve">  执行信息（来源：</w:t>
      </w:r>
      <w:hyperlink r:id="rId14">
        <w:r>
          <w:rPr>
            <w:color w:val="0563C1"/>
            <w:u w:val="single"/>
          </w:rPr>
          <w:t xml:space="preserve">https://zxgk.court.gov.cn/</w:t>
        </w:r>
      </w:hyperlink>
      <w:r>
        <w:rPr>
          <w:rFonts w:ascii="楷体" w:hAnsi="楷体" w:eastAsia="楷体"/>
          <w:sz w:val="18"/>
        </w:rPr>
        <w:t>）</w:t>
      </w:r>
    </w:p>
    <w:p>
      <w:pPr>
        <w:pStyle w:val="Heading2"/>
      </w:pPr>
      <w:r>
        <w:rPr>
          <w:rFonts w:ascii="宋体" w:hAnsi="宋体" w:eastAsia="宋体"/>
          <w:sz w:val="28"/>
        </w:rPr>
        <w:t>二、破产与预重整风险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债权人申请：2026-04-27债权人常熟山木电器申请预重整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法院决定：2026-06-05苏州中院(2026)苏05破申18号之一《决定书》启动预重整，指定清算组为临时管理人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债权申报：2026-07-09债权申报截止（破栗子平台）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首轮招募：2026-06-26至07-16首轮招募，无意向投资人正式提交方案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二轮招募：2026-09-03至09-10重启招募，要求产业投资人（合并资产总额≥40亿、净资产≥10亿）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子公司：子公司安徽仕净光能2026-06-09被宁国市法院决定预重整</w:t>
      </w:r>
    </w:p>
    <w:p>
      <w:pPr>
        <w:ind w:left="340"/>
      </w:pPr>
      <w:r>
        <w:rPr>
          <w:rFonts w:ascii="楷体" w:hAnsi="楷体" w:eastAsia="楷体"/>
          <w:sz w:val="18"/>
        </w:rPr>
        <w:t xml:space="preserve">  预重整程序（来源：</w:t>
      </w:r>
      <w:hyperlink r:id="rId15">
        <w:r>
          <w:rPr>
            <w:color w:val="0563C1"/>
            <w:u w:val="single"/>
          </w:rPr>
          <w:t xml:space="preserve">https://pccz.court.gov.cn/</w:t>
        </w:r>
      </w:hyperlink>
      <w:r>
        <w:rPr>
          <w:rFonts w:ascii="楷体" w:hAnsi="楷体" w:eastAsia="楷体"/>
          <w:sz w:val="18"/>
        </w:rPr>
        <w:t>）</w:t>
      </w:r>
    </w:p>
    <w:p>
      <w:pPr>
        <w:pStyle w:val="Heading2"/>
      </w:pPr>
      <w:r>
        <w:rPr>
          <w:rFonts w:ascii="宋体" w:hAnsi="宋体" w:eastAsia="宋体"/>
          <w:sz w:val="28"/>
        </w:rPr>
        <w:t>三、行政监管与合规风险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退市风险警示：2026-05-06起退市风险警示(*ST)，触及创业板上市规则10.3.1条净资产为负+无法表示意见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证监会立案：2026-05-19证监会立案（证监立案字0102026023号），涉嫌信息披露违法违规，尚无结论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交易所处分：2026-07-28深交所公开谴责（深证上〔2026〕1066号）：公司+董事长董仕宏+总经理兼财务总监刘太玉公开谴责，董秘杨宝龙通报批评</w:t>
      </w:r>
    </w:p>
    <w:p>
      <w:pPr>
        <w:ind w:left="340"/>
      </w:pPr>
      <w:r>
        <w:rPr>
          <w:rFonts w:ascii="楷体" w:hAnsi="楷体" w:eastAsia="楷体"/>
          <w:sz w:val="18"/>
        </w:rPr>
        <w:t xml:space="preserve">  监管信息（来源：</w:t>
      </w:r>
      <w:hyperlink r:id="rId16">
        <w:r>
          <w:rPr>
            <w:color w:val="0563C1"/>
            <w:u w:val="single"/>
          </w:rPr>
          <w:t xml:space="preserve">https://www.csrc.gov.cn/</w:t>
        </w:r>
      </w:hyperlink>
      <w:r>
        <w:rPr>
          <w:rFonts w:ascii="楷体" w:hAnsi="楷体" w:eastAsia="楷体"/>
          <w:sz w:val="18"/>
        </w:rPr>
        <w:t>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第七节  综合风险评估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原始分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加权分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评分依据</w:t>
            </w:r>
          </w:p>
        </w:tc>
      </w:tr>
      <w:tr>
        <w:tc>
          <w:tcPr>
            <w:tcW w:type="dxa" w:w="2351"/>
            <w:vAlign w:val="center"/>
          </w:tcPr>
          <w:p>
            <w:r>
              <w:t>数据完备性</w:t>
            </w:r>
          </w:p>
        </w:tc>
        <w:tc>
          <w:tcPr>
            <w:tcW w:type="dxa" w:w="2351"/>
            <w:vAlign w:val="center"/>
          </w:tcPr>
          <w:p>
            <w:r>
              <w:t>2</w:t>
            </w:r>
          </w:p>
        </w:tc>
        <w:tc>
          <w:tcPr>
            <w:tcW w:type="dxa" w:w="2351"/>
            <w:vAlign w:val="center"/>
          </w:tcPr>
          <w:p>
            <w:r>
              <w:t>1.60</w:t>
            </w:r>
          </w:p>
        </w:tc>
        <w:tc>
          <w:tcPr>
            <w:tcW w:type="dxa" w:w="2351"/>
            <w:vAlign w:val="center"/>
          </w:tcPr>
          <w:p>
            <w:r>
              <w:t>B1-B11全部跑齐，多源印证</w:t>
            </w:r>
          </w:p>
        </w:tc>
      </w:tr>
      <w:tr>
        <w:tc>
          <w:tcPr>
            <w:tcW w:type="dxa" w:w="2351"/>
            <w:vAlign w:val="center"/>
          </w:tcPr>
          <w:p>
            <w:r>
              <w:t>司法风险</w:t>
            </w:r>
          </w:p>
        </w:tc>
        <w:tc>
          <w:tcPr>
            <w:tcW w:type="dxa" w:w="2351"/>
            <w:vAlign w:val="center"/>
          </w:tcPr>
          <w:p>
            <w:r>
              <w:t>9</w:t>
            </w:r>
          </w:p>
        </w:tc>
        <w:tc>
          <w:tcPr>
            <w:tcW w:type="dxa" w:w="2351"/>
            <w:vAlign w:val="center"/>
          </w:tcPr>
          <w:p>
            <w:r>
              <w:t>19.80</w:t>
            </w:r>
          </w:p>
        </w:tc>
        <w:tc>
          <w:tcPr>
            <w:tcW w:type="dxa" w:w="2351"/>
            <w:vAlign w:val="center"/>
          </w:tcPr>
          <w:p>
            <w:r>
              <w:t>5年内413起案件，被告约为原告6.9倍，执行186起</w:t>
            </w:r>
          </w:p>
        </w:tc>
      </w:tr>
      <w:tr>
        <w:tc>
          <w:tcPr>
            <w:tcW w:type="dxa" w:w="2351"/>
            <w:vAlign w:val="center"/>
          </w:tcPr>
          <w:p>
            <w:r>
              <w:t>行政处罚</w:t>
            </w:r>
          </w:p>
        </w:tc>
        <w:tc>
          <w:tcPr>
            <w:tcW w:type="dxa" w:w="2351"/>
            <w:vAlign w:val="center"/>
          </w:tcPr>
          <w:p>
            <w:r>
              <w:t>7</w:t>
            </w:r>
          </w:p>
        </w:tc>
        <w:tc>
          <w:tcPr>
            <w:tcW w:type="dxa" w:w="2351"/>
            <w:vAlign w:val="center"/>
          </w:tcPr>
          <w:p>
            <w:r>
              <w:t>9.80</w:t>
            </w:r>
          </w:p>
        </w:tc>
        <w:tc>
          <w:tcPr>
            <w:tcW w:type="dxa" w:w="2351"/>
            <w:vAlign w:val="center"/>
          </w:tcPr>
          <w:p>
            <w:r>
              <w:t>证监会立案+深交所公开谴责，行政处罚待落地</w:t>
            </w:r>
          </w:p>
        </w:tc>
      </w:tr>
      <w:tr>
        <w:tc>
          <w:tcPr>
            <w:tcW w:type="dxa" w:w="2351"/>
            <w:vAlign w:val="center"/>
          </w:tcPr>
          <w:p>
            <w:r>
              <w:t>经营异常/严重违法</w:t>
            </w:r>
          </w:p>
        </w:tc>
        <w:tc>
          <w:tcPr>
            <w:tcW w:type="dxa" w:w="2351"/>
            <w:vAlign w:val="center"/>
          </w:tcPr>
          <w:p>
            <w:r>
              <w:t>9</w:t>
            </w:r>
          </w:p>
        </w:tc>
        <w:tc>
          <w:tcPr>
            <w:tcW w:type="dxa" w:w="2351"/>
            <w:vAlign w:val="center"/>
          </w:tcPr>
          <w:p>
            <w:r>
              <w:t>7.20</w:t>
            </w:r>
          </w:p>
        </w:tc>
        <w:tc>
          <w:tcPr>
            <w:tcW w:type="dxa" w:w="2351"/>
            <w:vAlign w:val="center"/>
          </w:tcPr>
          <w:p>
            <w:r>
              <w:t>退市风险警示(*ST)+证监会立案</w:t>
            </w:r>
          </w:p>
        </w:tc>
      </w:tr>
      <w:tr>
        <w:tc>
          <w:tcPr>
            <w:tcW w:type="dxa" w:w="2351"/>
            <w:vAlign w:val="center"/>
          </w:tcPr>
          <w:p>
            <w:r>
              <w:t>失信/限高/被执行</w:t>
            </w:r>
          </w:p>
        </w:tc>
        <w:tc>
          <w:tcPr>
            <w:tcW w:type="dxa" w:w="2351"/>
            <w:vAlign w:val="center"/>
          </w:tcPr>
          <w:p>
            <w:r>
              <w:t>8</w:t>
            </w:r>
          </w:p>
        </w:tc>
        <w:tc>
          <w:tcPr>
            <w:tcW w:type="dxa" w:w="2351"/>
            <w:vAlign w:val="center"/>
          </w:tcPr>
          <w:p>
            <w:r>
              <w:t>11.20</w:t>
            </w:r>
          </w:p>
        </w:tc>
        <w:tc>
          <w:tcPr>
            <w:tcW w:type="dxa" w:w="2351"/>
            <w:vAlign w:val="center"/>
          </w:tcPr>
          <w:p>
            <w:r>
              <w:t>22条失信+36条限高+32条被执行</w:t>
            </w:r>
          </w:p>
        </w:tc>
      </w:tr>
      <w:tr>
        <w:tc>
          <w:tcPr>
            <w:tcW w:type="dxa" w:w="2351"/>
            <w:vAlign w:val="center"/>
          </w:tcPr>
          <w:p>
            <w:r>
              <w:t>知识产权风险</w:t>
            </w:r>
          </w:p>
        </w:tc>
        <w:tc>
          <w:tcPr>
            <w:tcW w:type="dxa" w:w="2351"/>
            <w:vAlign w:val="center"/>
          </w:tcPr>
          <w:p>
            <w:r>
              <w:t>3</w:t>
            </w:r>
          </w:p>
        </w:tc>
        <w:tc>
          <w:tcPr>
            <w:tcW w:type="dxa" w:w="2351"/>
            <w:vAlign w:val="center"/>
          </w:tcPr>
          <w:p>
            <w:r>
              <w:t>2.40</w:t>
            </w:r>
          </w:p>
        </w:tc>
        <w:tc>
          <w:tcPr>
            <w:tcW w:type="dxa" w:w="2351"/>
            <w:vAlign w:val="center"/>
          </w:tcPr>
          <w:p>
            <w:r>
              <w:t>262项专利(发明60项)，商标著作权待核验，无显著风险</w:t>
            </w:r>
          </w:p>
        </w:tc>
      </w:tr>
      <w:tr>
        <w:tc>
          <w:tcPr>
            <w:tcW w:type="dxa" w:w="2351"/>
            <w:vAlign w:val="center"/>
          </w:tcPr>
          <w:p>
            <w:r>
              <w:t>财务健康度</w:t>
            </w:r>
          </w:p>
        </w:tc>
        <w:tc>
          <w:tcPr>
            <w:tcW w:type="dxa" w:w="2351"/>
            <w:vAlign w:val="center"/>
          </w:tcPr>
          <w:p>
            <w:r>
              <w:t>10</w:t>
            </w:r>
          </w:p>
        </w:tc>
        <w:tc>
          <w:tcPr>
            <w:tcW w:type="dxa" w:w="2351"/>
            <w:vAlign w:val="center"/>
          </w:tcPr>
          <w:p>
            <w:r>
              <w:t>12.00</w:t>
            </w:r>
          </w:p>
        </w:tc>
        <w:tc>
          <w:tcPr>
            <w:tcW w:type="dxa" w:w="2351"/>
            <w:vAlign w:val="center"/>
          </w:tcPr>
          <w:p>
            <w:r>
              <w:t>净资产-4.44亿→-11.59亿，累亏21.9亿，经营现金流连负3年，审计无法表示意见+内控否定</w:t>
            </w:r>
          </w:p>
        </w:tc>
      </w:tr>
      <w:tr>
        <w:tc>
          <w:tcPr>
            <w:tcW w:type="dxa" w:w="2351"/>
            <w:vAlign w:val="center"/>
          </w:tcPr>
          <w:p>
            <w:r>
              <w:t>舆情负面度</w:t>
            </w:r>
          </w:p>
        </w:tc>
        <w:tc>
          <w:tcPr>
            <w:tcW w:type="dxa" w:w="2351"/>
            <w:vAlign w:val="center"/>
          </w:tcPr>
          <w:p>
            <w:r>
              <w:t>8</w:t>
            </w:r>
          </w:p>
        </w:tc>
        <w:tc>
          <w:tcPr>
            <w:tcW w:type="dxa" w:w="2351"/>
            <w:vAlign w:val="center"/>
          </w:tcPr>
          <w:p>
            <w:r>
              <w:t>4.80</w:t>
            </w:r>
          </w:p>
        </w:tc>
        <w:tc>
          <w:tcPr>
            <w:tcW w:type="dxa" w:w="2351"/>
            <w:vAlign w:val="center"/>
          </w:tcPr>
          <w:p>
            <w:r>
              <w:t>跨界光伏巨亏、年报两套营收口径、数据造假、立案等负面主题密集</w:t>
            </w:r>
          </w:p>
        </w:tc>
      </w:tr>
      <w:tr>
        <w:tc>
          <w:tcPr>
            <w:tcW w:type="dxa" w:w="2351"/>
            <w:vAlign w:val="center"/>
          </w:tcPr>
          <w:p>
            <w:r>
              <w:t>关联与公司治理</w:t>
            </w:r>
          </w:p>
        </w:tc>
        <w:tc>
          <w:tcPr>
            <w:tcW w:type="dxa" w:w="2351"/>
            <w:vAlign w:val="center"/>
          </w:tcPr>
          <w:p>
            <w:r>
              <w:t>9</w:t>
            </w:r>
          </w:p>
        </w:tc>
        <w:tc>
          <w:tcPr>
            <w:tcW w:type="dxa" w:w="2351"/>
            <w:vAlign w:val="center"/>
          </w:tcPr>
          <w:p>
            <w:r>
              <w:t>7.20</w:t>
            </w:r>
          </w:p>
        </w:tc>
        <w:tc>
          <w:tcPr>
            <w:tcW w:type="dxa" w:w="2351"/>
            <w:vAlign w:val="center"/>
          </w:tcPr>
          <w:p>
            <w:r>
              <w:t>法定代表人一年两换，董事长/总经理/董秘均被处分，审计机构闪辞</w:t>
            </w:r>
          </w:p>
        </w:tc>
      </w:tr>
    </w:tbl>
    <w:p>
      <w:r>
        <w:rPr>
          <w:rFonts w:ascii="宋体" w:hAnsi="宋体" w:eastAsia="宋体"/>
          <w:b/>
          <w:sz w:val="24"/>
        </w:rPr>
        <w:t>加权总分：77.00 / 100    风险等级：</w:t>
      </w:r>
      <w:r>
        <w:rPr>
          <w:rFonts w:ascii="黑体" w:hAnsi="黑体" w:eastAsia="黑体"/>
          <w:b/>
          <w:color w:val="C00000"/>
          <w:sz w:val="28"/>
        </w:rPr>
        <w:t>红</w:t>
      </w:r>
    </w:p>
    <w:p>
      <w:r>
        <w:rPr>
          <w:rFonts w:ascii="宋体" w:hAnsi="宋体" w:eastAsia="宋体"/>
          <w:b/>
          <w:sz w:val="24"/>
        </w:rPr>
        <w:t>承接建议：审慎接洽（高风险客户，须以预重整/重整专项切入，严禁按普通常年顾问承接）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第八节  法律顾问切入备忘录</w:t>
      </w:r>
    </w:p>
    <w:p>
      <w:pPr>
        <w:pStyle w:val="Heading2"/>
      </w:pPr>
      <w:r>
        <w:rPr>
          <w:rFonts w:ascii="宋体" w:hAnsi="宋体" w:eastAsia="宋体"/>
          <w:sz w:val="28"/>
        </w:rPr>
        <w:t>一、切入定位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补位而非替换：不与券商(国联民生)争资本运作、不与年审机构争审计，切入它们做不了的重整法律、行政应对与合规重建</w:t>
      </w:r>
    </w:p>
    <w:p>
      <w:pPr>
        <w:pStyle w:val="Heading2"/>
      </w:pPr>
      <w:r>
        <w:rPr>
          <w:rFonts w:ascii="宋体" w:hAnsi="宋体" w:eastAsia="宋体"/>
          <w:sz w:val="28"/>
        </w:rPr>
        <w:t>二、三张牌（服务切入点）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预重整/重整债务人侧专项（第一优先级，二轮招募刚截止、方案成型前是黄金窗口）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证监会立案调查应对 + 董监高个人法律顾问（处罚告知书送达前陈述申辩是黄金窗口）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内控与信披合规重建（2026年报季前，陪跑年审机构拿干净意见）</w:t>
      </w:r>
    </w:p>
    <w:p>
      <w:pPr>
        <w:pStyle w:val="Heading2"/>
      </w:pPr>
      <w:r>
        <w:rPr>
          <w:rFonts w:ascii="宋体" w:hAnsi="宋体" w:eastAsia="宋体"/>
          <w:sz w:val="28"/>
        </w:rPr>
        <w:t>三、切入话术</w:t>
      </w:r>
    </w:p>
    <w:p>
      <w:pPr>
        <w:pStyle w:val="Heading3"/>
      </w:pPr>
      <w:r>
        <w:rPr>
          <w:rFonts w:ascii="宋体" w:hAnsi="宋体" w:eastAsia="宋体"/>
          <w:sz w:val="24"/>
        </w:rPr>
        <w:t>1. 退市风险与预重整成败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我们研究了苏州中院的决定书和贵司两轮招募公告。第一轮无人应募，说明投资人担心的不只是价格，而是立案调查、内控否定这些法律尾部风险没有被打包解决。我们帮多家困境上市公司做过重整期的风险隔离方案，可以先帮贵司把影响投资人决策的法律障碍逐项拆掉。</w:t>
      </w:r>
    </w:p>
    <w:p>
      <w:pPr>
        <w:pStyle w:val="Heading3"/>
      </w:pPr>
      <w:r>
        <w:rPr>
          <w:rFonts w:ascii="宋体" w:hAnsi="宋体" w:eastAsia="宋体"/>
          <w:sz w:val="24"/>
        </w:rPr>
        <w:t>2. 证监会立案与虚假陈述索赔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公开谴责已经落地，行政处罚和股民索赔是大概率事件。这类案件的关键窗口在处罚告知书送达后的陈述申辩阶段——哪些责任可以往已勤勉尽责上组织证据，直接决定个人责任和后续民事赔偿规模。建议现在就启动应对预案，而不是等处罚落地。</w:t>
      </w:r>
    </w:p>
    <w:p>
      <w:pPr>
        <w:pStyle w:val="Heading3"/>
      </w:pPr>
      <w:r>
        <w:rPr>
          <w:rFonts w:ascii="宋体" w:hAnsi="宋体" w:eastAsia="宋体"/>
          <w:sz w:val="24"/>
        </w:rPr>
        <w:t>3. 内控与信披失效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贵司现在最紧要的是让2026年年报拿到一份干净的审计意见。审计师看到的是会计问题，背后是合同、单据、流程的法律留痕问题——这正是律师能和会计师配合补强的部分。我们可以在年报季前帮贵司把三大循环的法律证据链重建一遍。</w:t>
      </w:r>
    </w:p>
    <w:p>
      <w:pPr>
        <w:pStyle w:val="Heading2"/>
      </w:pPr>
      <w:r>
        <w:rPr>
          <w:rFonts w:ascii="宋体" w:hAnsi="宋体" w:eastAsia="宋体"/>
          <w:sz w:val="28"/>
        </w:rPr>
        <w:t>四、需求矩阵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需求描述</w:t>
            </w:r>
          </w:p>
        </w:tc>
        <w:tc>
          <w:tcPr>
            <w:tcW w:type="dxa" w:w="3135"/>
            <w:vAlign w:val="center"/>
          </w:tcPr>
          <w:p>
            <w:r>
              <w:rPr>
                <w:b/>
              </w:rPr>
              <w:t>紧急度</w:t>
            </w:r>
          </w:p>
        </w:tc>
      </w:tr>
      <w:tr>
        <w:tc>
          <w:tcPr>
            <w:tcW w:type="dxa" w:w="3135"/>
            <w:vAlign w:val="center"/>
          </w:tcPr>
          <w:p>
            <w:r>
              <w:t>破产重整</w:t>
            </w:r>
          </w:p>
        </w:tc>
        <w:tc>
          <w:tcPr>
            <w:tcW w:type="dxa" w:w="3135"/>
            <w:vAlign w:val="center"/>
          </w:tcPr>
          <w:p>
            <w:r>
              <w:t>预重整转正式重整路径、重整计划草案、投资人遴选、债权人会议</w:t>
            </w:r>
          </w:p>
        </w:tc>
        <w:tc>
          <w:tcPr>
            <w:tcW w:type="dxa" w:w="3135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证券合规</w:t>
            </w:r>
          </w:p>
        </w:tc>
        <w:tc>
          <w:tcPr>
            <w:tcW w:type="dxa" w:w="3135"/>
            <w:vAlign w:val="center"/>
          </w:tcPr>
          <w:p>
            <w:r>
              <w:t>证监会立案应对、深交所公开谴责整改、2026年报信披合规</w:t>
            </w:r>
          </w:p>
        </w:tc>
        <w:tc>
          <w:tcPr>
            <w:tcW w:type="dxa" w:w="3135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内控重建</w:t>
            </w:r>
          </w:p>
        </w:tc>
        <w:tc>
          <w:tcPr>
            <w:tcW w:type="dxa" w:w="3135"/>
            <w:vAlign w:val="center"/>
          </w:tcPr>
          <w:p>
            <w:r>
              <w:t>采购/生产/销售三大循环内控缺陷整改法律留痕、关联资金往来核查</w:t>
            </w:r>
          </w:p>
        </w:tc>
        <w:tc>
          <w:tcPr>
            <w:tcW w:type="dxa" w:w="3135"/>
            <w:vAlign w:val="center"/>
          </w:tcPr>
          <w:p>
            <w:r>
              <w:t>★★★★★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虚假陈述民事索赔</w:t>
            </w:r>
          </w:p>
        </w:tc>
        <w:tc>
          <w:tcPr>
            <w:tcW w:type="dxa" w:w="3135"/>
            <w:vAlign w:val="center"/>
          </w:tcPr>
          <w:p>
            <w:r>
              <w:t>行政处罚后投资者索赔应对、或有负债在重整中统筹</w:t>
            </w:r>
          </w:p>
        </w:tc>
        <w:tc>
          <w:tcPr>
            <w:tcW w:type="dxa" w:w="3135"/>
            <w:vAlign w:val="center"/>
          </w:tcPr>
          <w:p>
            <w:r>
              <w:t>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控制权与股权</w:t>
            </w:r>
          </w:p>
        </w:tc>
        <w:tc>
          <w:tcPr>
            <w:tcW w:type="dxa" w:w="3135"/>
            <w:vAlign w:val="center"/>
          </w:tcPr>
          <w:p>
            <w:r>
              <w:t>实控人股份冻结应对、出资人权益调整、控制权变更合规</w:t>
            </w:r>
          </w:p>
        </w:tc>
        <w:tc>
          <w:tcPr>
            <w:tcW w:type="dxa" w:w="3135"/>
            <w:vAlign w:val="center"/>
          </w:tcPr>
          <w:p>
            <w:r>
              <w:t>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债务重组</w:t>
            </w:r>
          </w:p>
        </w:tc>
        <w:tc>
          <w:tcPr>
            <w:tcW w:type="dxa" w:w="3135"/>
            <w:vAlign w:val="center"/>
          </w:tcPr>
          <w:p>
            <w:r>
              <w:t>金融债权/租赁/供应商债权分类谈判、担保链清理</w:t>
            </w:r>
          </w:p>
        </w:tc>
        <w:tc>
          <w:tcPr>
            <w:tcW w:type="dxa" w:w="3135"/>
            <w:vAlign w:val="center"/>
          </w:tcPr>
          <w:p>
            <w:r>
              <w:t>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资产处置</w:t>
            </w:r>
          </w:p>
        </w:tc>
        <w:tc>
          <w:tcPr>
            <w:tcW w:type="dxa" w:w="3135"/>
            <w:vAlign w:val="center"/>
          </w:tcPr>
          <w:p>
            <w:r>
              <w:t>电池片业务剥离/关停、宁国/资阳项目退出、政府投资协议重谈</w:t>
            </w:r>
          </w:p>
        </w:tc>
        <w:tc>
          <w:tcPr>
            <w:tcW w:type="dxa" w:w="3135"/>
            <w:vAlign w:val="center"/>
          </w:tcPr>
          <w:p>
            <w:r>
              <w:t>★★★★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争议解决</w:t>
            </w:r>
          </w:p>
        </w:tc>
        <w:tc>
          <w:tcPr>
            <w:tcW w:type="dxa" w:w="3135"/>
            <w:vAlign w:val="center"/>
          </w:tcPr>
          <w:p>
            <w:r>
              <w:t>存量诉讼打包、应收账款清收、建设工程债权应对</w:t>
            </w:r>
          </w:p>
        </w:tc>
        <w:tc>
          <w:tcPr>
            <w:tcW w:type="dxa" w:w="3135"/>
            <w:vAlign w:val="center"/>
          </w:tcPr>
          <w:p>
            <w:r>
              <w:t>★★★</w:t>
            </w:r>
          </w:p>
        </w:tc>
      </w:tr>
      <w:tr>
        <w:tc>
          <w:tcPr>
            <w:tcW w:type="dxa" w:w="3135"/>
            <w:vAlign w:val="center"/>
          </w:tcPr>
          <w:p>
            <w:r>
              <w:t>常年法律顾问</w:t>
            </w:r>
          </w:p>
        </w:tc>
        <w:tc>
          <w:tcPr>
            <w:tcW w:type="dxa" w:w="3135"/>
            <w:vAlign w:val="center"/>
          </w:tcPr>
          <w:p>
            <w:r>
              <w:t>三会运作、合同管理、日常合规（重整成功后）</w:t>
            </w:r>
          </w:p>
        </w:tc>
        <w:tc>
          <w:tcPr>
            <w:tcW w:type="dxa" w:w="3135"/>
            <w:vAlign w:val="center"/>
          </w:tcPr>
          <w:p>
            <w:r>
              <w:t>★★★</w:t>
            </w:r>
          </w:p>
        </w:tc>
      </w:tr>
    </w:tbl>
    <w:p>
      <w:pPr>
        <w:pStyle w:val="Heading2"/>
      </w:pPr>
      <w:r>
        <w:rPr>
          <w:rFonts w:ascii="宋体" w:hAnsi="宋体" w:eastAsia="宋体"/>
          <w:sz w:val="28"/>
        </w:rPr>
        <w:t>五、首见问题清单</w:t>
      </w:r>
    </w:p>
    <w:p>
      <w:pPr>
        <w:pStyle w:val="Heading3"/>
      </w:pPr>
      <w:r>
        <w:rPr>
          <w:rFonts w:ascii="宋体" w:hAnsi="宋体" w:eastAsia="宋体"/>
          <w:sz w:val="24"/>
        </w:rPr>
        <w:t>经营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环保主业在手订单和投标管线情况？氨回收技术今年落地项目进度？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电池片业务维持运营的考虑——等待重整整体处置还是已有接盘方？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宁国、资阳与当地政府投资协议的投资强度、产值税收、违约条款如何约定？政府方态度？</w:t>
      </w:r>
    </w:p>
    <w:p>
      <w:pPr>
        <w:pStyle w:val="Heading3"/>
      </w:pPr>
      <w:r>
        <w:rPr>
          <w:rFonts w:ascii="宋体" w:hAnsi="宋体" w:eastAsia="宋体"/>
          <w:sz w:val="24"/>
        </w:rPr>
        <w:t>治理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董事会实际运作情况？独立董事对内控整改的具体要求？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公司现有法务和证券事务团队配置？日常法律事务由谁支持？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与年审机构（山东舜天信诚）沟通顺畅吗？2026年度审计机构是否已安排？</w:t>
      </w:r>
    </w:p>
    <w:p>
      <w:pPr>
        <w:pStyle w:val="Heading3"/>
      </w:pPr>
      <w:r>
        <w:rPr>
          <w:rFonts w:ascii="宋体" w:hAnsi="宋体" w:eastAsia="宋体"/>
          <w:sz w:val="24"/>
        </w:rPr>
        <w:t>风险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证监会立案调查进展到哪一步？公司做过哪些应对准备？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非经营性资金占用专项报告披露后监管有无进一步问询？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对外担保有无已触发代偿或诉讼？担保链梳理做过吗？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实控人股份冻结涉及的债务纠纷与申请执行人有无和解空间？</w:t>
      </w:r>
    </w:p>
    <w:p>
      <w:pPr>
        <w:pStyle w:val="Heading3"/>
      </w:pPr>
      <w:r>
        <w:rPr>
          <w:rFonts w:ascii="宋体" w:hAnsi="宋体" w:eastAsia="宋体"/>
          <w:sz w:val="24"/>
        </w:rPr>
        <w:t>规划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第二轮投资人招募截止后遴选情况和倾向的投资人类型？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重整顺利的话，对『新仕净』业务蓝图的设想——纯环保还是保留部分电池产能？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实控人团队对出资人权益调整的心理底线？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希望外部律师扮演什么角色——专项支持还是全程陪跑？属地化响应要求？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第九节  承接建议与风险缓释</w:t>
      </w:r>
    </w:p>
    <w:p>
      <w:pPr>
        <w:pStyle w:val="Heading2"/>
      </w:pPr>
      <w:r>
        <w:rPr>
          <w:rFonts w:ascii="宋体" w:hAnsi="宋体" w:eastAsia="宋体"/>
          <w:sz w:val="28"/>
        </w:rPr>
        <w:t>一、客户分级建议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建议：审慎接洽（高风险客户，须以预重整/重整专项切入，严禁按普通常年顾问承接）。</w:t>
      </w:r>
    </w:p>
    <w:p>
      <w:pPr>
        <w:pStyle w:val="Heading2"/>
      </w:pPr>
      <w:r>
        <w:rPr>
          <w:rFonts w:ascii="宋体" w:hAnsi="宋体" w:eastAsia="宋体"/>
          <w:sz w:val="28"/>
        </w:rPr>
        <w:t>二、服务合同关键条款建议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预收/阶段预收优先，最高欠款不超过月度服务费 30%，避免垫资风险；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基础服务费 + 风险代理（成功激励）结构；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明确律师费债权在重整中的清偿顺位与共益债务争取条款；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严格限定服务范围，避免被认定参与或协助信息披露违法行为；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加入「重大事项定期告知义务」条款。</w:t>
      </w:r>
    </w:p>
    <w:p>
      <w:pPr>
        <w:pStyle w:val="Heading2"/>
      </w:pPr>
      <w:r>
        <w:rPr>
          <w:rFonts w:ascii="宋体" w:hAnsi="宋体" w:eastAsia="宋体"/>
          <w:sz w:val="28"/>
        </w:rPr>
        <w:t>三、持续监控要点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苏州中院是否正式裁定受理重整、投资人招募结果；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证监会立案调查结论与行政处罚；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2026年年报净资产与审计意见（决定是否触发终止上市）；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实控人股份司法拍卖进展与控制权变动。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第十节  利益冲突审查结论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审查事项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是否存在</w:t>
            </w:r>
          </w:p>
        </w:tc>
        <w:tc>
          <w:tcPr>
            <w:tcW w:type="dxa" w:w="2351"/>
            <w:vAlign w:val="center"/>
          </w:tcPr>
          <w:p>
            <w:r>
              <w:rPr>
                <w:b/>
              </w:rPr>
              <w:t>豁免状态</w:t>
            </w:r>
          </w:p>
        </w:tc>
      </w:tr>
      <w:tr>
        <w:tc>
          <w:tcPr>
            <w:tcW w:type="dxa" w:w="2351"/>
            <w:vAlign w:val="center"/>
          </w:tcPr>
          <w:p>
            <w:r>
              <w:t>1</w:t>
            </w:r>
          </w:p>
        </w:tc>
        <w:tc>
          <w:tcPr>
            <w:tcW w:type="dxa" w:w="2351"/>
            <w:vAlign w:val="center"/>
          </w:tcPr>
          <w:p>
            <w:r>
              <w:t>本所是否曾或正在代理目标公司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2</w:t>
            </w:r>
          </w:p>
        </w:tc>
        <w:tc>
          <w:tcPr>
            <w:tcW w:type="dxa" w:w="2351"/>
            <w:vAlign w:val="center"/>
          </w:tcPr>
          <w:p>
            <w:r>
              <w:t>本所是否曾或正在代理其债权人（含金融债权人、供应商）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3</w:t>
            </w:r>
          </w:p>
        </w:tc>
        <w:tc>
          <w:tcPr>
            <w:tcW w:type="dxa" w:w="2351"/>
            <w:vAlign w:val="center"/>
          </w:tcPr>
          <w:p>
            <w:r>
              <w:t>本所是否曾或正在代理其竞争对手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4</w:t>
            </w:r>
          </w:p>
        </w:tc>
        <w:tc>
          <w:tcPr>
            <w:tcW w:type="dxa" w:w="2351"/>
            <w:vAlign w:val="center"/>
          </w:tcPr>
          <w:p>
            <w:r>
              <w:t>本所是否曾或正在代理其股东、实际控制人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5</w:t>
            </w:r>
          </w:p>
        </w:tc>
        <w:tc>
          <w:tcPr>
            <w:tcW w:type="dxa" w:w="2351"/>
            <w:vAlign w:val="center"/>
          </w:tcPr>
          <w:p>
            <w:r>
              <w:t>本所是否与临时管理人（清算组）及其成员单位存在关联或代理关系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6</w:t>
            </w:r>
          </w:p>
        </w:tc>
        <w:tc>
          <w:tcPr>
            <w:tcW w:type="dxa" w:w="2351"/>
            <w:vAlign w:val="center"/>
          </w:tcPr>
          <w:p>
            <w:r>
              <w:t>本所是否曾或正在代理其他重整参与方（投资人、出资人等）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7</w:t>
            </w:r>
          </w:p>
        </w:tc>
        <w:tc>
          <w:tcPr>
            <w:tcW w:type="dxa" w:w="2351"/>
            <w:vAlign w:val="center"/>
          </w:tcPr>
          <w:p>
            <w:r>
              <w:t>本所律师是否存在与公司或相关方的个人利害关系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  <w:tr>
        <w:tc>
          <w:tcPr>
            <w:tcW w:type="dxa" w:w="2351"/>
            <w:vAlign w:val="center"/>
          </w:tcPr>
          <w:p>
            <w:r>
              <w:t>8</w:t>
            </w:r>
          </w:p>
        </w:tc>
        <w:tc>
          <w:tcPr>
            <w:tcW w:type="dxa" w:w="2351"/>
            <w:vAlign w:val="center"/>
          </w:tcPr>
          <w:p>
            <w:r>
              <w:t>是否存在其他可能影响独立、客观履职的情形</w:t>
            </w:r>
          </w:p>
        </w:tc>
        <w:tc>
          <w:tcPr>
            <w:tcW w:type="dxa" w:w="2351"/>
            <w:vAlign w:val="center"/>
          </w:tcPr>
          <w:p>
            <w:r>
              <w:t>否</w:t>
            </w:r>
          </w:p>
        </w:tc>
        <w:tc>
          <w:tcPr>
            <w:tcW w:type="dxa" w:w="2351"/>
            <w:vAlign w:val="center"/>
          </w:tcPr>
          <w:p>
            <w:r>
              <w:t>—</w:t>
            </w:r>
          </w:p>
        </w:tc>
      </w:tr>
    </w:tbl>
    <w:p>
      <w:r>
        <w:rPr>
          <w:rFonts w:ascii="宋体" w:hAnsi="宋体" w:eastAsia="宋体"/>
          <w:b/>
          <w:sz w:val="24"/>
        </w:rPr>
        <w:t>审查结论：通过（8项均无未豁免冲突）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第十一节  待核实事项清单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1. 司法涉诉、被执行、失信、限高明细（裁判文书网、执行信息公开网逐条核验）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2. 证监会立案调查结论与可能的行政处罚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3. 行政处罚明细（环保处罚、建设领域处罚）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4. 知识产权（商标、专利、著作权）完整清单与权利负担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5. 非经营性资金占用是否查实控股股东占用余额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6. 宁国/资阳/墨西哥项目投资协议中的投资强度、产值税收承诺与违约条款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7. 对外担保是否已触发代偿或诉讼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8. 34起诉讼仲裁案件明细（案由、当事人、进展、保全）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sz w:val="32"/>
        </w:rPr>
        <w:t>第十二节  免责声明</w:t>
      </w:r>
    </w:p>
    <w:p>
      <w:pPr>
        <w:ind w:firstLine="420"/>
      </w:pPr>
      <w:r>
        <w:rPr>
          <w:rFonts w:ascii="楷体" w:hAnsi="楷体" w:eastAsia="楷体"/>
          <w:sz w:val="18"/>
        </w:rPr>
        <w:t>本报告基于公开渠道信息编制，仅供律所内部洽谈与承接决策使用，不构成法律意见。</w:t>
      </w:r>
    </w:p>
    <w:p>
      <w:pPr>
        <w:ind w:firstLine="420"/>
      </w:pPr>
      <w:r>
        <w:rPr>
          <w:rFonts w:ascii="楷体" w:hAnsi="楷体" w:eastAsia="楷体"/>
          <w:sz w:val="18"/>
        </w:rPr>
        <w:t>所载信息以2026-09-19公开渠道查询结果为准，标注「待核实」事项未见充分公开证据支撑，正式使用前须进一步核查。</w:t>
      </w:r>
    </w:p>
    <w:p>
      <w:pPr>
        <w:ind w:firstLine="420"/>
      </w:pPr>
      <w:r>
        <w:rPr>
          <w:rFonts w:ascii="楷体" w:hAnsi="楷体" w:eastAsia="楷体"/>
          <w:sz w:val="18"/>
        </w:rPr>
        <w:t>利益冲突审查结果以本所风控部门书面审查意见为准。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rPr>
        <w:rFonts w:ascii="宋体" w:hAnsi="宋体" w:eastAsia="宋体"/>
        <w:sz w:val="18"/>
      </w:rPr>
      <w:fldChar w:fldCharType="begin"/>
      <w:instrText xml:space="preserve">PAGE</w:instrText>
      <w:fldChar w:fldCharType="end"/>
    </w:r>
    <w:r>
      <w:t xml:space="preserve"> 页    出具日期：2026-09-19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楷体" w:hAnsi="楷体" w:eastAsia="楷体"/>
        <w:sz w:val="18"/>
      </w:rPr>
      <w:t>苏州仕净科技股份有限公司 客户背调报告    编号：CDD-2026-09-19-Shijing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sxt.gov.cn/" TargetMode="External"/><Relationship Id="rId12" Type="http://schemas.openxmlformats.org/officeDocument/2006/relationships/hyperlink" Target="https://www.cninfo.com.cn/" TargetMode="External"/><Relationship Id="rId13" Type="http://schemas.openxmlformats.org/officeDocument/2006/relationships/hyperlink" Target="https://wenshu.court.gov.cn/" TargetMode="External"/><Relationship Id="rId14" Type="http://schemas.openxmlformats.org/officeDocument/2006/relationships/hyperlink" Target="https://zxgk.court.gov.cn/" TargetMode="External"/><Relationship Id="rId15" Type="http://schemas.openxmlformats.org/officeDocument/2006/relationships/hyperlink" Target="https://pccz.court.gov.cn/" TargetMode="External"/><Relationship Id="rId16" Type="http://schemas.openxmlformats.org/officeDocument/2006/relationships/hyperlink" Target="https://www.csrc.gov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