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股权交割质检表</w:t>
      </w:r>
    </w:p>
    <w:p>
      <w:pPr>
        <w:pStyle w:val="Quote"/>
      </w:pPr>
    </w:p>
    <w:p>
      <w:r>
        <w:t xml:space="preserve">本表为律师内部工作底稿，不直接替代法律意见或交割文件。</w:t>
      </w:r>
    </w:p>
    <w:p>
      <w:pPr>
        <w:pStyle w:val="Heading2"/>
      </w:pPr>
      <w:r>
        <w:t xml:space="preserve">一、项目信息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500" w:type="dxa"/>
          </w:tcPr>
          <w:p>
            <w:r>
              <w:t xml:space="preserve">项目</w:t>
            </w:r>
          </w:p>
        </w:tc>
        <w:tc>
          <w:tcPr>
            <w:tcW w:w="4500" w:type="dxa"/>
          </w:tcPr>
          <w:p>
            <w: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t xml:space="preserve">项目名称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质检日期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质检人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复核人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委托人及律师角色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目标公司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转让方、受让方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标的股权及比例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签署日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拟交割日或实际交割日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事实材料截止日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法律检索截止日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交易文件完成标准</w:t>
            </w:r>
          </w:p>
        </w:tc>
        <w:tc>
          <w:tcPr>
            <w:tcW w:w="4500" w:type="dxa"/>
          </w:tcPr>
          <w:p/>
        </w:tc>
      </w:tr>
    </w:tbl>
    <w:p>
      <w:pPr>
        <w:pStyle w:val="Heading2"/>
      </w:pPr>
      <w:r>
        <w:t xml:space="preserve">二、当前交割状态</w:t>
      </w:r>
    </w:p>
    <w:p>
      <w:r>
        <w:t xml:space="preserve">请选择一项，并在“状态说明”中写明决定性理由、关键缺口和下一步安排。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500" w:type="dxa"/>
          </w:tcPr>
          <w:p>
            <w:r>
              <w:t xml:space="preserve">当前状态</w:t>
            </w:r>
          </w:p>
        </w:tc>
        <w:tc>
          <w:tcPr>
            <w:tcW w:w="4500" w:type="dxa"/>
          </w:tcPr>
          <w:p>
            <w:r>
              <w:t xml:space="preserve">状态说明</w:t>
            </w:r>
          </w:p>
        </w:tc>
      </w:tr>
      <w:tr>
        <w:tc>
          <w:tcPr>
            <w:tcW w:w="4500" w:type="dxa"/>
          </w:tcPr>
          <w:p>
            <w:r>
              <w:t xml:space="preserve">☐ 已完成交割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☐ 附条件完成交割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☐ 交割延期或中止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☐ 未完成交割</w:t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t xml:space="preserve">☐ 交割存在争议</w:t>
            </w:r>
          </w:p>
        </w:tc>
        <w:tc>
          <w:tcPr>
            <w:tcW w:w="4500" w:type="dxa"/>
          </w:tcPr>
          <w:p/>
        </w:tc>
      </w:tr>
    </w:tbl>
    <w:p>
      <w:r>
        <w:t xml:space="preserve">状态含义：</w:t>
      </w:r>
    </w:p>
    <w:p>
      <w:r>
        <w:t xml:space="preserve">• </w:t>
      </w:r>
      <w:r>
        <w:t xml:space="preserve">已完成交割：交易文件定义的必要交割事件均已完成，证据形成闭环，不存在未完成的交割日必须完成事项或不可豁免的法定障碍；</w:t>
      </w:r>
    </w:p>
    <w:p>
      <w:r>
        <w:t xml:space="preserve">• </w:t>
      </w:r>
      <w:r>
        <w:t xml:space="preserve">附条件完成交割：交易主体交割已完成，但存在经有权主体书面确认且依法可以保留的事项；</w:t>
      </w:r>
    </w:p>
    <w:p>
      <w:r>
        <w:t xml:space="preserve">• </w:t>
      </w:r>
      <w:r>
        <w:t xml:space="preserve">交割延期或中止：交割未完成、延期或中止，文件、款项、公司动作或控制权未释放，或已按约定回退；</w:t>
      </w:r>
    </w:p>
    <w:p>
      <w:r>
        <w:t xml:space="preserve">• </w:t>
      </w:r>
      <w:r>
        <w:t xml:space="preserve">未完成交割：存在阻断条件、关键证据缺失或交易文件完成标准未达成；</w:t>
      </w:r>
    </w:p>
    <w:p>
      <w:r>
        <w:t xml:space="preserve">• </w:t>
      </w:r>
      <w:r>
        <w:t xml:space="preserve">交割存在争议：各方对完成标准、事实、授权、履行情况或法律效果存在实质争议。</w:t>
      </w:r>
    </w:p>
    <w:p>
      <w:pPr>
        <w:pStyle w:val="Heading2"/>
      </w:pPr>
      <w:r>
        <w:t xml:space="preserve">三、条件状态用语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500" w:type="dxa"/>
          </w:tcPr>
          <w:p>
            <w:r>
              <w:t xml:space="preserve">条件状态</w:t>
            </w:r>
          </w:p>
        </w:tc>
        <w:tc>
          <w:tcPr>
            <w:tcW w:w="4500" w:type="dxa"/>
          </w:tcPr>
          <w:p>
            <w:r>
              <w:t xml:space="preserve">含义</w:t>
            </w:r>
          </w:p>
        </w:tc>
      </w:tr>
      <w:tr>
        <w:tc>
          <w:tcPr>
            <w:tcW w:w="4500" w:type="dxa"/>
          </w:tcPr>
          <w:p>
            <w:r>
              <w:t xml:space="preserve">已满足</w:t>
            </w:r>
          </w:p>
        </w:tc>
        <w:tc>
          <w:tcPr>
            <w:tcW w:w="4500" w:type="dxa"/>
          </w:tcPr>
          <w:p>
            <w:r>
              <w:t xml:space="preserve">有证据证明条件已经完成</w:t>
            </w:r>
          </w:p>
        </w:tc>
      </w:tr>
      <w:tr>
        <w:tc>
          <w:tcPr>
            <w:tcW w:w="4500" w:type="dxa"/>
          </w:tcPr>
          <w:p>
            <w:r>
              <w:t xml:space="preserve">交割日必须完成事项</w:t>
            </w:r>
          </w:p>
        </w:tc>
        <w:tc>
          <w:tcPr>
            <w:tcW w:w="4500" w:type="dxa"/>
          </w:tcPr>
          <w:p>
            <w:r>
              <w:t xml:space="preserve">必须在交割日实际签署、交付、核对、释放或完成；未完成不得宣告已完成交割</w:t>
            </w:r>
          </w:p>
        </w:tc>
      </w:tr>
      <w:tr>
        <w:tc>
          <w:tcPr>
            <w:tcW w:w="4500" w:type="dxa"/>
          </w:tcPr>
          <w:p>
            <w:r>
              <w:t xml:space="preserve">已有效豁免</w:t>
            </w:r>
          </w:p>
        </w:tc>
        <w:tc>
          <w:tcPr>
            <w:tcW w:w="4500" w:type="dxa"/>
          </w:tcPr>
          <w:p>
            <w:r>
              <w:t xml:space="preserve">有权主体依交易文件书面豁免，且不属于不可豁免的法定审批、第三人权利或权利限制</w:t>
            </w:r>
          </w:p>
        </w:tc>
      </w:tr>
      <w:tr>
        <w:tc>
          <w:tcPr>
            <w:tcW w:w="4500" w:type="dxa"/>
          </w:tcPr>
          <w:p>
            <w:r>
              <w:t xml:space="preserve">交割后办理事项</w:t>
            </w:r>
          </w:p>
        </w:tc>
        <w:tc>
          <w:tcPr>
            <w:tcW w:w="4500" w:type="dxa"/>
          </w:tcPr>
          <w:p>
            <w:r>
              <w:t xml:space="preserve">依法律或交易文件可在交割后完成；应列入交割后跟踪表</w:t>
            </w:r>
          </w:p>
        </w:tc>
      </w:tr>
      <w:tr>
        <w:tc>
          <w:tcPr>
            <w:tcW w:w="4500" w:type="dxa"/>
          </w:tcPr>
          <w:p>
            <w:r>
              <w:t xml:space="preserve">待核</w:t>
            </w:r>
          </w:p>
        </w:tc>
        <w:tc>
          <w:tcPr>
            <w:tcW w:w="4500" w:type="dxa"/>
          </w:tcPr>
          <w:p>
            <w:r>
              <w:t xml:space="preserve">证据不足、查询未完成或事实无法确认</w:t>
            </w:r>
          </w:p>
        </w:tc>
      </w:tr>
      <w:tr>
        <w:tc>
          <w:tcPr>
            <w:tcW w:w="4500" w:type="dxa"/>
          </w:tcPr>
          <w:p>
            <w:r>
              <w:t xml:space="preserve">未满足</w:t>
            </w:r>
          </w:p>
        </w:tc>
        <w:tc>
          <w:tcPr>
            <w:tcW w:w="4500" w:type="dxa"/>
          </w:tcPr>
          <w:p>
            <w:r>
              <w:t xml:space="preserve">条件未完成或已失败</w:t>
            </w:r>
          </w:p>
        </w:tc>
      </w:tr>
      <w:tr>
        <w:tc>
          <w:tcPr>
            <w:tcW w:w="4500" w:type="dxa"/>
          </w:tcPr>
          <w:p>
            <w:r>
              <w:t xml:space="preserve">不适用</w:t>
            </w:r>
          </w:p>
        </w:tc>
        <w:tc>
          <w:tcPr>
            <w:tcW w:w="4500" w:type="dxa"/>
          </w:tcPr>
          <w:p>
            <w:r>
              <w:t xml:space="preserve">经事实说明不适用于本次交易；不得留空</w:t>
            </w:r>
          </w:p>
        </w:tc>
      </w:tr>
    </w:tbl>
    <w:p>
      <w:pPr>
        <w:pStyle w:val="Heading2"/>
      </w:pPr>
      <w:r>
        <w:t xml:space="preserve">四、主质检表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285" w:type="dxa"/>
          </w:tcPr>
          <w:p>
            <w:r>
              <w:t xml:space="preserve">编号</w:t>
            </w:r>
          </w:p>
        </w:tc>
        <w:tc>
          <w:tcPr>
            <w:tcW w:w="1285" w:type="dxa"/>
          </w:tcPr>
          <w:p>
            <w:r>
              <w:t xml:space="preserve">质检模块</w:t>
            </w:r>
          </w:p>
        </w:tc>
        <w:tc>
          <w:tcPr>
            <w:tcW w:w="1285" w:type="dxa"/>
          </w:tcPr>
          <w:p>
            <w:r>
              <w:t xml:space="preserve">质检标准与证据</w:t>
            </w:r>
          </w:p>
        </w:tc>
        <w:tc>
          <w:tcPr>
            <w:tcW w:w="1285" w:type="dxa"/>
          </w:tcPr>
          <w:p>
            <w:r>
              <w:t xml:space="preserve">义务来源</w:t>
            </w:r>
          </w:p>
        </w:tc>
        <w:tc>
          <w:tcPr>
            <w:tcW w:w="1285" w:type="dxa"/>
          </w:tcPr>
          <w:p>
            <w:r>
              <w:t xml:space="preserve">浙江初稿映射</w:t>
            </w:r>
          </w:p>
        </w:tc>
        <w:tc>
          <w:tcPr>
            <w:tcW w:w="1285" w:type="dxa"/>
          </w:tcPr>
          <w:p>
            <w:r>
              <w:t xml:space="preserve">风险级别</w:t>
            </w:r>
          </w:p>
        </w:tc>
        <w:tc>
          <w:tcPr>
            <w:tcW w:w="1285" w:type="dxa"/>
          </w:tcPr>
          <w:p>
            <w:r>
              <w:t xml:space="preserve">质检结果</w:t>
            </w:r>
          </w:p>
        </w:tc>
      </w:tr>
      <w:tr>
        <w:tc>
          <w:tcPr>
            <w:tcW w:w="1285" w:type="dxa"/>
          </w:tcPr>
          <w:p>
            <w:r>
              <w:t xml:space="preserve">质01</w:t>
            </w:r>
          </w:p>
        </w:tc>
        <w:tc>
          <w:tcPr>
            <w:tcW w:w="1285" w:type="dxa"/>
          </w:tcPr>
          <w:p>
            <w:r>
              <w:t xml:space="preserve">委托与利益冲突</w:t>
            </w:r>
          </w:p>
        </w:tc>
        <w:tc>
          <w:tcPr>
            <w:tcW w:w="1285" w:type="dxa"/>
          </w:tcPr>
          <w:p>
            <w:r>
              <w:t xml:space="preserve">律师角色、委托范围、客户指令、利益冲突、收费边界已确认；不越权出具意见</w:t>
            </w:r>
          </w:p>
        </w:tc>
        <w:tc>
          <w:tcPr>
            <w:tcW w:w="1285" w:type="dxa"/>
          </w:tcPr>
          <w:p>
            <w:r>
              <w:t xml:space="preserve">委托合同、执业规范</w:t>
            </w:r>
          </w:p>
        </w:tc>
        <w:tc>
          <w:tcPr>
            <w:tcW w:w="1285" w:type="dxa"/>
          </w:tcPr>
          <w:p>
            <w:r>
              <w:t xml:space="preserve">前言、第21条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质02</w:t>
            </w:r>
          </w:p>
        </w:tc>
        <w:tc>
          <w:tcPr>
            <w:tcW w:w="1285" w:type="dxa"/>
          </w:tcPr>
          <w:p>
            <w:r>
              <w:t xml:space="preserve">交易文件版本</w:t>
            </w:r>
          </w:p>
        </w:tc>
        <w:tc>
          <w:tcPr>
            <w:tcW w:w="1285" w:type="dxa"/>
          </w:tcPr>
          <w:p>
            <w:r>
              <w:t xml:space="preserve">主协议、补充协议、章程、股东名册、披露清单已锁定版本；文件冲突时的效力顺序明确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第3.1条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质03</w:t>
            </w:r>
          </w:p>
        </w:tc>
        <w:tc>
          <w:tcPr>
            <w:tcW w:w="1285" w:type="dxa"/>
          </w:tcPr>
          <w:p>
            <w:r>
              <w:t xml:space="preserve">交割完成标准</w:t>
            </w:r>
          </w:p>
        </w:tc>
        <w:tc>
          <w:tcPr>
            <w:tcW w:w="1285" w:type="dxa"/>
          </w:tcPr>
          <w:p>
            <w:r>
              <w:t xml:space="preserve">已区分付款、文件交付、股东名册记载、变更登记、控制权移交各自是否属于完成标准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第3.1.2、3.1.3条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质04</w:t>
            </w:r>
          </w:p>
        </w:tc>
        <w:tc>
          <w:tcPr>
            <w:tcW w:w="1285" w:type="dxa"/>
          </w:tcPr>
          <w:p>
            <w:r>
              <w:t xml:space="preserve">交割前法律状态</w:t>
            </w:r>
          </w:p>
        </w:tc>
        <w:tc>
          <w:tcPr>
            <w:tcW w:w="1285" w:type="dxa"/>
          </w:tcPr>
          <w:p>
            <w:r>
              <w:t xml:space="preserve">截至事实材料截止日，权属、登记、名册、出资、权利限制、代持线索已复核</w:t>
            </w:r>
          </w:p>
        </w:tc>
        <w:tc>
          <w:tcPr>
            <w:tcW w:w="1285" w:type="dxa"/>
          </w:tcPr>
          <w:p>
            <w:r>
              <w:t xml:space="preserve">律师核查</w:t>
            </w:r>
          </w:p>
        </w:tc>
        <w:tc>
          <w:tcPr>
            <w:tcW w:w="1285" w:type="dxa"/>
          </w:tcPr>
          <w:p>
            <w:r>
              <w:t xml:space="preserve">第1.1、1.1.1条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质05</w:t>
            </w:r>
          </w:p>
        </w:tc>
        <w:tc>
          <w:tcPr>
            <w:tcW w:w="1285" w:type="dxa"/>
          </w:tcPr>
          <w:p>
            <w:r>
              <w:t xml:space="preserve">查询截止日</w:t>
            </w:r>
          </w:p>
        </w:tc>
        <w:tc>
          <w:tcPr>
            <w:tcW w:w="1285" w:type="dxa"/>
          </w:tcPr>
          <w:p>
            <w:r>
              <w:t xml:space="preserve">公示、司法、执行、登记档案查询均注明查询时间、范围和结果；未查询事项标记待核</w:t>
            </w:r>
          </w:p>
        </w:tc>
        <w:tc>
          <w:tcPr>
            <w:tcW w:w="1285" w:type="dxa"/>
          </w:tcPr>
          <w:p>
            <w:r>
              <w:t xml:space="preserve">律师内控</w:t>
            </w:r>
          </w:p>
        </w:tc>
        <w:tc>
          <w:tcPr>
            <w:tcW w:w="1285" w:type="dxa"/>
          </w:tcPr>
          <w:p>
            <w:r>
              <w:t xml:space="preserve">第1.1.2条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质06</w:t>
            </w:r>
          </w:p>
        </w:tc>
        <w:tc>
          <w:tcPr>
            <w:tcW w:w="1285" w:type="dxa"/>
          </w:tcPr>
          <w:p>
            <w:r>
              <w:t xml:space="preserve">标的股权权利限制</w:t>
            </w:r>
          </w:p>
        </w:tc>
        <w:tc>
          <w:tcPr>
            <w:tcW w:w="1285" w:type="dxa"/>
          </w:tcPr>
          <w:p>
            <w:r>
              <w:t xml:space="preserve">质押、冻结、查封、执行、代持、信托、第三人权利已核查；未解除的权利限制阻断交割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第1.1.2条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质07</w:t>
            </w:r>
          </w:p>
        </w:tc>
        <w:tc>
          <w:tcPr>
            <w:tcW w:w="1285" w:type="dxa"/>
          </w:tcPr>
          <w:p>
            <w:r>
              <w:t xml:space="preserve">公司对外担保</w:t>
            </w:r>
          </w:p>
        </w:tc>
        <w:tc>
          <w:tcPr>
            <w:tcW w:w="1285" w:type="dxa"/>
          </w:tcPr>
          <w:p>
            <w:r>
              <w:t xml:space="preserve">关联担保、决议程序、担保余额、解除安排或风险预留已核查；不笼统认定为抽逃出资</w:t>
            </w:r>
          </w:p>
        </w:tc>
        <w:tc>
          <w:tcPr>
            <w:tcW w:w="1285" w:type="dxa"/>
          </w:tcPr>
          <w:p>
            <w:r>
              <w:t xml:space="preserve">法律、公司治理文件</w:t>
            </w:r>
          </w:p>
        </w:tc>
        <w:tc>
          <w:tcPr>
            <w:tcW w:w="1285" w:type="dxa"/>
          </w:tcPr>
          <w:p>
            <w:r>
              <w:t xml:space="preserve">第1.1.4条</w:t>
            </w:r>
          </w:p>
        </w:tc>
        <w:tc>
          <w:tcPr>
            <w:tcW w:w="1285" w:type="dxa"/>
          </w:tcPr>
          <w:p>
            <w:r>
              <w:t xml:space="preserve">视风险情况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质08</w:t>
            </w:r>
          </w:p>
        </w:tc>
        <w:tc>
          <w:tcPr>
            <w:tcW w:w="1285" w:type="dxa"/>
          </w:tcPr>
          <w:p>
            <w:r>
              <w:t xml:space="preserve">未届期认缴出资</w:t>
            </w:r>
          </w:p>
        </w:tc>
        <w:tc>
          <w:tcPr>
            <w:tcW w:w="1285" w:type="dxa"/>
          </w:tcPr>
          <w:p>
            <w:r>
              <w:t xml:space="preserve">已约定后续出资义务承担、转让人补充责任及追偿安排</w:t>
            </w:r>
          </w:p>
        </w:tc>
        <w:tc>
          <w:tcPr>
            <w:tcW w:w="1285" w:type="dxa"/>
          </w:tcPr>
          <w:p>
            <w:r>
              <w:t xml:space="preserve">现行《公司法》</w:t>
            </w:r>
          </w:p>
        </w:tc>
        <w:tc>
          <w:tcPr>
            <w:tcW w:w="1285" w:type="dxa"/>
          </w:tcPr>
          <w:p>
            <w:r>
              <w:t xml:space="preserve">第1.1.3条</w:t>
            </w:r>
          </w:p>
        </w:tc>
        <w:tc>
          <w:tcPr>
            <w:tcW w:w="1285" w:type="dxa"/>
          </w:tcPr>
          <w:p>
            <w:r>
              <w:t xml:space="preserve">适用时高风险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质09</w:t>
            </w:r>
          </w:p>
        </w:tc>
        <w:tc>
          <w:tcPr>
            <w:tcW w:w="1285" w:type="dxa"/>
          </w:tcPr>
          <w:p>
            <w:r>
              <w:t xml:space="preserve">出资瑕疵</w:t>
            </w:r>
          </w:p>
        </w:tc>
        <w:tc>
          <w:tcPr>
            <w:tcW w:w="1285" w:type="dxa"/>
          </w:tcPr>
          <w:p>
            <w:r>
              <w:t xml:space="preserve">逾期未缴、非货币出资不足、抽逃出资、虚假出资分别核查；不统一写成未实缴</w:t>
            </w:r>
          </w:p>
        </w:tc>
        <w:tc>
          <w:tcPr>
            <w:tcW w:w="1285" w:type="dxa"/>
          </w:tcPr>
          <w:p>
            <w:r>
              <w:t xml:space="preserve">现行《公司法》</w:t>
            </w:r>
          </w:p>
        </w:tc>
        <w:tc>
          <w:tcPr>
            <w:tcW w:w="1285" w:type="dxa"/>
          </w:tcPr>
          <w:p>
            <w:r>
              <w:t xml:space="preserve">第1.1.3条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质10</w:t>
            </w:r>
          </w:p>
        </w:tc>
        <w:tc>
          <w:tcPr>
            <w:tcW w:w="1285" w:type="dxa"/>
          </w:tcPr>
          <w:p>
            <w:r>
              <w:t xml:space="preserve">优先购买权</w:t>
            </w:r>
          </w:p>
        </w:tc>
        <w:tc>
          <w:tcPr>
            <w:tcW w:w="1285" w:type="dxa"/>
          </w:tcPr>
          <w:p>
            <w:r>
              <w:t xml:space="preserve">通知载明数量、价格、支付方式和期限；送达、期限、放弃或未答复证据完整；最终交易条件与通知条件一致</w:t>
            </w:r>
          </w:p>
        </w:tc>
        <w:tc>
          <w:tcPr>
            <w:tcW w:w="1285" w:type="dxa"/>
          </w:tcPr>
          <w:p>
            <w:r>
              <w:t xml:space="preserve">法律、公司章程</w:t>
            </w:r>
          </w:p>
        </w:tc>
        <w:tc>
          <w:tcPr>
            <w:tcW w:w="1285" w:type="dxa"/>
          </w:tcPr>
          <w:p>
            <w:r>
              <w:t xml:space="preserve">第1.2条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质11</w:t>
            </w:r>
          </w:p>
        </w:tc>
        <w:tc>
          <w:tcPr>
            <w:tcW w:w="1285" w:type="dxa"/>
          </w:tcPr>
          <w:p>
            <w:r>
              <w:t xml:space="preserve">公司动作请求</w:t>
            </w:r>
          </w:p>
        </w:tc>
        <w:tc>
          <w:tcPr>
            <w:tcW w:w="1285" w:type="dxa"/>
          </w:tcPr>
          <w:p>
            <w:r>
              <w:t xml:space="preserve">转让人或受让人已书面通知公司请求变更股东名册并办理变更登记；公司拒绝时的催告和诉讼路径明确</w:t>
            </w:r>
          </w:p>
        </w:tc>
        <w:tc>
          <w:tcPr>
            <w:tcW w:w="1285" w:type="dxa"/>
          </w:tcPr>
          <w:p>
            <w:r>
              <w:t xml:space="preserve">现行《公司法》</w:t>
            </w:r>
          </w:p>
        </w:tc>
        <w:tc>
          <w:tcPr>
            <w:tcW w:w="1285" w:type="dxa"/>
          </w:tcPr>
          <w:p>
            <w:r>
              <w:t xml:space="preserve">第6条</w:t>
            </w:r>
          </w:p>
        </w:tc>
        <w:tc>
          <w:tcPr>
            <w:tcW w:w="1285" w:type="dxa"/>
          </w:tcPr>
          <w:p>
            <w:r>
              <w:t xml:space="preserve">适用时高风险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质12</w:t>
            </w:r>
          </w:p>
        </w:tc>
        <w:tc>
          <w:tcPr>
            <w:tcW w:w="1285" w:type="dxa"/>
          </w:tcPr>
          <w:p>
            <w:r>
              <w:t xml:space="preserve">公司重大障碍</w:t>
            </w:r>
          </w:p>
        </w:tc>
        <w:tc>
          <w:tcPr>
            <w:tcW w:w="1285" w:type="dxa"/>
          </w:tcPr>
          <w:p>
            <w:r>
              <w:t xml:space="preserve">仅核查影响交割的资质、重大合同、债务、税务、诉讼等事项；不扩大为完整法律尽职调查</w:t>
            </w:r>
          </w:p>
        </w:tc>
        <w:tc>
          <w:tcPr>
            <w:tcW w:w="1285" w:type="dxa"/>
          </w:tcPr>
          <w:p>
            <w:r>
              <w:t xml:space="preserve">交易文件、法律</w:t>
            </w:r>
          </w:p>
        </w:tc>
        <w:tc>
          <w:tcPr>
            <w:tcW w:w="1285" w:type="dxa"/>
          </w:tcPr>
          <w:p>
            <w:r>
              <w:t xml:space="preserve">第1.3条</w:t>
            </w:r>
          </w:p>
        </w:tc>
        <w:tc>
          <w:tcPr>
            <w:tcW w:w="1285" w:type="dxa"/>
          </w:tcPr>
          <w:p>
            <w:r>
              <w:t xml:space="preserve">视交易情况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质13</w:t>
            </w:r>
          </w:p>
        </w:tc>
        <w:tc>
          <w:tcPr>
            <w:tcW w:w="1285" w:type="dxa"/>
          </w:tcPr>
          <w:p>
            <w:r>
              <w:t xml:space="preserve">特殊资质</w:t>
            </w:r>
          </w:p>
        </w:tc>
        <w:tc>
          <w:tcPr>
            <w:tcW w:w="1285" w:type="dxa"/>
          </w:tcPr>
          <w:p>
            <w:r>
              <w:t xml:space="preserve">高新技术企业、行业许可、核心知识产权有效期及持续符合条件已核查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第1.3.1条</w:t>
            </w:r>
          </w:p>
        </w:tc>
        <w:tc>
          <w:tcPr>
            <w:tcW w:w="1285" w:type="dxa"/>
          </w:tcPr>
          <w:p>
            <w:r>
              <w:t xml:space="preserve">视交易情况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质14</w:t>
            </w:r>
          </w:p>
        </w:tc>
        <w:tc>
          <w:tcPr>
            <w:tcW w:w="1285" w:type="dxa"/>
          </w:tcPr>
          <w:p>
            <w:r>
              <w:t xml:space="preserve">先决条件矩阵</w:t>
            </w:r>
          </w:p>
        </w:tc>
        <w:tc>
          <w:tcPr>
            <w:tcW w:w="1285" w:type="dxa"/>
          </w:tcPr>
          <w:p>
            <w:r>
              <w:t xml:space="preserve">每项条件均有依据、责任人、截止日、证据、状态；待核不视为已满足</w:t>
            </w:r>
          </w:p>
        </w:tc>
        <w:tc>
          <w:tcPr>
            <w:tcW w:w="1285" w:type="dxa"/>
          </w:tcPr>
          <w:p>
            <w:r>
              <w:t xml:space="preserve">交易文件、法律</w:t>
            </w:r>
          </w:p>
        </w:tc>
        <w:tc>
          <w:tcPr>
            <w:tcW w:w="1285" w:type="dxa"/>
          </w:tcPr>
          <w:p>
            <w:r>
              <w:t xml:space="preserve">第2.1条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质15</w:t>
            </w:r>
          </w:p>
        </w:tc>
        <w:tc>
          <w:tcPr>
            <w:tcW w:w="1285" w:type="dxa"/>
          </w:tcPr>
          <w:p>
            <w:r>
              <w:t xml:space="preserve">经营者集中</w:t>
            </w:r>
          </w:p>
        </w:tc>
        <w:tc>
          <w:tcPr>
            <w:tcW w:w="1285" w:type="dxa"/>
          </w:tcPr>
          <w:p>
            <w:r>
              <w:t xml:space="preserve">是否取得控制权或决定性影响、营业额门槛、申报义务、等待期、允许实施决定已核验；未完成不得实施集中</w:t>
            </w:r>
          </w:p>
        </w:tc>
        <w:tc>
          <w:tcPr>
            <w:tcW w:w="1285" w:type="dxa"/>
          </w:tcPr>
          <w:p>
            <w:r>
              <w:t xml:space="preserve">法律</w:t>
            </w:r>
          </w:p>
        </w:tc>
        <w:tc>
          <w:tcPr>
            <w:tcW w:w="1285" w:type="dxa"/>
          </w:tcPr>
          <w:p>
            <w:r>
              <w:t xml:space="preserve">第2.1条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质16</w:t>
            </w:r>
          </w:p>
        </w:tc>
        <w:tc>
          <w:tcPr>
            <w:tcW w:w="1285" w:type="dxa"/>
          </w:tcPr>
          <w:p>
            <w:r>
              <w:t xml:space="preserve">条件豁免</w:t>
            </w:r>
          </w:p>
        </w:tc>
        <w:tc>
          <w:tcPr>
            <w:tcW w:w="1285" w:type="dxa"/>
          </w:tcPr>
          <w:p>
            <w:r>
              <w:t xml:space="preserve">豁免方有权、书面、范围明确；法定审批、第三人权利、查封冻结不得由一方越权豁免</w:t>
            </w:r>
          </w:p>
        </w:tc>
        <w:tc>
          <w:tcPr>
            <w:tcW w:w="1285" w:type="dxa"/>
          </w:tcPr>
          <w:p>
            <w:r>
              <w:t xml:space="preserve">交易文件、法律</w:t>
            </w:r>
          </w:p>
        </w:tc>
        <w:tc>
          <w:tcPr>
            <w:tcW w:w="1285" w:type="dxa"/>
          </w:tcPr>
          <w:p>
            <w:r>
              <w:t xml:space="preserve">第2.2条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质17</w:t>
            </w:r>
          </w:p>
        </w:tc>
        <w:tc>
          <w:tcPr>
            <w:tcW w:w="1285" w:type="dxa"/>
          </w:tcPr>
          <w:p>
            <w:r>
              <w:t xml:space="preserve">重大不利变化</w:t>
            </w:r>
          </w:p>
        </w:tc>
        <w:tc>
          <w:tcPr>
            <w:tcW w:w="1285" w:type="dxa"/>
          </w:tcPr>
          <w:p>
            <w:r>
              <w:t xml:space="preserve">按交易文件定义和证据判断；中止、调价、延期路径明确；不直接套用外部示例指标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第2.3条</w:t>
            </w:r>
          </w:p>
        </w:tc>
        <w:tc>
          <w:tcPr>
            <w:tcW w:w="1285" w:type="dxa"/>
          </w:tcPr>
          <w:p>
            <w:r>
              <w:t xml:space="preserve">视交易文件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质18</w:t>
            </w:r>
          </w:p>
        </w:tc>
        <w:tc>
          <w:tcPr>
            <w:tcW w:w="1285" w:type="dxa"/>
          </w:tcPr>
          <w:p>
            <w:r>
              <w:t xml:space="preserve">资金监管</w:t>
            </w:r>
          </w:p>
        </w:tc>
        <w:tc>
          <w:tcPr>
            <w:tcW w:w="1285" w:type="dxa"/>
          </w:tcPr>
          <w:p>
            <w:r>
              <w:t xml:space="preserve">共管、托管、释放、退款、违约处理机制可执行；不硬编码固定释放比例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第2.4条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质19</w:t>
            </w:r>
          </w:p>
        </w:tc>
        <w:tc>
          <w:tcPr>
            <w:tcW w:w="1285" w:type="dxa"/>
          </w:tcPr>
          <w:p>
            <w:r>
              <w:t xml:space="preserve">付款安全</w:t>
            </w:r>
          </w:p>
        </w:tc>
        <w:tc>
          <w:tcPr>
            <w:tcW w:w="1285" w:type="dxa"/>
          </w:tcPr>
          <w:p>
            <w:r>
              <w:t xml:space="preserve">收付款账户经双人核验；资金来源、反洗钱、跨境支付、退款路径已确认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第9.3、9.4条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质20</w:t>
            </w:r>
          </w:p>
        </w:tc>
        <w:tc>
          <w:tcPr>
            <w:tcW w:w="1285" w:type="dxa"/>
          </w:tcPr>
          <w:p>
            <w:r>
              <w:t xml:space="preserve">最小必要文件包</w:t>
            </w:r>
          </w:p>
        </w:tc>
        <w:tc>
          <w:tcPr>
            <w:tcW w:w="1285" w:type="dxa"/>
          </w:tcPr>
          <w:p>
            <w:r>
              <w:t xml:space="preserve">只生成被本次交易触发的文件；每份文件有身份、签署主体、接收方、释放条件和证据来源</w:t>
            </w:r>
          </w:p>
        </w:tc>
        <w:tc>
          <w:tcPr>
            <w:tcW w:w="1285" w:type="dxa"/>
          </w:tcPr>
          <w:p>
            <w:r>
              <w:t xml:space="preserve">技能内控规则</w:t>
            </w:r>
          </w:p>
        </w:tc>
        <w:tc>
          <w:tcPr>
            <w:tcW w:w="1285" w:type="dxa"/>
          </w:tcPr>
          <w:p>
            <w:r>
              <w:t xml:space="preserve">第3条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质21</w:t>
            </w:r>
          </w:p>
        </w:tc>
        <w:tc>
          <w:tcPr>
            <w:tcW w:w="1285" w:type="dxa"/>
          </w:tcPr>
          <w:p>
            <w:r>
              <w:t xml:space="preserve">陈述保证更新</w:t>
            </w:r>
          </w:p>
        </w:tc>
        <w:tc>
          <w:tcPr>
            <w:tcW w:w="1285" w:type="dxa"/>
          </w:tcPr>
          <w:p>
            <w:r>
              <w:t xml:space="preserve">交割日更新、例外披露、赔偿、回购、保证期间按交易文件执行；不扩大原陈述范围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第3.1.6、3.1.7条</w:t>
            </w:r>
          </w:p>
        </w:tc>
        <w:tc>
          <w:tcPr>
            <w:tcW w:w="1285" w:type="dxa"/>
          </w:tcPr>
          <w:p>
            <w:r>
              <w:t xml:space="preserve">适用时高风险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质22</w:t>
            </w:r>
          </w:p>
        </w:tc>
        <w:tc>
          <w:tcPr>
            <w:tcW w:w="1285" w:type="dxa"/>
          </w:tcPr>
          <w:p>
            <w:r>
              <w:t xml:space="preserve">债权债务与担保</w:t>
            </w:r>
          </w:p>
        </w:tc>
        <w:tc>
          <w:tcPr>
            <w:tcW w:w="1285" w:type="dxa"/>
          </w:tcPr>
          <w:p>
            <w:r>
              <w:t xml:space="preserve">往来款、或有负债、债权人同意、抵销、预留款和追偿安排明确</w:t>
            </w:r>
          </w:p>
        </w:tc>
        <w:tc>
          <w:tcPr>
            <w:tcW w:w="1285" w:type="dxa"/>
          </w:tcPr>
          <w:p>
            <w:r>
              <w:t xml:space="preserve">交易文件、法律</w:t>
            </w:r>
          </w:p>
        </w:tc>
        <w:tc>
          <w:tcPr>
            <w:tcW w:w="1285" w:type="dxa"/>
          </w:tcPr>
          <w:p>
            <w:r>
              <w:t xml:space="preserve">第1.1.4、3.1.8条</w:t>
            </w:r>
          </w:p>
        </w:tc>
        <w:tc>
          <w:tcPr>
            <w:tcW w:w="1285" w:type="dxa"/>
          </w:tcPr>
          <w:p>
            <w:r>
              <w:t xml:space="preserve">视交易情况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质23</w:t>
            </w:r>
          </w:p>
        </w:tc>
        <w:tc>
          <w:tcPr>
            <w:tcW w:w="1285" w:type="dxa"/>
          </w:tcPr>
          <w:p>
            <w:r>
              <w:t xml:space="preserve">治理变更</w:t>
            </w:r>
          </w:p>
        </w:tc>
        <w:tc>
          <w:tcPr>
            <w:tcW w:w="1285" w:type="dxa"/>
          </w:tcPr>
          <w:p>
            <w:r>
              <w:t xml:space="preserve">董事、监事、高级管理人员、法定代表人、表决机制、银行预留印鉴按法律和章程办理；与股权交割分开判断</w:t>
            </w:r>
          </w:p>
        </w:tc>
        <w:tc>
          <w:tcPr>
            <w:tcW w:w="1285" w:type="dxa"/>
          </w:tcPr>
          <w:p>
            <w:r>
              <w:t xml:space="preserve">法律、公司章程</w:t>
            </w:r>
          </w:p>
        </w:tc>
        <w:tc>
          <w:tcPr>
            <w:tcW w:w="1285" w:type="dxa"/>
          </w:tcPr>
          <w:p>
            <w:r>
              <w:t xml:space="preserve">第3.2.1、3.2.2条</w:t>
            </w:r>
          </w:p>
        </w:tc>
        <w:tc>
          <w:tcPr>
            <w:tcW w:w="1285" w:type="dxa"/>
          </w:tcPr>
          <w:p>
            <w:r>
              <w:t xml:space="preserve">视交易情况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质24</w:t>
            </w:r>
          </w:p>
        </w:tc>
        <w:tc>
          <w:tcPr>
            <w:tcW w:w="1285" w:type="dxa"/>
          </w:tcPr>
          <w:p>
            <w:r>
              <w:t xml:space="preserve">税务衔接</w:t>
            </w:r>
          </w:p>
        </w:tc>
        <w:tc>
          <w:tcPr>
            <w:tcW w:w="1285" w:type="dxa"/>
          </w:tcPr>
          <w:p>
            <w:r>
              <w:t xml:space="preserve">纳税义务时点、申报主体、扣缴、完税凭证、印花税、低价核定风险专项核验；不以股东名册变更日作为唯一判断标准</w:t>
            </w:r>
          </w:p>
        </w:tc>
        <w:tc>
          <w:tcPr>
            <w:tcW w:w="1285" w:type="dxa"/>
          </w:tcPr>
          <w:p>
            <w:r>
              <w:t xml:space="preserve">现行税法</w:t>
            </w:r>
          </w:p>
        </w:tc>
        <w:tc>
          <w:tcPr>
            <w:tcW w:w="1285" w:type="dxa"/>
          </w:tcPr>
          <w:p>
            <w:r>
              <w:t xml:space="preserve">第3.2.4、17条</w:t>
            </w:r>
          </w:p>
        </w:tc>
        <w:tc>
          <w:tcPr>
            <w:tcW w:w="1285" w:type="dxa"/>
          </w:tcPr>
          <w:p>
            <w:r>
              <w:t xml:space="preserve">适用时高风险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质25</w:t>
            </w:r>
          </w:p>
        </w:tc>
        <w:tc>
          <w:tcPr>
            <w:tcW w:w="1285" w:type="dxa"/>
          </w:tcPr>
          <w:p>
            <w:r>
              <w:t xml:space="preserve">员工安排</w:t>
            </w:r>
          </w:p>
        </w:tc>
        <w:tc>
          <w:tcPr>
            <w:tcW w:w="1285" w:type="dxa"/>
          </w:tcPr>
          <w:p>
            <w:r>
              <w:t xml:space="preserve">控制权变更是否影响劳动合同、补偿、安置、员工沟通；按适用法律和交易文件判断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第3.2.6条</w:t>
            </w:r>
          </w:p>
        </w:tc>
        <w:tc>
          <w:tcPr>
            <w:tcW w:w="1285" w:type="dxa"/>
          </w:tcPr>
          <w:p>
            <w:r>
              <w:t xml:space="preserve">视交易情况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质26</w:t>
            </w:r>
          </w:p>
        </w:tc>
        <w:tc>
          <w:tcPr>
            <w:tcW w:w="1285" w:type="dxa"/>
          </w:tcPr>
          <w:p>
            <w:r>
              <w:t xml:space="preserve">知识产权移交</w:t>
            </w:r>
          </w:p>
        </w:tc>
        <w:tc>
          <w:tcPr>
            <w:tcW w:w="1285" w:type="dxa"/>
          </w:tcPr>
          <w:p>
            <w:r>
              <w:t xml:space="preserve">核心知识产权、证书、技术资料、研发记录、权属限制逐项交接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第3.2.7条</w:t>
            </w:r>
          </w:p>
        </w:tc>
        <w:tc>
          <w:tcPr>
            <w:tcW w:w="1285" w:type="dxa"/>
          </w:tcPr>
          <w:p>
            <w:r>
              <w:t xml:space="preserve">视交易情况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质27</w:t>
            </w:r>
          </w:p>
        </w:tc>
        <w:tc>
          <w:tcPr>
            <w:tcW w:w="1285" w:type="dxa"/>
          </w:tcPr>
          <w:p>
            <w:r>
              <w:t xml:space="preserve">数据合规交接</w:t>
            </w:r>
          </w:p>
        </w:tc>
        <w:tc>
          <w:tcPr>
            <w:tcW w:w="1285" w:type="dxa"/>
          </w:tcPr>
          <w:p>
            <w:r>
              <w:t xml:space="preserve">个人信息、重要数据、台账、权限、跨境传输、安全措施已核查；敏感信息脱敏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第3.2.8、10.3条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质28</w:t>
            </w:r>
          </w:p>
        </w:tc>
        <w:tc>
          <w:tcPr>
            <w:tcW w:w="1285" w:type="dxa"/>
          </w:tcPr>
          <w:p>
            <w:r>
              <w:t xml:space="preserve">过渡期管控</w:t>
            </w:r>
          </w:p>
        </w:tc>
        <w:tc>
          <w:tcPr>
            <w:tcW w:w="1285" w:type="dxa"/>
          </w:tcPr>
          <w:p>
            <w:r>
              <w:t xml:space="preserve">重大资产处分、新增债务、核心人员变动、损益承担、保证金、审计安排按交易文件监督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第4.1至4.3条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质29</w:t>
            </w:r>
          </w:p>
        </w:tc>
        <w:tc>
          <w:tcPr>
            <w:tcW w:w="1285" w:type="dxa"/>
          </w:tcPr>
          <w:p>
            <w:r>
              <w:t xml:space="preserve">重大事件报告</w:t>
            </w:r>
          </w:p>
        </w:tc>
        <w:tc>
          <w:tcPr>
            <w:tcW w:w="1285" w:type="dxa"/>
          </w:tcPr>
          <w:p>
            <w:r>
              <w:t xml:space="preserve">报告时限按交易文件或内控要求判断；事件、影响、客户决策已记录</w:t>
            </w:r>
          </w:p>
        </w:tc>
        <w:tc>
          <w:tcPr>
            <w:tcW w:w="1285" w:type="dxa"/>
          </w:tcPr>
          <w:p>
            <w:r>
              <w:t xml:space="preserve">交易文件、内控制度</w:t>
            </w:r>
          </w:p>
        </w:tc>
        <w:tc>
          <w:tcPr>
            <w:tcW w:w="1285" w:type="dxa"/>
          </w:tcPr>
          <w:p>
            <w:r>
              <w:t xml:space="preserve">第4.4条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质30</w:t>
            </w:r>
          </w:p>
        </w:tc>
        <w:tc>
          <w:tcPr>
            <w:tcW w:w="1285" w:type="dxa"/>
          </w:tcPr>
          <w:p>
            <w:r>
              <w:t xml:space="preserve">签署与交换</w:t>
            </w:r>
          </w:p>
        </w:tc>
        <w:tc>
          <w:tcPr>
            <w:tcW w:w="1285" w:type="dxa"/>
          </w:tcPr>
          <w:p>
            <w:r>
              <w:t xml:space="preserve">文件版本、签署权限、份数、原件保管、交付清单、签收时间完整</w:t>
            </w:r>
          </w:p>
        </w:tc>
        <w:tc>
          <w:tcPr>
            <w:tcW w:w="1285" w:type="dxa"/>
          </w:tcPr>
          <w:p>
            <w:r>
              <w:t xml:space="preserve">交易文件、内控制度</w:t>
            </w:r>
          </w:p>
        </w:tc>
        <w:tc>
          <w:tcPr>
            <w:tcW w:w="1285" w:type="dxa"/>
          </w:tcPr>
          <w:p>
            <w:r>
              <w:t xml:space="preserve">第5.1条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质31</w:t>
            </w:r>
          </w:p>
        </w:tc>
        <w:tc>
          <w:tcPr>
            <w:tcW w:w="1285" w:type="dxa"/>
          </w:tcPr>
          <w:p>
            <w:r>
              <w:t xml:space="preserve">律师见证边界</w:t>
            </w:r>
          </w:p>
        </w:tc>
        <w:tc>
          <w:tcPr>
            <w:tcW w:w="1285" w:type="dxa"/>
          </w:tcPr>
          <w:p>
            <w:r>
              <w:t xml:space="preserve">仅见证律师实际观察到的签署行为，不担保事实真实性、合同有效性或交易完成</w:t>
            </w:r>
          </w:p>
        </w:tc>
        <w:tc>
          <w:tcPr>
            <w:tcW w:w="1285" w:type="dxa"/>
          </w:tcPr>
          <w:p>
            <w:r>
              <w:t xml:space="preserve">执业规范</w:t>
            </w:r>
          </w:p>
        </w:tc>
        <w:tc>
          <w:tcPr>
            <w:tcW w:w="1285" w:type="dxa"/>
          </w:tcPr>
          <w:p>
            <w:r>
              <w:t xml:space="preserve">第5.1.3.1条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质32</w:t>
            </w:r>
          </w:p>
        </w:tc>
        <w:tc>
          <w:tcPr>
            <w:tcW w:w="1285" w:type="dxa"/>
          </w:tcPr>
          <w:p>
            <w:r>
              <w:t xml:space="preserve">远程签署</w:t>
            </w:r>
          </w:p>
        </w:tc>
        <w:tc>
          <w:tcPr>
            <w:tcW w:w="1285" w:type="dxa"/>
          </w:tcPr>
          <w:p>
            <w:r>
              <w:t xml:space="preserve">身份认证、可靠电子签名、同一版本、录像留存、平台证据完整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第5.1.3.2、10.1条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质33</w:t>
            </w:r>
          </w:p>
        </w:tc>
        <w:tc>
          <w:tcPr>
            <w:tcW w:w="1285" w:type="dxa"/>
          </w:tcPr>
          <w:p>
            <w:r>
              <w:t xml:space="preserve">交割日同步释放</w:t>
            </w:r>
          </w:p>
        </w:tc>
        <w:tc>
          <w:tcPr>
            <w:tcW w:w="1285" w:type="dxa"/>
          </w:tcPr>
          <w:p>
            <w:r>
              <w:t xml:space="preserve">文件、价款、公司动作、控制权按同一顺序或资金监管机制同步释放；出现异常立即暂停</w:t>
            </w:r>
          </w:p>
        </w:tc>
        <w:tc>
          <w:tcPr>
            <w:tcW w:w="1285" w:type="dxa"/>
          </w:tcPr>
          <w:p>
            <w:r>
              <w:t xml:space="preserve">交易文件、内控制度</w:t>
            </w:r>
          </w:p>
        </w:tc>
        <w:tc>
          <w:tcPr>
            <w:tcW w:w="1285" w:type="dxa"/>
          </w:tcPr>
          <w:p>
            <w:r>
              <w:t xml:space="preserve">第5.1.3.3条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质34</w:t>
            </w:r>
          </w:p>
        </w:tc>
        <w:tc>
          <w:tcPr>
            <w:tcW w:w="1285" w:type="dxa"/>
          </w:tcPr>
          <w:p>
            <w:r>
              <w:t xml:space="preserve">股东名册效力分层</w:t>
            </w:r>
          </w:p>
        </w:tc>
        <w:tc>
          <w:tcPr>
            <w:tcW w:w="1285" w:type="dxa"/>
          </w:tcPr>
          <w:p>
            <w:r>
              <w:t xml:space="preserve">分别判断合同履行、名册记载、向公司主张股东权利、登记对抗、价款支付、控制权移交；按现行法律核验</w:t>
            </w:r>
          </w:p>
        </w:tc>
        <w:tc>
          <w:tcPr>
            <w:tcW w:w="1285" w:type="dxa"/>
          </w:tcPr>
          <w:p>
            <w:r>
              <w:t xml:space="preserve">现行《公司法》</w:t>
            </w:r>
          </w:p>
        </w:tc>
        <w:tc>
          <w:tcPr>
            <w:tcW w:w="1285" w:type="dxa"/>
          </w:tcPr>
          <w:p>
            <w:r>
              <w:t xml:space="preserve">第6.1至6.3条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质35</w:t>
            </w:r>
          </w:p>
        </w:tc>
        <w:tc>
          <w:tcPr>
            <w:tcW w:w="1285" w:type="dxa"/>
          </w:tcPr>
          <w:p>
            <w:r>
              <w:t xml:space="preserve">名册与登记不一致</w:t>
            </w:r>
          </w:p>
        </w:tc>
        <w:tc>
          <w:tcPr>
            <w:tcW w:w="1285" w:type="dxa"/>
          </w:tcPr>
          <w:p>
            <w:r>
              <w:t xml:space="preserve">不一致原因、实际权利人、各方确认、补正计划、争议风险已说明</w:t>
            </w:r>
          </w:p>
        </w:tc>
        <w:tc>
          <w:tcPr>
            <w:tcW w:w="1285" w:type="dxa"/>
          </w:tcPr>
          <w:p>
            <w:r>
              <w:t xml:space="preserve">事实核验</w:t>
            </w:r>
          </w:p>
        </w:tc>
        <w:tc>
          <w:tcPr>
            <w:tcW w:w="1285" w:type="dxa"/>
          </w:tcPr>
          <w:p>
            <w:r>
              <w:t xml:space="preserve">第6.3条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质36</w:t>
            </w:r>
          </w:p>
        </w:tc>
        <w:tc>
          <w:tcPr>
            <w:tcW w:w="1285" w:type="dxa"/>
          </w:tcPr>
          <w:p>
            <w:r>
              <w:t xml:space="preserve">名册变更后通知</w:t>
            </w:r>
          </w:p>
        </w:tc>
        <w:tc>
          <w:tcPr>
            <w:tcW w:w="1285" w:type="dxa"/>
          </w:tcPr>
          <w:p>
            <w:r>
              <w:t xml:space="preserve">通知时限按法律、章程、交易文件或内控要求区分；通知对象、内容、送达证据完整</w:t>
            </w:r>
          </w:p>
        </w:tc>
        <w:tc>
          <w:tcPr>
            <w:tcW w:w="1285" w:type="dxa"/>
          </w:tcPr>
          <w:p>
            <w:r>
              <w:t xml:space="preserve">公司章程、交易文件</w:t>
            </w:r>
          </w:p>
        </w:tc>
        <w:tc>
          <w:tcPr>
            <w:tcW w:w="1285" w:type="dxa"/>
          </w:tcPr>
          <w:p>
            <w:r>
              <w:t xml:space="preserve">第6.4条</w:t>
            </w:r>
          </w:p>
        </w:tc>
        <w:tc>
          <w:tcPr>
            <w:tcW w:w="1285" w:type="dxa"/>
          </w:tcPr>
          <w:p>
            <w:r>
              <w:t xml:space="preserve">中风险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质37</w:t>
            </w:r>
          </w:p>
        </w:tc>
        <w:tc>
          <w:tcPr>
            <w:tcW w:w="1285" w:type="dxa"/>
          </w:tcPr>
          <w:p>
            <w:r>
              <w:t xml:space="preserve">记载性章程修改</w:t>
            </w:r>
          </w:p>
        </w:tc>
        <w:tc>
          <w:tcPr>
            <w:tcW w:w="1285" w:type="dxa"/>
          </w:tcPr>
          <w:p>
            <w:r>
              <w:t xml:space="preserve">仅反映股权转让后股东及出资额的章程修改，不机械要求另行股东会表决</w:t>
            </w:r>
          </w:p>
        </w:tc>
        <w:tc>
          <w:tcPr>
            <w:tcW w:w="1285" w:type="dxa"/>
          </w:tcPr>
          <w:p>
            <w:r>
              <w:t xml:space="preserve">现行《公司法》</w:t>
            </w:r>
          </w:p>
        </w:tc>
        <w:tc>
          <w:tcPr>
            <w:tcW w:w="1285" w:type="dxa"/>
          </w:tcPr>
          <w:p>
            <w:r>
              <w:t xml:space="preserve">第7条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质38</w:t>
            </w:r>
          </w:p>
        </w:tc>
        <w:tc>
          <w:tcPr>
            <w:tcW w:w="1285" w:type="dxa"/>
          </w:tcPr>
          <w:p>
            <w:r>
              <w:t xml:space="preserve">实质性章程修改</w:t>
            </w:r>
          </w:p>
        </w:tc>
        <w:tc>
          <w:tcPr>
            <w:tcW w:w="1285" w:type="dxa"/>
          </w:tcPr>
          <w:p>
            <w:r>
              <w:t xml:space="preserve">治理结构、表决机制、经营范围等实质修改，按法律和章程另行表决</w:t>
            </w:r>
          </w:p>
        </w:tc>
        <w:tc>
          <w:tcPr>
            <w:tcW w:w="1285" w:type="dxa"/>
          </w:tcPr>
          <w:p>
            <w:r>
              <w:t xml:space="preserve">法律、公司章程</w:t>
            </w:r>
          </w:p>
        </w:tc>
        <w:tc>
          <w:tcPr>
            <w:tcW w:w="1285" w:type="dxa"/>
          </w:tcPr>
          <w:p>
            <w:r>
              <w:t xml:space="preserve">第7.1条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质39</w:t>
            </w:r>
          </w:p>
        </w:tc>
        <w:tc>
          <w:tcPr>
            <w:tcW w:w="1285" w:type="dxa"/>
          </w:tcPr>
          <w:p>
            <w:r>
              <w:t xml:space="preserve">控制权移交</w:t>
            </w:r>
          </w:p>
        </w:tc>
        <w:tc>
          <w:tcPr>
            <w:tcW w:w="1285" w:type="dxa"/>
          </w:tcPr>
          <w:p>
            <w:r>
              <w:t xml:space="preserve">印章、证照、合同、账册、资产、系统权限逐项清点签收；与股权交割分开记载</w:t>
            </w:r>
          </w:p>
        </w:tc>
        <w:tc>
          <w:tcPr>
            <w:tcW w:w="1285" w:type="dxa"/>
          </w:tcPr>
          <w:p>
            <w:r>
              <w:t xml:space="preserve">交易文件约定</w:t>
            </w:r>
          </w:p>
        </w:tc>
        <w:tc>
          <w:tcPr>
            <w:tcW w:w="1285" w:type="dxa"/>
          </w:tcPr>
          <w:p>
            <w:r>
              <w:t xml:space="preserve">第8条</w:t>
            </w:r>
          </w:p>
        </w:tc>
        <w:tc>
          <w:tcPr>
            <w:tcW w:w="1285" w:type="dxa"/>
          </w:tcPr>
          <w:p>
            <w:r>
              <w:t xml:space="preserve">适用时高风险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质40</w:t>
            </w:r>
          </w:p>
        </w:tc>
        <w:tc>
          <w:tcPr>
            <w:tcW w:w="1285" w:type="dxa"/>
          </w:tcPr>
          <w:p>
            <w:r>
              <w:t xml:space="preserve">敏感信息安全</w:t>
            </w:r>
          </w:p>
        </w:tc>
        <w:tc>
          <w:tcPr>
            <w:tcW w:w="1285" w:type="dxa"/>
          </w:tcPr>
          <w:p>
            <w:r>
              <w:t xml:space="preserve">电子密钥、密码、动态验证码、私钥不得写入普通客户文件；通过受控交接单和安全管理流程处理</w:t>
            </w:r>
          </w:p>
        </w:tc>
        <w:tc>
          <w:tcPr>
            <w:tcW w:w="1285" w:type="dxa"/>
          </w:tcPr>
          <w:p>
            <w:r>
              <w:t xml:space="preserve">数据安全规范</w:t>
            </w:r>
          </w:p>
        </w:tc>
        <w:tc>
          <w:tcPr>
            <w:tcW w:w="1285" w:type="dxa"/>
          </w:tcPr>
          <w:p>
            <w:r>
              <w:t xml:space="preserve">第8.4.1条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☐不通过</w:t>
            </w:r>
          </w:p>
        </w:tc>
      </w:tr>
      <w:tr>
        <w:tc>
          <w:tcPr>
            <w:tcW w:w="1285" w:type="dxa"/>
          </w:tcPr>
          <w:p>
            <w:r>
              <w:t xml:space="preserve">质41</w:t>
            </w:r>
          </w:p>
        </w:tc>
        <w:tc>
          <w:tcPr>
            <w:tcW w:w="1285" w:type="dxa"/>
          </w:tcPr>
          <w:p>
            <w:r>
              <w:t xml:space="preserve">价款支付</w:t>
            </w:r>
          </w:p>
        </w:tc>
        <w:tc>
          <w:tcPr>
            <w:tcW w:w="1285" w:type="dxa"/>
          </w:tcPr>
          <w:p>
            <w:r>
              <w:t xml:space="preserve">金额、币种、账户、付款方式、备注、票据、外汇程序与交易文件一致；不把应付写成已付</w:t>
            </w:r>
          </w:p>
        </w:tc>
        <w:tc>
          <w:tcPr>
            <w:tcW w:w="1285" w:type="dxa"/>
          </w:tcPr>
          <w:p>
            <w:r>
              <w:t xml:space="preserve">交易文件、法律</w:t>
            </w:r>
          </w:p>
        </w:tc>
        <w:tc>
          <w:tcPr>
            <w:tcW w:w="1285" w:type="dxa"/>
          </w:tcPr>
          <w:p>
            <w:r>
              <w:t xml:space="preserve">第9条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质42</w:t>
            </w:r>
          </w:p>
        </w:tc>
        <w:tc>
          <w:tcPr>
            <w:tcW w:w="1285" w:type="dxa"/>
          </w:tcPr>
          <w:p>
            <w:r>
              <w:t xml:space="preserve">证据固定</w:t>
            </w:r>
          </w:p>
        </w:tc>
        <w:tc>
          <w:tcPr>
            <w:tcW w:w="1285" w:type="dxa"/>
          </w:tcPr>
          <w:p>
            <w:r>
              <w:t xml:space="preserve">时间戳、哈希值、平台记录仅作为证据增强，不当然证明法律效力；关键节点记录完整</w:t>
            </w:r>
          </w:p>
        </w:tc>
        <w:tc>
          <w:tcPr>
            <w:tcW w:w="1285" w:type="dxa"/>
          </w:tcPr>
          <w:p>
            <w:r>
              <w:t xml:space="preserve">证据规则、内控制度</w:t>
            </w:r>
          </w:p>
        </w:tc>
        <w:tc>
          <w:tcPr>
            <w:tcW w:w="1285" w:type="dxa"/>
          </w:tcPr>
          <w:p>
            <w:r>
              <w:t xml:space="preserve">第10.2条</w:t>
            </w:r>
          </w:p>
        </w:tc>
        <w:tc>
          <w:tcPr>
            <w:tcW w:w="1285" w:type="dxa"/>
          </w:tcPr>
          <w:p>
            <w:r>
              <w:t xml:space="preserve">中风险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质43</w:t>
            </w:r>
          </w:p>
        </w:tc>
        <w:tc>
          <w:tcPr>
            <w:tcW w:w="1285" w:type="dxa"/>
          </w:tcPr>
          <w:p>
            <w:r>
              <w:t xml:space="preserve">变更登记</w:t>
            </w:r>
          </w:p>
        </w:tc>
        <w:tc>
          <w:tcPr>
            <w:tcW w:w="1285" w:type="dxa"/>
          </w:tcPr>
          <w:p>
            <w:r>
              <w:t xml:space="preserve">申请主体、材料、期限、受理或驳回、电子营业执照同步更新已跟踪；律师稿不冒充官方文件</w:t>
            </w:r>
          </w:p>
        </w:tc>
        <w:tc>
          <w:tcPr>
            <w:tcW w:w="1285" w:type="dxa"/>
          </w:tcPr>
          <w:p>
            <w:r>
              <w:t xml:space="preserve">法律</w:t>
            </w:r>
          </w:p>
        </w:tc>
        <w:tc>
          <w:tcPr>
            <w:tcW w:w="1285" w:type="dxa"/>
          </w:tcPr>
          <w:p>
            <w:r>
              <w:t xml:space="preserve">第11条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285" w:type="dxa"/>
          </w:tcPr>
          <w:p>
            <w:r>
              <w:t xml:space="preserve">质44</w:t>
            </w:r>
          </w:p>
        </w:tc>
        <w:tc>
          <w:tcPr>
            <w:tcW w:w="1285" w:type="dxa"/>
          </w:tcPr>
          <w:p>
            <w:r>
              <w:t xml:space="preserve">通知公告</w:t>
            </w:r>
          </w:p>
        </w:tc>
        <w:tc>
          <w:tcPr>
            <w:tcW w:w="1285" w:type="dxa"/>
          </w:tcPr>
          <w:p>
            <w:r>
              <w:t xml:space="preserve">银行、税务、债权人、合同相对方、披露义务按法律和交易文件区分；送达证据完整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第12条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质45</w:t>
            </w:r>
          </w:p>
        </w:tc>
        <w:tc>
          <w:tcPr>
            <w:tcW w:w="1285" w:type="dxa"/>
          </w:tcPr>
          <w:p>
            <w:r>
              <w:t xml:space="preserve">归档保密</w:t>
            </w:r>
          </w:p>
        </w:tc>
        <w:tc>
          <w:tcPr>
            <w:tcW w:w="1285" w:type="dxa"/>
          </w:tcPr>
          <w:p>
            <w:r>
              <w:t xml:space="preserve">版本、证据、查询、签署、付款、检索记录归档；分级访问和保密边界明确</w:t>
            </w:r>
          </w:p>
        </w:tc>
        <w:tc>
          <w:tcPr>
            <w:tcW w:w="1285" w:type="dxa"/>
          </w:tcPr>
          <w:p>
            <w:r>
              <w:t xml:space="preserve">执业规范</w:t>
            </w:r>
          </w:p>
        </w:tc>
        <w:tc>
          <w:tcPr>
            <w:tcW w:w="1285" w:type="dxa"/>
          </w:tcPr>
          <w:p>
            <w:r>
              <w:t xml:space="preserve">第13条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☐不通过</w:t>
            </w:r>
          </w:p>
        </w:tc>
      </w:tr>
      <w:tr>
        <w:tc>
          <w:tcPr>
            <w:tcW w:w="1285" w:type="dxa"/>
          </w:tcPr>
          <w:p>
            <w:r>
              <w:t xml:space="preserve">质46</w:t>
            </w:r>
          </w:p>
        </w:tc>
        <w:tc>
          <w:tcPr>
            <w:tcW w:w="1285" w:type="dxa"/>
          </w:tcPr>
          <w:p>
            <w:r>
              <w:t xml:space="preserve">隐名股东</w:t>
            </w:r>
          </w:p>
        </w:tc>
        <w:tc>
          <w:tcPr>
            <w:tcW w:w="1285" w:type="dxa"/>
          </w:tcPr>
          <w:p>
            <w:r>
              <w:t xml:space="preserve">代持还原、显名程序、其他股东程序、优先购买权和免责边界按行为时法律核验</w:t>
            </w:r>
          </w:p>
        </w:tc>
        <w:tc>
          <w:tcPr>
            <w:tcW w:w="1285" w:type="dxa"/>
          </w:tcPr>
          <w:p>
            <w:r>
              <w:t xml:space="preserve">法律、交易文件</w:t>
            </w:r>
          </w:p>
        </w:tc>
        <w:tc>
          <w:tcPr>
            <w:tcW w:w="1285" w:type="dxa"/>
          </w:tcPr>
          <w:p>
            <w:r>
              <w:t xml:space="preserve">第14条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质47</w:t>
            </w:r>
          </w:p>
        </w:tc>
        <w:tc>
          <w:tcPr>
            <w:tcW w:w="1285" w:type="dxa"/>
          </w:tcPr>
          <w:p>
            <w:r>
              <w:t xml:space="preserve">国资交易</w:t>
            </w:r>
          </w:p>
        </w:tc>
        <w:tc>
          <w:tcPr>
            <w:tcW w:w="1285" w:type="dxa"/>
          </w:tcPr>
          <w:p>
            <w:r>
              <w:t xml:space="preserve">国资身份、审批、评估、进场交易、非公开协议例外、职工安置、交易凭证逐项核验</w:t>
            </w:r>
          </w:p>
        </w:tc>
        <w:tc>
          <w:tcPr>
            <w:tcW w:w="1285" w:type="dxa"/>
          </w:tcPr>
          <w:p>
            <w:r>
              <w:t xml:space="preserve">法律</w:t>
            </w:r>
          </w:p>
        </w:tc>
        <w:tc>
          <w:tcPr>
            <w:tcW w:w="1285" w:type="dxa"/>
          </w:tcPr>
          <w:p>
            <w:r>
              <w:t xml:space="preserve">第15条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质48</w:t>
            </w:r>
          </w:p>
        </w:tc>
        <w:tc>
          <w:tcPr>
            <w:tcW w:w="1285" w:type="dxa"/>
          </w:tcPr>
          <w:p>
            <w:r>
              <w:t xml:space="preserve">外资与安全审查</w:t>
            </w:r>
          </w:p>
        </w:tc>
        <w:tc>
          <w:tcPr>
            <w:tcW w:w="1285" w:type="dxa"/>
          </w:tcPr>
          <w:p>
            <w:r>
              <w:t xml:space="preserve">负面清单、信息报告、安全审查、外汇登记、跨境支付按现行规则核验</w:t>
            </w:r>
          </w:p>
        </w:tc>
        <w:tc>
          <w:tcPr>
            <w:tcW w:w="1285" w:type="dxa"/>
          </w:tcPr>
          <w:p>
            <w:r>
              <w:t xml:space="preserve">法律</w:t>
            </w:r>
          </w:p>
        </w:tc>
        <w:tc>
          <w:tcPr>
            <w:tcW w:w="1285" w:type="dxa"/>
          </w:tcPr>
          <w:p>
            <w:r>
              <w:t xml:space="preserve">第16条</w:t>
            </w:r>
          </w:p>
        </w:tc>
        <w:tc>
          <w:tcPr>
            <w:tcW w:w="1285" w:type="dxa"/>
          </w:tcPr>
          <w:p>
            <w:r>
              <w:t xml:space="preserve">适用时一票否决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质49</w:t>
            </w:r>
          </w:p>
        </w:tc>
        <w:tc>
          <w:tcPr>
            <w:tcW w:w="1285" w:type="dxa"/>
          </w:tcPr>
          <w:p>
            <w:r>
              <w:t xml:space="preserve">税务专项</w:t>
            </w:r>
          </w:p>
        </w:tc>
        <w:tc>
          <w:tcPr>
            <w:tcW w:w="1285" w:type="dxa"/>
          </w:tcPr>
          <w:p>
            <w:r>
              <w:t xml:space="preserve">个人所得税、企业所得税、印花税、非居民税收、特殊性税务处理仅作交割闸门提示，不冒充税务意见</w:t>
            </w:r>
          </w:p>
        </w:tc>
        <w:tc>
          <w:tcPr>
            <w:tcW w:w="1285" w:type="dxa"/>
          </w:tcPr>
          <w:p>
            <w:r>
              <w:t xml:space="preserve">税法</w:t>
            </w:r>
          </w:p>
        </w:tc>
        <w:tc>
          <w:tcPr>
            <w:tcW w:w="1285" w:type="dxa"/>
          </w:tcPr>
          <w:p>
            <w:r>
              <w:t xml:space="preserve">第17条</w:t>
            </w:r>
          </w:p>
        </w:tc>
        <w:tc>
          <w:tcPr>
            <w:tcW w:w="1285" w:type="dxa"/>
          </w:tcPr>
          <w:p>
            <w:r>
              <w:t xml:space="preserve">适用时高风险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质50</w:t>
            </w:r>
          </w:p>
        </w:tc>
        <w:tc>
          <w:tcPr>
            <w:tcW w:w="1285" w:type="dxa"/>
          </w:tcPr>
          <w:p>
            <w:r>
              <w:t xml:space="preserve">争议与应急</w:t>
            </w:r>
          </w:p>
        </w:tc>
        <w:tc>
          <w:tcPr>
            <w:tcW w:w="1285" w:type="dxa"/>
          </w:tcPr>
          <w:p>
            <w:r>
              <w:t xml:space="preserve">交割僵局、拒绝履行、恶意处分、保全、角色转换、利益冲突重估已有路径和客户指令</w:t>
            </w:r>
          </w:p>
        </w:tc>
        <w:tc>
          <w:tcPr>
            <w:tcW w:w="1285" w:type="dxa"/>
          </w:tcPr>
          <w:p>
            <w:r>
              <w:t xml:space="preserve">执业规范</w:t>
            </w:r>
          </w:p>
        </w:tc>
        <w:tc>
          <w:tcPr>
            <w:tcW w:w="1285" w:type="dxa"/>
          </w:tcPr>
          <w:p>
            <w:r>
              <w:t xml:space="preserve">第18至20条</w:t>
            </w:r>
          </w:p>
        </w:tc>
        <w:tc>
          <w:tcPr>
            <w:tcW w:w="1285" w:type="dxa"/>
          </w:tcPr>
          <w:p>
            <w:r>
              <w:t xml:space="preserve">视状态情况</w:t>
            </w:r>
          </w:p>
        </w:tc>
        <w:tc>
          <w:tcPr>
            <w:tcW w:w="1285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285" w:type="dxa"/>
          </w:tcPr>
          <w:p>
            <w:r>
              <w:t xml:space="preserve">质51</w:t>
            </w:r>
          </w:p>
        </w:tc>
        <w:tc>
          <w:tcPr>
            <w:tcW w:w="1285" w:type="dxa"/>
          </w:tcPr>
          <w:p>
            <w:r>
              <w:t xml:space="preserve">执业风险</w:t>
            </w:r>
          </w:p>
        </w:tc>
        <w:tc>
          <w:tcPr>
            <w:tcW w:w="1285" w:type="dxa"/>
          </w:tcPr>
          <w:p>
            <w:r>
              <w:t xml:space="preserve">重要事实书面提示、法律意见范围、依赖限制、免责边界清楚</w:t>
            </w:r>
          </w:p>
        </w:tc>
        <w:tc>
          <w:tcPr>
            <w:tcW w:w="1285" w:type="dxa"/>
          </w:tcPr>
          <w:p>
            <w:r>
              <w:t xml:space="preserve">执业规范</w:t>
            </w:r>
          </w:p>
        </w:tc>
        <w:tc>
          <w:tcPr>
            <w:tcW w:w="1285" w:type="dxa"/>
          </w:tcPr>
          <w:p>
            <w:r>
              <w:t xml:space="preserve">第21条</w:t>
            </w:r>
          </w:p>
        </w:tc>
        <w:tc>
          <w:tcPr>
            <w:tcW w:w="1285" w:type="dxa"/>
          </w:tcPr>
          <w:p>
            <w:r>
              <w:t xml:space="preserve">高风险</w:t>
            </w:r>
          </w:p>
        </w:tc>
        <w:tc>
          <w:tcPr>
            <w:tcW w:w="1285" w:type="dxa"/>
          </w:tcPr>
          <w:p>
            <w:r>
              <w:t xml:space="preserve">☐通过 ☐不通过</w:t>
            </w:r>
          </w:p>
        </w:tc>
      </w:tr>
      <w:tr>
        <w:tc>
          <w:tcPr>
            <w:tcW w:w="1285" w:type="dxa"/>
          </w:tcPr>
          <w:p>
            <w:r>
              <w:t xml:space="preserve">质52</w:t>
            </w:r>
          </w:p>
        </w:tc>
        <w:tc>
          <w:tcPr>
            <w:tcW w:w="1285" w:type="dxa"/>
          </w:tcPr>
          <w:p>
            <w:r>
              <w:t xml:space="preserve">结论一致性</w:t>
            </w:r>
          </w:p>
        </w:tc>
        <w:tc>
          <w:tcPr>
            <w:tcW w:w="1285" w:type="dxa"/>
          </w:tcPr>
          <w:p>
            <w:r>
              <w:t xml:space="preserve">项目范围确认表、先决条件与证据矩阵、交割日议程、股权交割确认书、交割效力分层表、交割后跟踪表结论一致；未完成事项不写成已完成</w:t>
            </w:r>
          </w:p>
        </w:tc>
        <w:tc>
          <w:tcPr>
            <w:tcW w:w="1285" w:type="dxa"/>
          </w:tcPr>
          <w:p>
            <w:r>
              <w:t xml:space="preserve">技能内控规则</w:t>
            </w:r>
          </w:p>
        </w:tc>
        <w:tc>
          <w:tcPr>
            <w:tcW w:w="1285" w:type="dxa"/>
          </w:tcPr>
          <w:p>
            <w:r>
              <w:t xml:space="preserve">全文</w:t>
            </w:r>
          </w:p>
        </w:tc>
        <w:tc>
          <w:tcPr>
            <w:tcW w:w="1285" w:type="dxa"/>
          </w:tcPr>
          <w:p>
            <w:r>
              <w:t xml:space="preserve">一票否决</w:t>
            </w:r>
          </w:p>
        </w:tc>
        <w:tc>
          <w:tcPr>
            <w:tcW w:w="1285" w:type="dxa"/>
          </w:tcPr>
          <w:p>
            <w:r>
              <w:t xml:space="preserve">☐通过 ☐待核 ☐不通过</w:t>
            </w:r>
          </w:p>
        </w:tc>
      </w:tr>
    </w:tbl>
    <w:p>
      <w:pPr>
        <w:pStyle w:val="Heading2"/>
      </w:pPr>
      <w:r>
        <w:t xml:space="preserve">五、外部补充质检点</w:t>
      </w:r>
    </w:p>
    <w:p>
      <w:r>
        <w:t xml:space="preserve">以下质检点为外部材料提炼的增量内容，不显示具体来源，且不与主质检表重复。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t xml:space="preserve">编号</w:t>
            </w:r>
          </w:p>
        </w:tc>
        <w:tc>
          <w:tcPr>
            <w:tcW w:w="1800" w:type="dxa"/>
          </w:tcPr>
          <w:p>
            <w:r>
              <w:t xml:space="preserve">补充质检点</w:t>
            </w:r>
          </w:p>
        </w:tc>
        <w:tc>
          <w:tcPr>
            <w:tcW w:w="1800" w:type="dxa"/>
          </w:tcPr>
          <w:p>
            <w:r>
              <w:t xml:space="preserve">质检标准与证据</w:t>
            </w:r>
          </w:p>
        </w:tc>
        <w:tc>
          <w:tcPr>
            <w:tcW w:w="1800" w:type="dxa"/>
          </w:tcPr>
          <w:p>
            <w:r>
              <w:t xml:space="preserve">风险级别</w:t>
            </w:r>
          </w:p>
        </w:tc>
        <w:tc>
          <w:tcPr>
            <w:tcW w:w="1800" w:type="dxa"/>
          </w:tcPr>
          <w:p>
            <w:r>
              <w:t xml:space="preserve">质检结果</w:t>
            </w:r>
          </w:p>
        </w:tc>
      </w:tr>
      <w:tr>
        <w:tc>
          <w:tcPr>
            <w:tcW w:w="1800" w:type="dxa"/>
          </w:tcPr>
          <w:p>
            <w:r>
              <w:t xml:space="preserve">补01</w:t>
            </w:r>
          </w:p>
        </w:tc>
        <w:tc>
          <w:tcPr>
            <w:tcW w:w="1800" w:type="dxa"/>
          </w:tcPr>
          <w:p>
            <w:r>
              <w:t xml:space="preserve">新旧法律适用</w:t>
            </w:r>
          </w:p>
        </w:tc>
        <w:tc>
          <w:tcPr>
            <w:tcW w:w="1800" w:type="dxa"/>
          </w:tcPr>
          <w:p>
            <w:r>
              <w:t xml:space="preserve">按签署日、行为日、交割日、登记日分别核验法律版本和过渡规则</w:t>
            </w:r>
          </w:p>
        </w:tc>
        <w:tc>
          <w:tcPr>
            <w:tcW w:w="1800" w:type="dxa"/>
          </w:tcPr>
          <w:p>
            <w:r>
              <w:t xml:space="preserve">一票否决</w:t>
            </w:r>
          </w:p>
        </w:tc>
        <w:tc>
          <w:tcPr>
            <w:tcW w:w="1800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800" w:type="dxa"/>
          </w:tcPr>
          <w:p>
            <w:r>
              <w:t xml:space="preserve">补02</w:t>
            </w:r>
          </w:p>
        </w:tc>
        <w:tc>
          <w:tcPr>
            <w:tcW w:w="1800" w:type="dxa"/>
          </w:tcPr>
          <w:p>
            <w:r>
              <w:t xml:space="preserve">特殊交易来源</w:t>
            </w:r>
          </w:p>
        </w:tc>
        <w:tc>
          <w:tcPr>
            <w:tcW w:w="1800" w:type="dxa"/>
          </w:tcPr>
          <w:p>
            <w:r>
              <w:t xml:space="preserve">强制执行、异议股东回购、继承、赠与、离婚、人走股退等交易来源已识别</w:t>
            </w:r>
          </w:p>
        </w:tc>
        <w:tc>
          <w:tcPr>
            <w:tcW w:w="1800" w:type="dxa"/>
          </w:tcPr>
          <w:p>
            <w:r>
              <w:t xml:space="preserve">视交易情况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补03</w:t>
            </w:r>
          </w:p>
        </w:tc>
        <w:tc>
          <w:tcPr>
            <w:tcW w:w="1800" w:type="dxa"/>
          </w:tcPr>
          <w:p>
            <w:r>
              <w:t xml:space="preserve">受让方投资权限</w:t>
            </w:r>
          </w:p>
        </w:tc>
        <w:tc>
          <w:tcPr>
            <w:tcW w:w="1800" w:type="dxa"/>
          </w:tcPr>
          <w:p>
            <w:r>
              <w:t xml:space="preserve">受让方章程、决议、授权限额、对外投资程序已核查</w:t>
            </w:r>
          </w:p>
        </w:tc>
        <w:tc>
          <w:tcPr>
            <w:tcW w:w="1800" w:type="dxa"/>
          </w:tcPr>
          <w:p>
            <w:r>
              <w:t xml:space="preserve">高风险</w:t>
            </w:r>
          </w:p>
        </w:tc>
        <w:tc>
          <w:tcPr>
            <w:tcW w:w="1800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800" w:type="dxa"/>
          </w:tcPr>
          <w:p>
            <w:r>
              <w:t xml:space="preserve">补04</w:t>
            </w:r>
          </w:p>
        </w:tc>
        <w:tc>
          <w:tcPr>
            <w:tcW w:w="1800" w:type="dxa"/>
          </w:tcPr>
          <w:p>
            <w:r>
              <w:t xml:space="preserve">保密与资料处置</w:t>
            </w:r>
          </w:p>
        </w:tc>
        <w:tc>
          <w:tcPr>
            <w:tcW w:w="1800" w:type="dxa"/>
          </w:tcPr>
          <w:p>
            <w:r>
              <w:t xml:space="preserve">尽调资料使用、返还、销毁、归档和中介保密义务明确</w:t>
            </w:r>
          </w:p>
        </w:tc>
        <w:tc>
          <w:tcPr>
            <w:tcW w:w="1800" w:type="dxa"/>
          </w:tcPr>
          <w:p>
            <w:r>
              <w:t xml:space="preserve">中风险</w:t>
            </w:r>
          </w:p>
        </w:tc>
        <w:tc>
          <w:tcPr>
            <w:tcW w:w="1800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800" w:type="dxa"/>
          </w:tcPr>
          <w:p>
            <w:r>
              <w:t xml:space="preserve">补05</w:t>
            </w:r>
          </w:p>
        </w:tc>
        <w:tc>
          <w:tcPr>
            <w:tcW w:w="1800" w:type="dxa"/>
          </w:tcPr>
          <w:p>
            <w:r>
              <w:t xml:space="preserve">中介报告依赖</w:t>
            </w:r>
          </w:p>
        </w:tc>
        <w:tc>
          <w:tcPr>
            <w:tcW w:w="1800" w:type="dxa"/>
          </w:tcPr>
          <w:p>
            <w:r>
              <w:t xml:space="preserve">审计、评估、税务报告经必要复核；援引边界和责任限制明确</w:t>
            </w:r>
          </w:p>
        </w:tc>
        <w:tc>
          <w:tcPr>
            <w:tcW w:w="1800" w:type="dxa"/>
          </w:tcPr>
          <w:p>
            <w:r>
              <w:t xml:space="preserve">高风险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补06</w:t>
            </w:r>
          </w:p>
        </w:tc>
        <w:tc>
          <w:tcPr>
            <w:tcW w:w="1800" w:type="dxa"/>
          </w:tcPr>
          <w:p>
            <w:r>
              <w:t xml:space="preserve">审批与付款衔接</w:t>
            </w:r>
          </w:p>
        </w:tc>
        <w:tc>
          <w:tcPr>
            <w:tcW w:w="1800" w:type="dxa"/>
          </w:tcPr>
          <w:p>
            <w:r>
              <w:t xml:space="preserve">涉审批交易的付款进度与审批、登记、交割节点衔接</w:t>
            </w:r>
          </w:p>
        </w:tc>
        <w:tc>
          <w:tcPr>
            <w:tcW w:w="1800" w:type="dxa"/>
          </w:tcPr>
          <w:p>
            <w:r>
              <w:t xml:space="preserve">适用时一票否决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补07</w:t>
            </w:r>
          </w:p>
        </w:tc>
        <w:tc>
          <w:tcPr>
            <w:tcW w:w="1800" w:type="dxa"/>
          </w:tcPr>
          <w:p>
            <w:r>
              <w:t xml:space="preserve">地方监管口径</w:t>
            </w:r>
          </w:p>
        </w:tc>
        <w:tc>
          <w:tcPr>
            <w:tcW w:w="1800" w:type="dxa"/>
          </w:tcPr>
          <w:p>
            <w:r>
              <w:t xml:space="preserve">登记材料、税务办理、国资和行业监管地方口径已核验</w:t>
            </w:r>
          </w:p>
        </w:tc>
        <w:tc>
          <w:tcPr>
            <w:tcW w:w="1800" w:type="dxa"/>
          </w:tcPr>
          <w:p>
            <w:r>
              <w:t xml:space="preserve">高风险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补08</w:t>
            </w:r>
          </w:p>
        </w:tc>
        <w:tc>
          <w:tcPr>
            <w:tcW w:w="1800" w:type="dxa"/>
          </w:tcPr>
          <w:p>
            <w:r>
              <w:t xml:space="preserve">争议条款预检</w:t>
            </w:r>
          </w:p>
        </w:tc>
        <w:tc>
          <w:tcPr>
            <w:tcW w:w="1800" w:type="dxa"/>
          </w:tcPr>
          <w:p>
            <w:r>
              <w:t xml:space="preserve">管辖、仲裁、通知送达、解除、违约责任在交割前可执行</w:t>
            </w:r>
          </w:p>
        </w:tc>
        <w:tc>
          <w:tcPr>
            <w:tcW w:w="1800" w:type="dxa"/>
          </w:tcPr>
          <w:p>
            <w:r>
              <w:t xml:space="preserve">高风险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补09</w:t>
            </w:r>
          </w:p>
        </w:tc>
        <w:tc>
          <w:tcPr>
            <w:tcW w:w="1800" w:type="dxa"/>
          </w:tcPr>
          <w:p>
            <w:r>
              <w:t xml:space="preserve">无权处分与善意取得</w:t>
            </w:r>
          </w:p>
        </w:tc>
        <w:tc>
          <w:tcPr>
            <w:tcW w:w="1800" w:type="dxa"/>
          </w:tcPr>
          <w:p>
            <w:r>
              <w:t xml:space="preserve">名义股东、实际权利人、无权处分、第三人善意取得和追责路径已分析</w:t>
            </w:r>
          </w:p>
        </w:tc>
        <w:tc>
          <w:tcPr>
            <w:tcW w:w="1800" w:type="dxa"/>
          </w:tcPr>
          <w:p>
            <w:r>
              <w:t xml:space="preserve">视风险情况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补10</w:t>
            </w:r>
          </w:p>
        </w:tc>
        <w:tc>
          <w:tcPr>
            <w:tcW w:w="1800" w:type="dxa"/>
          </w:tcPr>
          <w:p>
            <w:r>
              <w:t xml:space="preserve">特殊行业与特殊资产</w:t>
            </w:r>
          </w:p>
        </w:tc>
        <w:tc>
          <w:tcPr>
            <w:tcW w:w="1800" w:type="dxa"/>
          </w:tcPr>
          <w:p>
            <w:r>
              <w:t xml:space="preserve">金融、特许持牌、公众公司、土地、矿业、让与担保等场景单独设闸</w:t>
            </w:r>
          </w:p>
        </w:tc>
        <w:tc>
          <w:tcPr>
            <w:tcW w:w="1800" w:type="dxa"/>
          </w:tcPr>
          <w:p>
            <w:r>
              <w:t xml:space="preserve">适用时一票否决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补11</w:t>
            </w:r>
          </w:p>
        </w:tc>
        <w:tc>
          <w:tcPr>
            <w:tcW w:w="1800" w:type="dxa"/>
          </w:tcPr>
          <w:p>
            <w:r>
              <w:t xml:space="preserve">审批对效力与履行的影响</w:t>
            </w:r>
          </w:p>
        </w:tc>
        <w:tc>
          <w:tcPr>
            <w:tcW w:w="1800" w:type="dxa"/>
          </w:tcPr>
          <w:p>
            <w:r>
              <w:t xml:space="preserve">未审批时区分合同效力、履行障碍、恢复原状和赔偿责任</w:t>
            </w:r>
          </w:p>
        </w:tc>
        <w:tc>
          <w:tcPr>
            <w:tcW w:w="1800" w:type="dxa"/>
          </w:tcPr>
          <w:p>
            <w:r>
              <w:t xml:space="preserve">高风险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补12</w:t>
            </w:r>
          </w:p>
        </w:tc>
        <w:tc>
          <w:tcPr>
            <w:tcW w:w="1800" w:type="dxa"/>
          </w:tcPr>
          <w:p>
            <w:r>
              <w:t xml:space="preserve">证据保全预案</w:t>
            </w:r>
          </w:p>
        </w:tc>
        <w:tc>
          <w:tcPr>
            <w:tcW w:w="1800" w:type="dxa"/>
          </w:tcPr>
          <w:p>
            <w:r>
              <w:t xml:space="preserve">证据可能灭失或争议概率较高时，已有公证、时间戳、保全方案</w:t>
            </w:r>
          </w:p>
        </w:tc>
        <w:tc>
          <w:tcPr>
            <w:tcW w:w="1800" w:type="dxa"/>
          </w:tcPr>
          <w:p>
            <w:r>
              <w:t xml:space="preserve">视风险情况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  <w:tr>
        <w:tc>
          <w:tcPr>
            <w:tcW w:w="1800" w:type="dxa"/>
          </w:tcPr>
          <w:p>
            <w:r>
              <w:t xml:space="preserve">补13</w:t>
            </w:r>
          </w:p>
        </w:tc>
        <w:tc>
          <w:tcPr>
            <w:tcW w:w="1800" w:type="dxa"/>
          </w:tcPr>
          <w:p>
            <w:r>
              <w:t xml:space="preserve">利益冲突复核</w:t>
            </w:r>
          </w:p>
        </w:tc>
        <w:tc>
          <w:tcPr>
            <w:tcW w:w="1800" w:type="dxa"/>
          </w:tcPr>
          <w:p>
            <w:r>
              <w:t xml:space="preserve">争议出现前后重估利益冲突、委托权限、客户指令和沟通记录</w:t>
            </w:r>
          </w:p>
        </w:tc>
        <w:tc>
          <w:tcPr>
            <w:tcW w:w="1800" w:type="dxa"/>
          </w:tcPr>
          <w:p>
            <w:r>
              <w:t xml:space="preserve">高风险</w:t>
            </w:r>
          </w:p>
        </w:tc>
        <w:tc>
          <w:tcPr>
            <w:tcW w:w="1800" w:type="dxa"/>
          </w:tcPr>
          <w:p>
            <w:r>
              <w:t xml:space="preserve">☐通过 ☐待核 ☐不通过</w:t>
            </w:r>
          </w:p>
        </w:tc>
      </w:tr>
      <w:tr>
        <w:tc>
          <w:tcPr>
            <w:tcW w:w="1800" w:type="dxa"/>
          </w:tcPr>
          <w:p>
            <w:r>
              <w:t xml:space="preserve">补14</w:t>
            </w:r>
          </w:p>
        </w:tc>
        <w:tc>
          <w:tcPr>
            <w:tcW w:w="1800" w:type="dxa"/>
          </w:tcPr>
          <w:p>
            <w:r>
              <w:t xml:space="preserve">交割后复盘</w:t>
            </w:r>
          </w:p>
        </w:tc>
        <w:tc>
          <w:tcPr>
            <w:tcW w:w="1800" w:type="dxa"/>
          </w:tcPr>
          <w:p>
            <w:r>
              <w:t xml:space="preserve">未完成事项、责任移交、经验教训、后续监控已记录</w:t>
            </w:r>
          </w:p>
        </w:tc>
        <w:tc>
          <w:tcPr>
            <w:tcW w:w="1800" w:type="dxa"/>
          </w:tcPr>
          <w:p>
            <w:r>
              <w:t xml:space="preserve">中风险</w:t>
            </w:r>
          </w:p>
        </w:tc>
        <w:tc>
          <w:tcPr>
            <w:tcW w:w="1800" w:type="dxa"/>
          </w:tcPr>
          <w:p>
            <w:r>
              <w:t xml:space="preserve">☐通过 ☐待核 ☐不适用</w:t>
            </w:r>
          </w:p>
        </w:tc>
      </w:tr>
    </w:tbl>
    <w:p>
      <w:pPr>
        <w:pStyle w:val="Heading2"/>
      </w:pPr>
      <w:r>
        <w:t xml:space="preserve">六、未通过事项跟踪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285" w:type="dxa"/>
          </w:tcPr>
          <w:p>
            <w:r>
              <w:t xml:space="preserve">编号</w:t>
            </w:r>
          </w:p>
        </w:tc>
        <w:tc>
          <w:tcPr>
            <w:tcW w:w="1285" w:type="dxa"/>
          </w:tcPr>
          <w:p>
            <w:r>
              <w:t xml:space="preserve">未通过事项</w:t>
            </w:r>
          </w:p>
        </w:tc>
        <w:tc>
          <w:tcPr>
            <w:tcW w:w="1285" w:type="dxa"/>
          </w:tcPr>
          <w:p>
            <w:r>
              <w:t xml:space="preserve">影响</w:t>
            </w:r>
          </w:p>
        </w:tc>
        <w:tc>
          <w:tcPr>
            <w:tcW w:w="1285" w:type="dxa"/>
          </w:tcPr>
          <w:p>
            <w:r>
              <w:t xml:space="preserve">责任人</w:t>
            </w:r>
          </w:p>
        </w:tc>
        <w:tc>
          <w:tcPr>
            <w:tcW w:w="1285" w:type="dxa"/>
          </w:tcPr>
          <w:p>
            <w:r>
              <w:t xml:space="preserve">补救动作</w:t>
            </w:r>
          </w:p>
        </w:tc>
        <w:tc>
          <w:tcPr>
            <w:tcW w:w="1285" w:type="dxa"/>
          </w:tcPr>
          <w:p>
            <w:r>
              <w:t xml:space="preserve">截止日</w:t>
            </w:r>
          </w:p>
        </w:tc>
        <w:tc>
          <w:tcPr>
            <w:tcW w:w="1285" w:type="dxa"/>
          </w:tcPr>
          <w:p>
            <w:r>
              <w:t xml:space="preserve">复核结果</w:t>
            </w:r>
          </w:p>
        </w:tc>
      </w:tr>
      <w:tr>
        <w:tc>
          <w:tcPr>
            <w:tcW w:w="1285" w:type="dxa"/>
          </w:tcPr>
          <w:p>
            <w:r>
              <w:t xml:space="preserve">1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r>
              <w:t xml:space="preserve">2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r>
              <w:t xml:space="preserve">3</w:t>
            </w:r>
          </w:p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  <w:tc>
          <w:tcPr>
            <w:tcW w:w="1285" w:type="dxa"/>
          </w:tcPr>
          <w:p/>
        </w:tc>
      </w:tr>
    </w:tbl>
    <w:p>
      <w:pPr>
        <w:pStyle w:val="Heading2"/>
      </w:pPr>
      <w:r>
        <w:t xml:space="preserve">七、总体质检结论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t xml:space="preserve">总体结论</w:t>
            </w:r>
          </w:p>
        </w:tc>
        <w:tc>
          <w:tcPr>
            <w:tcW w:w="3000" w:type="dxa"/>
          </w:tcPr>
          <w:p>
            <w:r>
              <w:t xml:space="preserve">判定标准</w:t>
            </w:r>
          </w:p>
        </w:tc>
        <w:tc>
          <w:tcPr>
            <w:tcW w:w="3000" w:type="dxa"/>
          </w:tcPr>
          <w:p>
            <w:r>
              <w:t xml:space="preserve">勾选</w:t>
            </w:r>
          </w:p>
        </w:tc>
      </w:tr>
      <w:tr>
        <w:tc>
          <w:tcPr>
            <w:tcW w:w="3000" w:type="dxa"/>
          </w:tcPr>
          <w:p>
            <w:r>
              <w:t xml:space="preserve">质检通过</w:t>
            </w:r>
          </w:p>
        </w:tc>
        <w:tc>
          <w:tcPr>
            <w:tcW w:w="3000" w:type="dxa"/>
          </w:tcPr>
          <w:p>
            <w:r>
              <w:t xml:space="preserve">无适用的一票否决事项未通过；适用高风险事项均有证据、有权主体确认或客户书面商业决策</w:t>
            </w:r>
          </w:p>
        </w:tc>
        <w:tc>
          <w:tcPr>
            <w:tcW w:w="3000" w:type="dxa"/>
          </w:tcPr>
          <w:p>
            <w:r>
              <w:t xml:space="preserve">☐</w:t>
            </w:r>
          </w:p>
        </w:tc>
      </w:tr>
      <w:tr>
        <w:tc>
          <w:tcPr>
            <w:tcW w:w="3000" w:type="dxa"/>
          </w:tcPr>
          <w:p>
            <w:r>
              <w:t xml:space="preserve">附备注通过</w:t>
            </w:r>
          </w:p>
        </w:tc>
        <w:tc>
          <w:tcPr>
            <w:tcW w:w="3000" w:type="dxa"/>
          </w:tcPr>
          <w:p>
            <w:r>
              <w:t xml:space="preserve">仅存在非阻断备注、交割后办理事项或已明确承担的保留风险</w:t>
            </w:r>
          </w:p>
        </w:tc>
        <w:tc>
          <w:tcPr>
            <w:tcW w:w="3000" w:type="dxa"/>
          </w:tcPr>
          <w:p>
            <w:r>
              <w:t xml:space="preserve">☐</w:t>
            </w:r>
          </w:p>
        </w:tc>
      </w:tr>
      <w:tr>
        <w:tc>
          <w:tcPr>
            <w:tcW w:w="3000" w:type="dxa"/>
          </w:tcPr>
          <w:p>
            <w:r>
              <w:t xml:space="preserve">质检不通过</w:t>
            </w:r>
          </w:p>
        </w:tc>
        <w:tc>
          <w:tcPr>
            <w:tcW w:w="3000" w:type="dxa"/>
          </w:tcPr>
          <w:p>
            <w:r>
              <w:t xml:space="preserve">任一适用的一票否决事项未通过、待核或无法验证</w:t>
            </w:r>
          </w:p>
        </w:tc>
        <w:tc>
          <w:tcPr>
            <w:tcW w:w="3000" w:type="dxa"/>
          </w:tcPr>
          <w:p>
            <w:r>
              <w:t xml:space="preserve">☐</w:t>
            </w:r>
          </w:p>
        </w:tc>
      </w:tr>
      <w:tr>
        <w:tc>
          <w:tcPr>
            <w:tcW w:w="3000" w:type="dxa"/>
          </w:tcPr>
          <w:p>
            <w:r>
              <w:t xml:space="preserve">不适用</w:t>
            </w:r>
          </w:p>
        </w:tc>
        <w:tc>
          <w:tcPr>
            <w:tcW w:w="3000" w:type="dxa"/>
          </w:tcPr>
          <w:p>
            <w:r>
              <w:t xml:space="preserve">交易未进入相应交割阶段，或相关事项经事实说明不适用</w:t>
            </w:r>
          </w:p>
        </w:tc>
        <w:tc>
          <w:tcPr>
            <w:tcW w:w="3000" w:type="dxa"/>
          </w:tcPr>
          <w:p>
            <w:r>
              <w:t xml:space="preserve">☐</w:t>
            </w:r>
          </w:p>
        </w:tc>
      </w:tr>
      <w:tr>
        <w:tc>
          <w:tcPr>
            <w:tcW w:w="3000" w:type="dxa"/>
          </w:tcPr>
          <w:p>
            <w:r>
              <w:t xml:space="preserve">材料不足，无法判断</w:t>
            </w:r>
          </w:p>
        </w:tc>
        <w:tc>
          <w:tcPr>
            <w:tcW w:w="3000" w:type="dxa"/>
          </w:tcPr>
          <w:p>
            <w:r>
              <w:t xml:space="preserve">关键事实、文件或查询证据不足，无法形成质检结论</w:t>
            </w:r>
          </w:p>
        </w:tc>
        <w:tc>
          <w:tcPr>
            <w:tcW w:w="3000" w:type="dxa"/>
          </w:tcPr>
          <w:p>
            <w:r>
              <w:t xml:space="preserve">☐</w:t>
            </w:r>
          </w:p>
        </w:tc>
      </w:tr>
    </w:tbl>
    <w:p>
      <w:pPr>
        <w:pStyle w:val="Heading2"/>
      </w:pPr>
      <w:r>
        <w:t xml:space="preserve">八、签署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50" w:type="dxa"/>
          </w:tcPr>
          <w:p>
            <w:r>
              <w:t xml:space="preserve">角色</w:t>
            </w:r>
          </w:p>
        </w:tc>
        <w:tc>
          <w:tcPr>
            <w:tcW w:w="2250" w:type="dxa"/>
          </w:tcPr>
          <w:p>
            <w:r>
              <w:t xml:space="preserve">姓名</w:t>
            </w:r>
          </w:p>
        </w:tc>
        <w:tc>
          <w:tcPr>
            <w:tcW w:w="2250" w:type="dxa"/>
          </w:tcPr>
          <w:p>
            <w:r>
              <w:t xml:space="preserve">签署</w:t>
            </w:r>
          </w:p>
        </w:tc>
        <w:tc>
          <w:tcPr>
            <w:tcW w:w="2250" w:type="dxa"/>
          </w:tcPr>
          <w:p>
            <w:r>
              <w:t xml:space="preserve">日期</w:t>
            </w:r>
          </w:p>
        </w:tc>
      </w:tr>
      <w:tr>
        <w:tc>
          <w:tcPr>
            <w:tcW w:w="2250" w:type="dxa"/>
          </w:tcPr>
          <w:p>
            <w:r>
              <w:t xml:space="preserve">质检人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>
            <w:r>
              <w:t xml:space="preserve">复核人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>
            <w:r>
              <w:t xml:space="preserve">项目负责人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</w:tr>
    </w:tbl>
    <w:p>
      <w:pPr>
        <w:pStyle w:val="Heading2"/>
      </w:pPr>
      <w:r>
        <w:t xml:space="preserve">九、使用边界</w:t>
      </w:r>
    </w:p>
    <w:p>
      <w:r>
        <w:t xml:space="preserve">1. </w:t>
      </w:r>
      <w:r>
        <w:t xml:space="preserve">浙江文件为初稿和参考材料，条目映射仅用于定位质检点，不作为法律效力的最终依据；</w:t>
      </w:r>
    </w:p>
    <w:p>
      <w:r>
        <w:t xml:space="preserve">2. </w:t>
      </w:r>
      <w:r>
        <w:t xml:space="preserve">涉及法律适用时，应按签署日、行为日、交割日和登记日核验当时有效的法律、行政法规、司法解释和主管机关口径；</w:t>
      </w:r>
    </w:p>
    <w:p>
      <w:r>
        <w:t xml:space="preserve">3. </w:t>
      </w:r>
      <w:r>
        <w:t xml:space="preserve">本表不替代交易文件、公司决议、股东名册、登记申请、完税凭证、主管机关批准文件或法院文书；</w:t>
      </w:r>
    </w:p>
    <w:p>
      <w:r>
        <w:t xml:space="preserve">4. </w:t>
      </w:r>
      <w:r>
        <w:t xml:space="preserve">律师可以起草或核对相关文件，但不得把律师稿写成公司正式文件、官方表单或有权机关结论；</w:t>
      </w:r>
    </w:p>
    <w:p>
      <w:r>
        <w:t xml:space="preserve">5. </w:t>
      </w:r>
      <w:r>
        <w:t xml:space="preserve">客户版交付前，应删除内部检索过程、无关风险讨论、敏感账户信息和本表未采用的备选方案。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spacing w:before="240" w:after="120"/>
      <w:outlineLvl w:val="0"/>
    </w:pPr>
    <w:rPr>
      <w:b/>
      <w:sz w:val="40"/>
      <w:szCs w:val="40"/>
    </w:rPr>
  </w:style>
  <w:style w:type="paragraph" w:styleId="Heading2">
    <w:name w:val="heading 2"/>
    <w:basedOn w:val="Normal"/>
    <w:pPr>
      <w:spacing w:before="220" w:after="100"/>
      <w:outlineLvl w:val="1"/>
    </w:pPr>
    <w:rPr>
      <w:b/>
      <w:sz w:val="32"/>
      <w:szCs w:val="32"/>
    </w:rPr>
  </w:style>
  <w:style w:type="paragraph" w:styleId="Heading3">
    <w:name w:val="heading 3"/>
    <w:basedOn w:val="Normal"/>
    <w:pPr>
      <w:spacing w:before="20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pPr>
      <w:spacing w:before="180" w:after="60"/>
      <w:outlineLvl w:val="3"/>
    </w:pPr>
    <w:rPr>
      <w:b/>
      <w:sz w:val="26"/>
      <w:szCs w:val="26"/>
    </w:rPr>
  </w:style>
  <w:style w:type="paragraph" w:styleId="Heading5">
    <w:name w:val="heading 5"/>
    <w:basedOn w:val="Normal"/>
    <w:pPr>
      <w:spacing w:before="160" w:after="60"/>
      <w:outlineLvl w:val="4"/>
    </w:pPr>
    <w:rPr>
      <w:b/>
      <w:sz w:val="24"/>
      <w:szCs w:val="24"/>
    </w:rPr>
  </w:style>
  <w:style w:type="paragraph" w:styleId="Heading6">
    <w:name w:val="heading 6"/>
    <w:basedOn w:val="Normal"/>
    <w:pPr>
      <w:spacing w:before="140" w:after="60"/>
      <w:outlineLvl w:val="5"/>
    </w:pPr>
    <w:rPr>
      <w:b/>
      <w:i/>
      <w:sz w:val="22"/>
      <w:szCs w:val="22"/>
    </w:rPr>
  </w:style>
  <w:style w:type="paragraph" w:styleId="Quote">
    <w:name w:val="Quote"/>
    <w:basedOn w:val="Normal"/>
    <w:pPr>
      <w:spacing w:before="120" w:after="120"/>
      <w:ind w:left="720"/>
    </w:pPr>
    <w:rPr>
      <w:i/>
      <w:color w:val="555555"/>
    </w:rPr>
  </w:style>
  <w:style w:type="paragraph" w:styleId="Code">
    <w:name w:val="Code"/>
    <w:basedOn w:val="Normal"/>
    <w:pPr>
      <w:spacing w:before="80" w:after="80"/>
      <w:ind w:left="240"/>
    </w:pPr>
    <w:rPr>
      <w:rFonts w:ascii="Consolas" w:hAnsi="Consolas" w:cs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Untitled</dc:title>
  <dc:creator>42md</dc:creator>
</cp:coreProperties>
</file>