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8328d6fa4e99494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02 ｜ 交割前准备类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股权权利限制核查报告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核查标的：[转让方名称]持有的[目标公司全称]＿＿＿＿%股权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核查日期：＿＿＿＿年＿＿月＿＿日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一、核查渠道及结果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3000"/>
        <w:gridCol w:w="1600"/>
        <w:gridCol w:w="2800"/>
        <w:gridCol w:w="1626"/>
      </w:tblGrid>
      <w:tr>
        <w:trPr>
          <w:tblHeader/>
        </w:trPr>
        <w:tc>
          <w:tcPr>
            <w:tcW w:w="3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核查渠道</w:t>
            </w:r>
          </w:p>
        </w:tc>
        <w:tc>
          <w:tcPr>
            <w:tcW w:w="1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核查日期</w:t>
            </w:r>
          </w:p>
        </w:tc>
        <w:tc>
          <w:tcPr>
            <w:tcW w:w="2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核查结果</w:t>
            </w:r>
          </w:p>
        </w:tc>
        <w:tc>
          <w:tcPr>
            <w:tcW w:w="16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备注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国家企业信用信息公示系统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□无质押/冻结　□有质押/冻结</w:t>
            </w:r>
          </w:p>
        </w:tc>
        <w:tc>
          <w:tcPr>
            <w:tcW w:w="1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中国裁判文书网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□无涉诉　□有涉诉</w:t>
            </w:r>
          </w:p>
        </w:tc>
        <w:tc>
          <w:tcPr>
            <w:tcW w:w="1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中国执行信息公开网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□非被执行人　□被执行人</w:t>
            </w:r>
          </w:p>
        </w:tc>
        <w:tc>
          <w:tcPr>
            <w:tcW w:w="1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市场监督管理局档案查询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□无限制　□有限制</w:t>
            </w:r>
          </w:p>
        </w:tc>
        <w:tc>
          <w:tcPr>
            <w:tcW w:w="1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二、详细情况说明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[如存在质押/冻结/查封，详细列明：限制类型、限制机关、限制期限、限制金额、解除条件等]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三、法律意见及建议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[如存在限制：建议中止交割，待解除限制后继续；如不存在限制：可以继续推进交割]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四、工作底稿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[列明保存的截图、查询记录、档案复印件等]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＿＿＿＿律师事务所（盖章）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经办律师（签字）：＿＿＿＿＿＿＿＿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568cb13df66e48cd"/>
      <w:footerReference w:type="default" r:id="Rd8deae41fc2c437f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02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93d9ae3551d74df8" /><Relationship Type="http://schemas.openxmlformats.org/officeDocument/2006/relationships/header" Target="header1.xml" Id="R568cb13df66e48cd" /><Relationship Type="http://schemas.openxmlformats.org/officeDocument/2006/relationships/footer" Target="footer1.xml" Id="Rd8deae41fc2c437f" /></Relationships>
</file>