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e4898b7af88e4c6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03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出资瑕疵处理方案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关于：[转让方名称]持有的[目标公司全称]股权出资瑕疵处理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一、出资瑕疵情况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未实缴出资额：人民币＿＿＿＿万元，占认缴出资额的＿＿＿＿%；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出资期限：＿＿＿＿年＿＿月＿＿日届满/尚未届满；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瑕疵类型：□未按期出资　□抽逃出资　□虚假出资　□其他：＿＿＿＿＿＿＿＿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二、处理方案（择一适用）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方案A：转让方补足出资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补足金额：人民币＿＿＿＿万元；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补足期限：＿＿＿＿年＿＿月＿＿日前；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补足方式：□货币出资　□实物出资　□知识产权出资；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补足后需取得：验资报告/出资证明书/银行进账单。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方案B：受让方承继出资义务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承继金额：人民币＿＿＿＿万元；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股权转让价款扣减：扣减金额＝＿＿＿＿万元×＿＿＿＿%＝＿＿＿＿万元；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扣减后股权转让价款：人民币＿＿＿＿万元；</w:t>
      </w:r>
    </w:p>
    <w:p>
      <w:pPr>
        <w:spacing w:after="80"/>
        <w:ind w:left="96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- 受让方出资期限：＿＿＿＿年＿＿月＿＿日前。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三、违约责任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如转让方未按期补足出资，应向受让方支付违约金＿＿＿＿万元；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如受让方未按期履行出资义务，转让方承担补充责任。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四、其他约定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[如有]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转让方（签字/盖章）：＿＿＿＿＿＿＿＿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受让方（签字/盖章）：＿＿＿＿＿＿＿＿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目标公司（盖章）：＿＿＿＿＿＿＿＿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06d40c6c738d4b06"/>
      <w:footerReference w:type="default" r:id="R9f7f0f37c119464c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03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926eecd071b4c2c" /><Relationship Type="http://schemas.openxmlformats.org/officeDocument/2006/relationships/header" Target="header1.xml" Id="R06d40c6c738d4b06" /><Relationship Type="http://schemas.openxmlformats.org/officeDocument/2006/relationships/footer" Target="footer1.xml" Id="R9f7f0f37c119464c" /></Relationships>
</file>