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65f4ef4d997b4ee9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30 ｜ 争议解决类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争议解决法律意见书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before="40" w:after="60"/>
        <w:ind w:firstLine="0"/>
        <w:jc w:val="center"/>
      </w:pPr>
      <w:r>
        <w:rPr>
          <w:rFonts w:ascii="Times New Roman" w:hAnsi="Times New Roman" w:eastAsia="SimSun"/>
          <w:color w:val="212121"/>
          <w:sz w:val="21"/>
        </w:rPr>
        <w:t xml:space="preserve">＿＿＿＿律意字[＿＿＿＿]第＿＿＿＿号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致：[委托人名称]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关于：[目标公司全称]股权交割争议之法律分析与策略建议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一、争议背景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1.1 交易概况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[简述交易背景、协议主要条款、交割安排]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1.2 争议起因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[描述争议发生的时间、经过、当前状态]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1.3 争议焦点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交割先决条件是否满足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股权转让价款是否支付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股东名册是否有效变更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工商变更登记是否完成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过渡期义务是否违反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陈述与保证是否不实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 其他：＿＿＿＿＿＿＿＿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二、法律分析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2.1 实体法律分析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[分析各方权利义务、违约责任、损害赔偿范围]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2.2 程序法律分析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[分析诉讼时效/仲裁时效、管辖、证据保全等]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三、争议解决路径比较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1500"/>
        <w:gridCol w:w="2400"/>
        <w:gridCol w:w="2400"/>
        <w:gridCol w:w="1300"/>
        <w:gridCol w:w="1426"/>
      </w:tblGrid>
      <w:tr>
        <w:trPr>
          <w:tblHeader/>
        </w:trPr>
        <w:tc>
          <w:tcPr>
            <w:tcW w:w="15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路径</w:t>
            </w:r>
          </w:p>
        </w:tc>
        <w:tc>
          <w:tcPr>
            <w:tcW w:w="2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优势</w:t>
            </w:r>
          </w:p>
        </w:tc>
        <w:tc>
          <w:tcPr>
            <w:tcW w:w="2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劣势</w:t>
            </w:r>
          </w:p>
        </w:tc>
        <w:tc>
          <w:tcPr>
            <w:tcW w:w="13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预计成本</w:t>
            </w:r>
          </w:p>
        </w:tc>
        <w:tc>
          <w:tcPr>
            <w:tcW w:w="14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预计周期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协商和解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成本低、关系维护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可能无法达成一致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低</w:t>
            </w:r>
          </w:p>
        </w:tc>
        <w:tc>
          <w:tcPr>
            <w:tcW w:w="1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1-3个月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调解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中立第三方介入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调解结果无强制力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中</w:t>
            </w:r>
          </w:p>
        </w:tc>
        <w:tc>
          <w:tcPr>
            <w:tcW w:w="1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1-3个月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仲裁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保密、一裁终局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费用较高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高</w:t>
            </w:r>
          </w:p>
        </w:tc>
        <w:tc>
          <w:tcPr>
            <w:tcW w:w="1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6-12个月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诉讼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有强制执行效力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公开、可能上诉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中</w:t>
            </w:r>
          </w:p>
        </w:tc>
        <w:tc>
          <w:tcPr>
            <w:tcW w:w="1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6-18个月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行为保全＋诉讼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防止股权转移</w:t>
            </w:r>
          </w:p>
        </w:tc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需提供担保</w:t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高</w:t>
            </w:r>
          </w:p>
        </w:tc>
        <w:tc>
          <w:tcPr>
            <w:tcW w:w="1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1-2周＋诉讼周期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四、策略建议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[根据委托人利益最大化原则，提出具体策略建议]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五、风险提示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证据风险：如证据不足，可能败诉；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执行风险：如被申请人无财产，胜诉后难以执行；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时间风险：争议解决周期较长，可能影响商业计划；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费用风险：律师费、诉讼费、保全费等可能较高。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六、下一步行动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[具体行动1，如收集证据、发送律师函等]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[具体行动2]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[具体行动3]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七、附件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相关合同及往来函件；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证据材料清单；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类似案例检索报告（如有）。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＿＿＿＿律师事务所（盖章）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经办律师（签字）：＿＿＿＿＿＿＿＿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经办律师（签字）：＿＿＿＿＿＿＿＿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476e0774b0b84a00"/>
      <w:footerReference w:type="default" r:id="Rec546b1a3e634647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30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071c399aabd94351" /><Relationship Type="http://schemas.openxmlformats.org/officeDocument/2006/relationships/header" Target="header1.xml" Id="R476e0774b0b84a00" /><Relationship Type="http://schemas.openxmlformats.org/officeDocument/2006/relationships/footer" Target="footer1.xml" Id="Rec546b1a3e634647" /></Relationships>
</file>