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股权转让基础骨架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EC-01-001｜版本 0.3.0｜candidate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EC-01-001 / type-equity-transfer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doctrine-equity-transfer-closing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internal_representatives_available_local_only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目标股权与出资状态：</w:t>
      </w:r>
      <w:r>
        <w:rPr>
          <w:rFonts w:ascii="Hiragino Sans GB" w:hAnsi="Hiragino Sans GB" w:eastAsia="Hiragino Sans GB" w:cs="Hiragino Sans GB"/>
        </w:rPr>
        <w:t>&lt;待填：目标股权与出资状态&gt;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全部交易文件清单：</w:t>
      </w:r>
      <w:r>
        <w:rPr>
          <w:rFonts w:ascii="Hiragino Sans GB" w:hAnsi="Hiragino Sans GB" w:eastAsia="Hiragino Sans GB" w:cs="Hiragino Sans GB"/>
        </w:rPr>
        <w:t>&lt;待填：全部交易文件清单&gt;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全部交易对价：</w:t>
      </w:r>
      <w:r>
        <w:rPr>
          <w:rFonts w:ascii="Hiragino Sans GB" w:hAnsi="Hiragino Sans GB" w:eastAsia="Hiragino Sans GB" w:cs="Hiragino Sans GB"/>
        </w:rPr>
        <w:t>&lt;待填：全部交易对价&gt;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资金流、申报价与估值：</w:t>
      </w:r>
      <w:r>
        <w:rPr>
          <w:rFonts w:ascii="Hiragino Sans GB" w:hAnsi="Hiragino Sans GB" w:eastAsia="Hiragino Sans GB" w:cs="Hiragino Sans GB"/>
        </w:rPr>
        <w:t>&lt;待填：资金流、申报价与估值&gt;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优先购买权与章程限制：</w:t>
      </w:r>
      <w:r>
        <w:rPr>
          <w:rFonts w:ascii="Hiragino Sans GB" w:hAnsi="Hiragino Sans GB" w:eastAsia="Hiragino Sans GB" w:cs="Hiragino Sans GB"/>
        </w:rPr>
        <w:t>&lt;待填：优先购买权与章程限制&gt;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先决条件与交割：</w:t>
      </w:r>
      <w:r>
        <w:rPr>
          <w:rFonts w:ascii="Hiragino Sans GB" w:hAnsi="Hiragino Sans GB" w:eastAsia="Hiragino Sans GB" w:cs="Hiragino Sans GB"/>
        </w:rPr>
        <w:t>&lt;待填：先决条件与交割&gt;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陈述保证、披露与赔偿：</w:t>
      </w:r>
      <w:r>
        <w:rPr>
          <w:rFonts w:ascii="Hiragino Sans GB" w:hAnsi="Hiragino Sans GB" w:eastAsia="Hiragino Sans GB" w:cs="Hiragino Sans GB"/>
        </w:rPr>
        <w:t>&lt;待填：陈述保证、披露与赔偿&gt;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治理与控制移交：</w:t>
      </w:r>
      <w:r>
        <w:rPr>
          <w:rFonts w:ascii="Hiragino Sans GB" w:hAnsi="Hiragino Sans GB" w:eastAsia="Hiragino Sans GB" w:cs="Hiragino Sans GB"/>
        </w:rPr>
        <w:t>&lt;待填：治理与控制移交&gt;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第1组｜标的股权与权属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mod-equity-transfer-object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使标的股权、对应注册资本、持股比例、出资状态和附随权利可唯一识别。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目标公司和标的股权已唯一确定；已获取最新章程、股东名册、出资证明和登记档案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转让方应对标的股权的登记、实际归属、出资状态和全部权利限制作穿透陈述，并以最新章程、股东名册、出资凭证和公示档案作为交割附件。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双方以附件列明标的股权比例、对应认缴额、实缴额、出资期限及已披露的权利限制，附件与正文不一致时须先核实并书面确认。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至少明确目标公司、标的股权比例、对应认缴额、实缴情况和已知权利限制；未核实事项不得用确定性表述。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候选来源：</w:t>
      </w:r>
      <w:r>
        <w:rPr>
          <w:rFonts w:ascii="Hiragino Sans GB" w:hAnsi="Hiragino Sans GB" w:eastAsia="Hiragino Sans GB" w:cs="Hiragino Sans GB"/>
        </w:rPr>
        <w:t>src-prc-company-law-2023；src-internal-equity-sample-aggregate-202608；src-internal-equity-user-template-system-20260814</w:t>
      </w:r>
    </w:p>
    <w:p>
      <w:pPr>
        <w:pStyle w:val="Heading2"/>
      </w:pPr>
      <w:r>
        <w:t>第2组｜全部交易对价与付款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mod-equity-transfer-consideration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识别并闭环所有与股权转让相关的现金、实物、债务承担、补偿、或有对价和其他经济利益。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已确认实际总对价和所有支付路径；已区分股权价款与具有独立商业实质的其他交易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将对价拆分为基础价、调整项和或有对价；多个转让人或受让人逐一对应股权比例、应收应付金额和账户。大额付款与尽调满意、程序文件、股东名册及登记进度挂钩，并保留尾款、托管或抵销权。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以单一对价表列明全部支付、每一转让或受让主体、对应股权比例、付款触发条件、收款账户和凭证；登记备案表单及其他文件不得暗中增减股权转让对价。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可减少付款保障，但不得放弃对全部真实对价、收付主体、付款节点和价格调整口径的明确记载。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候选来源：</w:t>
      </w:r>
      <w:r>
        <w:rPr>
          <w:rFonts w:ascii="Hiragino Sans GB" w:hAnsi="Hiragino Sans GB" w:eastAsia="Hiragino Sans GB" w:cs="Hiragino Sans GB"/>
        </w:rPr>
        <w:t>src-sta-equity-individual-income-tax-67；src-sta-equity-tax-67-explanation；src-china-tax-news-dual-contract-2026；src-internal-equity-sample-aggregate-202608；src-internal-equity-user-template-system-20260814；src-wechat-fatianshi-equity-checklist-20230610；src-wechat-deheng-zibo-equity-risk-20260814</w:t>
      </w:r>
    </w:p>
    <w:p>
      <w:pPr>
        <w:pStyle w:val="Heading2"/>
      </w:pPr>
      <w:r>
        <w:t>第3组｜优先购买权、章程与程序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mod-equity-transfer-preemption-charter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确保对外转让的数量、价格、支付方式和期限等同等条件已可证明通知，并核对章程特别规定。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已确认是否向现有股东以外主体转让；已取得现行章程和股东协议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将通知、收悉证明、优先购买权放弃或期满以及章程限制满足列为交割先决条件，最终条件实质变更时重新履行通知。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按现行公司法和章程履行可证明的通知程序，并将相关证据列入交割文件清单。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可不将所有文件作为付款先决条件，但不得省略应用的优先购买权通知及章程限制核验。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候选来源：</w:t>
      </w:r>
      <w:r>
        <w:rPr>
          <w:rFonts w:ascii="Hiragino Sans GB" w:hAnsi="Hiragino Sans GB" w:eastAsia="Hiragino Sans GB" w:cs="Hiragino Sans GB"/>
        </w:rPr>
        <w:t>src-prc-company-law-2023；src-spc-company-law-interpretation-iv；src-wechat-fatianshi-equity-checklist-20230610</w:t>
      </w:r>
    </w:p>
    <w:p>
      <w:pPr>
        <w:pStyle w:val="Heading2"/>
      </w:pPr>
      <w:r>
        <w:t>第4组｜出资状态与法定责任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mod-equity-transfer-capital-liability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区分未届出资期限、逾期未缴、未足额出资、非货币出资显著低估和抽逃出资，识别对内追偿与对外法定责任的边界。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已核验章程出资日期、出资凭证和验资或财务记录；已确认适用新旧公司法的时间节点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对未届期出资设定受让方缴付义务、资信证明和转让方追偿保障；对已瑕疵出资列为整改先决条件或专项赔偿，并明示对内约定不影响法定对外责任。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列明认缴、实缴、期限和凭证，按法律区分受让方主责、转让方补充责任或连带责任风险，并另行约定内部追偿。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可弱化担保或保留款，但不得将法定出资责任写成经双方约定即归于消灭。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候选来源：</w:t>
      </w:r>
      <w:r>
        <w:rPr>
          <w:rFonts w:ascii="Hiragino Sans GB" w:hAnsi="Hiragino Sans GB" w:eastAsia="Hiragino Sans GB" w:cs="Hiragino Sans GB"/>
        </w:rPr>
        <w:t>src-prc-company-law-2023；src-spc-company-law-time-effect-2024；src-kwm-capital-liability-2024；src-wechat-sun-equity-cases-20240307；src-internal-history-defective-equity-rescission-note；src-academic-defective-equity-validity-2010</w:t>
      </w:r>
    </w:p>
    <w:p>
      <w:pPr>
        <w:pStyle w:val="Heading2"/>
      </w:pPr>
      <w:r>
        <w:t>第5组｜多文本、资金与税务一致性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mod-equity-transfer-document-tax-consistency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发现同一交易的真实对价、合同文本、资金流、估值、申报和会计记录之间的不一致，并阻断隐瞒或虚假申报型自动起草。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已收集所有主协议、补充协议、确认函和与交易相关的其他付款安排；已核对实际收付、申报价、评估价和相关会计记录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先按文件用途建立主协议、补充或变更协议、登记备案表单、付款和申报清单。各方确认全部真实对价和支付安排已完整披露，不存在未披露侧协议或变相对价；历史或拟提交文件存在重大不一致时，在律师、税务专业人员复核及必要整改完成前不得交割或提交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用交易事实对照表统一实质协议、登记备案表单、补充文件、付款、纳税申报和会计处理；文件优先顺序只能解决当事人内部解释，不能替代真实申报和对外合规。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不提供任何隐瞒、虚假申报或税费规避版本。如仅因补充协议、分期、或有对价或价格调整导致文本金额不同，仍须透明记载并依法处理申报。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候选来源：</w:t>
      </w:r>
      <w:r>
        <w:rPr>
          <w:rFonts w:ascii="Hiragino Sans GB" w:hAnsi="Hiragino Sans GB" w:eastAsia="Hiragino Sans GB" w:cs="Hiragino Sans GB"/>
        </w:rPr>
        <w:t>src-prc-civil-code-2020；src-spc-contract-general-interpretation-2023；src-sta-equity-individual-income-tax-67；src-sta-equity-tax-67-explanation；src-prc-tax-collection-law；src-china-tax-news-dual-contract-2026；src-internal-equity-sample-aggregate-202608；src-internal-equity-user-template-system-20260814；src-wechat-fatianshi-equity-checklist-20230610</w:t>
      </w:r>
    </w:p>
    <w:p>
      <w:pPr>
        <w:pStyle w:val="Heading2"/>
      </w:pPr>
      <w:r>
        <w:t>第6组｜先决条件与交割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mod-equity-transfer-closing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将付款、公司通知、股东名册、章程及登记变更、印章账户资料和控制权移交编入可勾稽的交割清单。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已区分合同生效、交割、股东名册记载和工商登记节点；已确认是否涉及控制权移交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交割采取文件托管或同日互易，付款与股东名册记载、章程修订、登记申请及控制权资料移交联动，并设置长停日、退款、解除和损害赔偿机制。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在交割清单中分别列明先决条件、签约文件、股东名册及登记义务、付款节点、完成证据和逾期后果；如解除可能发生在交割后，同步约定股权回转、名册与登记恢复、价款及收益返还和第三人权利障碍的处理。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可不使用托管或同日互易，但必须保留具体办理期限、公司配合义务、可证明的股东名册和登记步骤及违约后果。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候选来源：</w:t>
      </w:r>
      <w:r>
        <w:rPr>
          <w:rFonts w:ascii="Hiragino Sans GB" w:hAnsi="Hiragino Sans GB" w:eastAsia="Hiragino Sans GB" w:cs="Hiragino Sans GB"/>
        </w:rPr>
        <w:t>src-prc-company-law-2023；src-allbright-equity-change-2024；src-internal-equity-sample-aggregate-202608；src-internal-equity-user-template-system-20260814；src-wechat-fatianshi-equity-checklist-20230610；src-wechat-deheng-zibo-equity-risk-20260814；src-thesis-equity-termination-effects-2022</w:t>
      </w:r>
    </w:p>
    <w:p>
      <w:pPr>
        <w:pStyle w:val="Heading2"/>
      </w:pPr>
      <w:r>
        <w:t>第7组｜陈述保证、披露与赔偿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mod-equity-transfer-representations-indemnity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以披露函界定一般陈述保证的例外，并将权属、出资、财税、资产负债、诉讼、重大合同和合规风险转化为可执行索赔机制。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已根据尽调范围和交易规模确定陈述保证的宽度；已区分基础保证、一般业务保证和专项赔偿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对权属、出资、真实对价、历史税务及故意隐瞒设置基础或专项赔偿，不当然适用一般知情限定、低上限或短索赔期，并与尾款、托管及抵销权联动。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受让方尽调和知情限定仅覆盖披露函中可具体识别的事项；转让方仍就权属、出资、授权、重大未披露负债及资料真实性作分层保证，并与一般赔偿、专项赔偿、索赔期和责任上限对应。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可调整一般业务保证的知情限定、期限和上限，但不得用笼统披露或保密条款免除故意隐瞒、虚假对价或权属瑕疵的责任。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候选来源：</w:t>
      </w:r>
      <w:r>
        <w:rPr>
          <w:rFonts w:ascii="Hiragino Sans GB" w:hAnsi="Hiragino Sans GB" w:eastAsia="Hiragino Sans GB" w:cs="Hiragino Sans GB"/>
        </w:rPr>
        <w:t>src-prc-civil-code-2020；src-spc-contract-general-interpretation-2023；src-internal-equity-sample-aggregate-202608；src-internal-equity-user-template-system-20260814；src-wechat-shangpu-equity-seven-20260616；src-wechat-deheng-zibo-equity-risk-20260814；src-wechat-sun-equity-cases-20240307；src-internal-history-defective-equity-rescission-note；src-academic-defective-equity-validity-2010</w:t>
      </w:r>
    </w:p>
    <w:p>
      <w:pPr>
        <w:pStyle w:val="Heading2"/>
      </w:pPr>
      <w:r>
        <w:t>第8组｜过渡期、治理与控制移交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mod-equity-transfer-governance-transition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使签约至交割的行为限制、期间损益、董监高安排、印章证照账户资料和业务移交与交易目的一致。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已确认交易后的持股和治理目标；已确认章程、股东协议和董监高决议的配套修订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对过渡期重大资产处分、分红、举债、担保、关联交易和人员异动设置事先同意，将治理文件生效及经营控制资料移交纳入交割。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根据转让比例区分少数股东保护与控制权移交，列明过渡期限制、期间损益、治理文件和移交清单。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可减少事先同意事项，但治理目标、章程及股东协议衔接、关键资料和权限移交不得空白。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候选来源：</w:t>
      </w:r>
      <w:r>
        <w:rPr>
          <w:rFonts w:ascii="Hiragino Sans GB" w:hAnsi="Hiragino Sans GB" w:eastAsia="Hiragino Sans GB" w:cs="Hiragino Sans GB"/>
        </w:rPr>
        <w:t>src-prc-company-law-2023；src-allbright-equity-change-2024；src-internal-equity-sample-aggregate-202608；src-wechat-shangpu-equity-seven-20260616</w:t>
      </w:r>
    </w:p>
    <w:p>
      <w:pPr>
        <w:pStyle w:val="Heading1"/>
      </w:pPr>
      <w:r>
        <w:t>五、结构性异常触发检查</w:t>
      </w:r>
    </w:p>
    <w:p>
      <w:r>
        <w:rPr>
          <w:rFonts w:ascii="Hiragino Sans GB" w:hAnsi="Hiragino Sans GB" w:eastAsia="Hiragino Sans GB" w:cs="Hiragino Sans GB"/>
          <w:b/>
          <w:color w:val="C00000"/>
        </w:rPr>
        <w:t>命中 P0 时不得自动改成所谓“对外版/备案版”，只能核实事实、列补件清单并升级律师及税务专业人员复核。</w:t>
      </w:r>
    </w:p>
    <w:p>
      <w:pPr>
        <w:pStyle w:val="Heading2"/>
      </w:pPr>
      <w:r>
        <w:t>TRG-EQ-DUAL-DOCUMENT-PRICE｜同一股权交易多文本对价不一致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严重程度：</w:t>
      </w:r>
      <w:r>
        <w:rPr>
          <w:rFonts w:ascii="Hiragino Sans GB" w:hAnsi="Hiragino Sans GB" w:eastAsia="Hiragino Sans GB" w:cs="Hiragino Sans GB"/>
        </w:rPr>
        <w:t>P0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硬信号：</w:t>
      </w:r>
      <w:r>
        <w:rPr>
          <w:rFonts w:ascii="Hiragino Sans GB" w:hAnsi="Hiragino Sans GB" w:eastAsia="Hiragino Sans GB" w:cs="Hiragino Sans GB"/>
        </w:rPr>
        <w:t>文本明示仅供工商、税务、备案或对外使用；同一标的存在两份或以上协议且总对价不同；实际资金流显著高于申报或主协议价格；侧协议约定以另一价格或实际付款为准；登记备案表单按认缴出资额列价，而实质交易协议按估值或协商价格列示明显更高对价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排除误报：</w:t>
      </w:r>
      <w:r>
        <w:rPr>
          <w:rFonts w:ascii="Hiragino Sans GB" w:hAnsi="Hiragino Sans GB" w:eastAsia="Hiragino Sans GB" w:cs="Hiragino Sans GB"/>
        </w:rPr>
        <w:t>后签文件真实、透明地变更了原协议，且付款、申报和会计处理均按最终安排执行；差额是有明确公式、商业依据和合规处理的或有对价、净债务或运营资本调整；不同文件对应真实、独立且可分的交易标的和对价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命中后动作：</w:t>
      </w:r>
      <w:r>
        <w:rPr>
          <w:rFonts w:ascii="Hiragino Sans GB" w:hAnsi="Hiragino Sans GB" w:eastAsia="Hiragino Sans GB" w:cs="Hiragino Sans GB"/>
        </w:rPr>
        <w:t>全部交易文件对照表；实际总对价与资金流勾稽表；申报、估值与会计记录差异表；律师及税务专业人员复核任务；实质交易协议与登记备案表单的逐字段差异矩阵；拟提交材料与真实交易条件一致性确认</w:t>
      </w:r>
    </w:p>
    <w:p>
      <w:pPr>
        <w:pStyle w:val="Heading2"/>
      </w:pPr>
      <w:r>
        <w:t>TRG-EQ-DISGUISED-CONSIDERATION｜对价改名或拆分为其他款项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严重程度：</w:t>
      </w:r>
      <w:r>
        <w:rPr>
          <w:rFonts w:ascii="Hiragino Sans GB" w:hAnsi="Hiragino Sans GB" w:eastAsia="Hiragino Sans GB" w:cs="Hiragino Sans GB"/>
        </w:rPr>
        <w:t>P0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硬信号：</w:t>
      </w:r>
      <w:r>
        <w:rPr>
          <w:rFonts w:ascii="Hiragino Sans GB" w:hAnsi="Hiragino Sans GB" w:eastAsia="Hiragino Sans GB" w:cs="Hiragino Sans GB"/>
        </w:rPr>
        <w:t>无真实借款本金、服务成果或损失事实，却存在与持股比例、签约或交割时点高度一致的借款、咨询费、往来款或补偿款；转账比例与各受让人最终持股比例对应，但文本将其中部分标注为非股权价款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排除误报：</w:t>
      </w:r>
      <w:r>
        <w:rPr>
          <w:rFonts w:ascii="Hiragino Sans GB" w:hAnsi="Hiragino Sans GB" w:eastAsia="Hiragino Sans GB" w:cs="Hiragino Sans GB"/>
        </w:rPr>
        <w:t>其他交易有独立合同、真实履行、公允对价和一致账税处理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命中后动作：</w:t>
      </w:r>
      <w:r>
        <w:rPr>
          <w:rFonts w:ascii="Hiragino Sans GB" w:hAnsi="Hiragino Sans GB" w:eastAsia="Hiragino Sans GB" w:cs="Hiragino Sans GB"/>
        </w:rPr>
        <w:t>每笔资金的法律原因与履行证据表；全部经济利益汇总</w:t>
      </w:r>
    </w:p>
    <w:p>
      <w:pPr>
        <w:pStyle w:val="Heading2"/>
      </w:pPr>
      <w:r>
        <w:t>TRG-EQ-CAPITAL-STATUS-RISK｜未届期或瑕疵出资责任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严重程度：</w:t>
      </w:r>
      <w:r>
        <w:rPr>
          <w:rFonts w:ascii="Hiragino Sans GB" w:hAnsi="Hiragino Sans GB" w:eastAsia="Hiragino Sans GB" w:cs="Hiragino Sans GB"/>
        </w:rPr>
        <w:t>P0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硬信号：</w:t>
      </w:r>
      <w:r>
        <w:rPr>
          <w:rFonts w:ascii="Hiragino Sans GB" w:hAnsi="Hiragino Sans GB" w:eastAsia="Hiragino Sans GB" w:cs="Hiragino Sans GB"/>
        </w:rPr>
        <w:t>出资期限已届满但未缴或未足额缴付；非货币财产实际价额显著低于认缴额；存在抽逃出资证据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排除误报：</w:t>
      </w:r>
      <w:r>
        <w:rPr>
          <w:rFonts w:ascii="Hiragino Sans GB" w:hAnsi="Hiragino Sans GB" w:eastAsia="Hiragino Sans GB" w:cs="Hiragino Sans GB"/>
        </w:rPr>
        <w:t>已完成实缴且证据完整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命中后动作：</w:t>
      </w:r>
      <w:r>
        <w:rPr>
          <w:rFonts w:ascii="Hiragino Sans GB" w:hAnsi="Hiragino Sans GB" w:eastAsia="Hiragino Sans GB" w:cs="Hiragino Sans GB"/>
        </w:rPr>
        <w:t>出资状态与责任分析表；整改、担保、追偿或专项赔偿选项</w:t>
      </w:r>
    </w:p>
    <w:p>
      <w:pPr>
        <w:pStyle w:val="Heading2"/>
      </w:pPr>
      <w:r>
        <w:t>TRG-EQ-PREEMPTION-MISMATCH｜优先购买权通知与最终条件不一致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严重程度：</w:t>
      </w:r>
      <w:r>
        <w:rPr>
          <w:rFonts w:ascii="Hiragino Sans GB" w:hAnsi="Hiragino Sans GB" w:eastAsia="Hiragino Sans GB" w:cs="Hiragino Sans GB"/>
        </w:rPr>
        <w:t>P1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硬信号：</w:t>
      </w:r>
      <w:r>
        <w:rPr>
          <w:rFonts w:ascii="Hiragino Sans GB" w:hAnsi="Hiragino Sans GB" w:eastAsia="Hiragino Sans GB" w:cs="Hiragino Sans GB"/>
        </w:rPr>
        <w:t>对外转让没有可证明收悉的书面通知；通知与最终协议的数量、价格、支付方式或期限存在实质差异；章程特别程序未履行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排除误报：</w:t>
      </w:r>
      <w:r>
        <w:rPr>
          <w:rFonts w:ascii="Hiragino Sans GB" w:hAnsi="Hiragino Sans GB" w:eastAsia="Hiragino Sans GB" w:cs="Hiragino Sans GB"/>
        </w:rPr>
        <w:t>为公司股东之间内部转让且章程无特别规定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命中后动作：</w:t>
      </w:r>
      <w:r>
        <w:rPr>
          <w:rFonts w:ascii="Hiragino Sans GB" w:hAnsi="Hiragino Sans GB" w:eastAsia="Hiragino Sans GB" w:cs="Hiragino Sans GB"/>
        </w:rPr>
        <w:t>通知、收悉、放弃或期满证据清单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交易真实性与对价一致性闭环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mod-equity-transfer-object → mod-equity-transfer-consideration → mod-equity-transfer-document-tax-consistency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同一标的的所有文本对价差异都有真实商业原因和证据；所有经济利益与资金流、付款比例及会计处理一致；纳税申报与经专业复核的真实交易安排一致；实质交易协议与登记备案表单的标的、对价、付款、税费和文件效力关系均已逐项勾稽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合同标的相同但对价不同；真实对价被拆分或改名后未被识别；申报、资金和会计记录无法相互印证</w:t>
      </w:r>
    </w:p>
    <w:p>
      <w:pPr>
        <w:pStyle w:val="Heading2"/>
      </w:pPr>
      <w:r>
        <w:t>权属、程序与交割闭环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mod-equity-transfer-object → mod-equity-transfer-preemption-charter → mod-equity-transfer-capital-liability → mod-equity-transfer-closing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标的、出资和章程记载一致；通知的同等条件与最终交易一致；付款、股东名册、章程和登记变更的触发条件一致；目标公司承担名册、章程或登记义务时，已有其签署、决议或其他可执行承诺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标的股权或出资状态未核清即付款；通知条件与签约条件不同；只办工商变更但未完成股东名册和配套文件</w:t>
      </w:r>
    </w:p>
    <w:p>
      <w:pPr>
        <w:pStyle w:val="Heading2"/>
      </w:pPr>
      <w:r>
        <w:t>披露、赔偿与治理移交闭环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mod-equity-transfer-document-tax-consistency → mod-equity-transfer-representations-indemnity → mod-equity-transfer-governance-transition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披露例外可具体识别且与索赔机制一致；基础保证、一般保证和专项赔偿的期限与上限分层一致；治理文件和实际控制移交与交易目的一致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重大历史风险没有进入披露函和专项赔偿；责任上限或短索赔期意外覆盖税务、出资或权属风险；转让比例与治理及控制移交不匹配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v2｜EC-01-001｜候选框架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股权转让基础骨架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